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57650">
      <w:pPr>
        <w:widowControl/>
        <w:spacing w:line="20" w:lineRule="exact"/>
      </w:pPr>
      <w:r>
        <w:rPr>
          <w:rStyle w:val="CommentReference"/>
          <w:rFonts w:hint="eastAsia"/>
          <w:vanish/>
        </w:rPr>
        <w:commentReference w:id="0"/>
      </w:r>
    </w:p>
    <w:p w:rsidR="00000000" w:rsidRDefault="00457650">
      <w:pPr>
        <w:widowControl/>
        <w:rPr>
          <w:rFonts w:hint="eastAsia"/>
        </w:rPr>
      </w:pPr>
      <w:commentRangeStart w:id="1"/>
      <w:r>
        <w:rPr>
          <w:rFonts w:hint="eastAsia"/>
        </w:rPr>
        <w:t>200</w:t>
      </w:r>
      <w:commentRangeEnd w:id="1"/>
      <w:r>
        <w:rPr>
          <w:rFonts w:hint="eastAsia"/>
        </w:rPr>
        <w:t>5</w:t>
      </w:r>
      <w:r>
        <w:rPr>
          <w:rStyle w:val="CommentReference"/>
          <w:rFonts w:ascii="SimSun" w:hint="eastAsia"/>
          <w:vanish/>
          <w:kern w:val="14"/>
        </w:rPr>
        <w:commentReference w:id="1"/>
      </w:r>
      <w:r>
        <w:rPr>
          <w:rFonts w:hint="eastAsia"/>
        </w:rPr>
        <w:t>年</w:t>
      </w:r>
      <w:r>
        <w:rPr>
          <w:rFonts w:ascii="SimSun" w:hAnsi="SimSun" w:hint="eastAsia"/>
          <w:szCs w:val="21"/>
        </w:rPr>
        <w:t>实务会议</w:t>
      </w:r>
    </w:p>
    <w:p w:rsidR="00000000" w:rsidRDefault="00457650">
      <w:pPr>
        <w:widowControl/>
        <w:rPr>
          <w:rFonts w:hint="eastAsia"/>
        </w:rPr>
      </w:pPr>
    </w:p>
    <w:p w:rsidR="00000000" w:rsidRDefault="00457650">
      <w:pPr>
        <w:pStyle w:val="HCh"/>
        <w:jc w:val="center"/>
        <w:rPr>
          <w:rFonts w:hint="eastAsia"/>
        </w:rPr>
      </w:pPr>
      <w:r>
        <w:rPr>
          <w:rFonts w:ascii="SimSun" w:hAnsi="SimSun" w:hint="eastAsia"/>
          <w:szCs w:val="21"/>
        </w:rPr>
        <w:t>《经济、社会、文化权利国际公约》执行情况</w:t>
      </w:r>
    </w:p>
    <w:p w:rsidR="00000000" w:rsidRDefault="00457650">
      <w:pPr>
        <w:widowControl/>
        <w:rPr>
          <w:rFonts w:hint="eastAsia"/>
          <w:b/>
        </w:rPr>
      </w:pPr>
    </w:p>
    <w:p w:rsidR="00000000" w:rsidRDefault="00457650">
      <w:pPr>
        <w:pStyle w:val="H1"/>
        <w:spacing w:before="120"/>
        <w:jc w:val="center"/>
        <w:rPr>
          <w:rFonts w:hint="eastAsia"/>
        </w:rPr>
      </w:pPr>
      <w:r>
        <w:rPr>
          <w:rFonts w:hint="eastAsia"/>
        </w:rPr>
        <w:t>缔约国根据《公约》第</w:t>
      </w:r>
      <w:r>
        <w:rPr>
          <w:rFonts w:hint="eastAsia"/>
        </w:rPr>
        <w:t>16</w:t>
      </w:r>
      <w:r>
        <w:rPr>
          <w:rFonts w:hint="eastAsia"/>
        </w:rPr>
        <w:t>条和第</w:t>
      </w:r>
      <w:r>
        <w:rPr>
          <w:rFonts w:hint="eastAsia"/>
        </w:rPr>
        <w:t>17</w:t>
      </w:r>
      <w:r>
        <w:rPr>
          <w:rFonts w:hint="eastAsia"/>
        </w:rPr>
        <w:t>条提交的</w:t>
      </w:r>
      <w:r>
        <w:br/>
      </w:r>
      <w:r>
        <w:rPr>
          <w:rFonts w:hint="eastAsia"/>
        </w:rPr>
        <w:t>第四次定期报告</w:t>
      </w:r>
    </w:p>
    <w:p w:rsidR="00000000" w:rsidRDefault="00457650">
      <w:pPr>
        <w:widowControl/>
        <w:rPr>
          <w:b/>
        </w:rPr>
      </w:pPr>
    </w:p>
    <w:p w:rsidR="00000000" w:rsidRDefault="00457650">
      <w:pPr>
        <w:pStyle w:val="H1"/>
        <w:spacing w:before="120"/>
        <w:jc w:val="center"/>
        <w:rPr>
          <w:rFonts w:hint="eastAsia"/>
        </w:rPr>
      </w:pPr>
      <w:r>
        <w:rPr>
          <w:rFonts w:hint="eastAsia"/>
        </w:rPr>
        <w:t>增编</w:t>
      </w:r>
    </w:p>
    <w:p w:rsidR="00000000" w:rsidRDefault="00457650">
      <w:pPr>
        <w:widowControl/>
        <w:rPr>
          <w:b/>
          <w:lang w:val="pt-BR"/>
        </w:rPr>
      </w:pPr>
    </w:p>
    <w:p w:rsidR="00000000" w:rsidRDefault="00457650">
      <w:pPr>
        <w:pStyle w:val="HCh"/>
        <w:jc w:val="center"/>
        <w:rPr>
          <w:rFonts w:ascii="Times New Roman" w:hint="eastAsia"/>
        </w:rPr>
      </w:pPr>
      <w:r>
        <w:rPr>
          <w:rFonts w:ascii="SimSun" w:hAnsi="SimSun" w:hint="eastAsia"/>
          <w:szCs w:val="21"/>
        </w:rPr>
        <w:t>墨西哥</w:t>
      </w:r>
      <w:r>
        <w:rPr>
          <w:rFonts w:ascii="Times New Roman" w:hint="eastAsia"/>
          <w:szCs w:val="21"/>
          <w:vertAlign w:val="superscript"/>
        </w:rPr>
        <w:t>*  **  ***</w:t>
      </w:r>
    </w:p>
    <w:p w:rsidR="00000000" w:rsidRDefault="00457650" w:rsidP="00457650">
      <w:pPr>
        <w:widowControl/>
        <w:tabs>
          <w:tab w:val="center" w:leader="dot" w:pos="9000"/>
          <w:tab w:val="right" w:pos="9840"/>
        </w:tabs>
        <w:spacing w:after="120" w:line="320" w:lineRule="exact"/>
        <w:ind w:leftChars="400" w:left="31680" w:hangingChars="200" w:firstLine="31680"/>
        <w:rPr>
          <w:rFonts w:hint="eastAsia"/>
        </w:rPr>
      </w:pPr>
    </w:p>
    <w:p w:rsidR="00000000" w:rsidRDefault="00457650" w:rsidP="00457650">
      <w:pPr>
        <w:widowControl/>
        <w:tabs>
          <w:tab w:val="center" w:leader="dot" w:pos="9000"/>
          <w:tab w:val="right" w:pos="9840"/>
        </w:tabs>
        <w:spacing w:after="120" w:line="320" w:lineRule="exact"/>
        <w:ind w:leftChars="400" w:left="31680" w:hangingChars="200" w:firstLine="31680"/>
        <w:rPr>
          <w:rFonts w:hint="eastAsia"/>
        </w:rPr>
      </w:pPr>
    </w:p>
    <w:p w:rsidR="00000000" w:rsidRDefault="00457650" w:rsidP="00457650">
      <w:pPr>
        <w:widowControl/>
        <w:tabs>
          <w:tab w:val="center" w:leader="dot" w:pos="9000"/>
          <w:tab w:val="right" w:pos="9840"/>
        </w:tabs>
        <w:spacing w:after="120" w:line="320" w:lineRule="exact"/>
        <w:ind w:leftChars="400" w:left="31680" w:hangingChars="200" w:firstLine="31680"/>
        <w:rPr>
          <w:rFonts w:hint="eastAsia"/>
        </w:rPr>
      </w:pPr>
    </w:p>
    <w:p w:rsidR="00000000" w:rsidRDefault="00457650" w:rsidP="00457650">
      <w:pPr>
        <w:widowControl/>
        <w:tabs>
          <w:tab w:val="center" w:leader="dot" w:pos="9000"/>
          <w:tab w:val="right" w:pos="9840"/>
        </w:tabs>
        <w:spacing w:after="120" w:line="320" w:lineRule="exact"/>
        <w:ind w:leftChars="400" w:left="31680" w:hangingChars="200" w:firstLine="31680"/>
        <w:jc w:val="right"/>
        <w:rPr>
          <w:rFonts w:hint="eastAsia"/>
        </w:rPr>
      </w:pPr>
    </w:p>
    <w:p w:rsidR="00000000" w:rsidRDefault="00457650">
      <w:pPr>
        <w:widowControl/>
        <w:rPr>
          <w:lang w:val="en-GB"/>
        </w:rPr>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pgSz w:w="12242" w:h="15842" w:code="54"/>
          <w:pgMar w:top="1741" w:right="1196" w:bottom="1899" w:left="1196" w:header="578" w:footer="1032" w:gutter="0"/>
          <w:cols w:space="425"/>
          <w:titlePg/>
        </w:sectPr>
      </w:pPr>
      <w:bookmarkStart w:id="2" w:name="_Toc77496595"/>
    </w:p>
    <w:p w:rsidR="00000000" w:rsidRDefault="00457650">
      <w:pPr>
        <w:widowControl/>
        <w:spacing w:after="240"/>
        <w:jc w:val="center"/>
        <w:rPr>
          <w:rFonts w:eastAsia="SimHei" w:hint="eastAsia"/>
          <w:bCs/>
          <w:sz w:val="28"/>
          <w:lang w:val="es-ES_tradnl"/>
        </w:rPr>
      </w:pPr>
      <w:r>
        <w:rPr>
          <w:rFonts w:eastAsia="SimHei" w:hint="eastAsia"/>
          <w:bCs/>
          <w:sz w:val="28"/>
          <w:lang w:val="es-ES_tradnl"/>
        </w:rPr>
        <w:t>目</w:t>
      </w:r>
      <w:r>
        <w:rPr>
          <w:rFonts w:eastAsia="SimHei" w:hint="eastAsia"/>
          <w:bCs/>
          <w:sz w:val="28"/>
          <w:lang w:val="es-ES_tradnl"/>
        </w:rPr>
        <w:t xml:space="preserve"> </w:t>
      </w:r>
      <w:r>
        <w:rPr>
          <w:rFonts w:eastAsia="SimHei" w:hint="eastAsia"/>
          <w:bCs/>
          <w:sz w:val="28"/>
          <w:lang w:val="es-ES_tradnl"/>
        </w:rPr>
        <w:t>录</w:t>
      </w:r>
    </w:p>
    <w:p w:rsidR="00000000" w:rsidRDefault="00457650">
      <w:pPr>
        <w:widowControl/>
        <w:tabs>
          <w:tab w:val="center" w:pos="8880"/>
          <w:tab w:val="right" w:pos="9840"/>
        </w:tabs>
        <w:spacing w:after="240"/>
        <w:rPr>
          <w:rFonts w:eastAsia="KaiTi_GB2312" w:hint="eastAsia"/>
          <w:szCs w:val="21"/>
        </w:rPr>
      </w:pPr>
      <w:r>
        <w:rPr>
          <w:rFonts w:eastAsia="KaiTi_GB2312" w:hint="eastAsia"/>
          <w:szCs w:val="21"/>
        </w:rPr>
        <w:tab/>
      </w:r>
      <w:r>
        <w:rPr>
          <w:rFonts w:eastAsia="KaiTi_GB2312" w:hint="eastAsia"/>
          <w:szCs w:val="21"/>
        </w:rPr>
        <w:t>段次</w:t>
      </w:r>
      <w:r>
        <w:rPr>
          <w:rFonts w:eastAsia="KaiTi_GB2312" w:hint="eastAsia"/>
          <w:szCs w:val="21"/>
        </w:rPr>
        <w:t xml:space="preserve"> </w:t>
      </w:r>
      <w:r>
        <w:rPr>
          <w:rFonts w:eastAsia="KaiTi_GB2312" w:hint="eastAsia"/>
          <w:szCs w:val="21"/>
        </w:rPr>
        <w:tab/>
      </w:r>
      <w:r>
        <w:rPr>
          <w:rFonts w:eastAsia="KaiTi_GB2312" w:hint="eastAsia"/>
          <w:szCs w:val="21"/>
        </w:rPr>
        <w:t>页次</w:t>
      </w:r>
    </w:p>
    <w:p w:rsidR="00000000" w:rsidRDefault="00457650">
      <w:pPr>
        <w:widowControl/>
        <w:tabs>
          <w:tab w:val="center" w:leader="dot" w:pos="8880"/>
          <w:tab w:val="right" w:pos="9840"/>
        </w:tabs>
        <w:spacing w:after="120"/>
        <w:rPr>
          <w:rFonts w:hint="eastAsia"/>
          <w:szCs w:val="21"/>
        </w:rPr>
      </w:pPr>
      <w:r>
        <w:rPr>
          <w:rFonts w:hint="eastAsia"/>
          <w:szCs w:val="21"/>
        </w:rPr>
        <w:t>导言</w:t>
      </w:r>
      <w:r>
        <w:rPr>
          <w:rFonts w:hint="eastAsia"/>
          <w:szCs w:val="21"/>
        </w:rPr>
        <w:tab/>
        <w:t xml:space="preserve">1-17 </w:t>
      </w:r>
      <w:r>
        <w:rPr>
          <w:rFonts w:hint="eastAsia"/>
          <w:szCs w:val="21"/>
        </w:rPr>
        <w:tab/>
        <w:t>3</w:t>
      </w:r>
    </w:p>
    <w:p w:rsidR="00000000" w:rsidRDefault="00457650">
      <w:pPr>
        <w:widowControl/>
        <w:tabs>
          <w:tab w:val="center" w:leader="dot" w:pos="8880"/>
          <w:tab w:val="right" w:pos="9840"/>
        </w:tabs>
        <w:spacing w:after="120"/>
        <w:rPr>
          <w:rFonts w:hint="eastAsia"/>
          <w:szCs w:val="21"/>
        </w:rPr>
      </w:pPr>
      <w:r>
        <w:rPr>
          <w:rFonts w:hint="eastAsia"/>
          <w:szCs w:val="21"/>
        </w:rPr>
        <w:t>一、《公约》的一般规定</w:t>
      </w:r>
      <w:r>
        <w:rPr>
          <w:rFonts w:hint="eastAsia"/>
          <w:szCs w:val="21"/>
        </w:rPr>
        <w:tab/>
        <w:t>18-55</w:t>
      </w:r>
      <w:r>
        <w:rPr>
          <w:rFonts w:hint="eastAsia"/>
          <w:szCs w:val="21"/>
        </w:rPr>
        <w:tab/>
        <w:t>4</w:t>
      </w:r>
    </w:p>
    <w:p w:rsidR="00000000" w:rsidRDefault="00457650" w:rsidP="00457650">
      <w:pPr>
        <w:widowControl/>
        <w:tabs>
          <w:tab w:val="center" w:leader="dot" w:pos="8880"/>
          <w:tab w:val="right" w:pos="9840"/>
        </w:tabs>
        <w:spacing w:after="120"/>
        <w:ind w:leftChars="200" w:left="31680" w:hangingChars="200" w:firstLine="31680"/>
        <w:rPr>
          <w:rFonts w:hint="eastAsia"/>
          <w:szCs w:val="21"/>
        </w:rPr>
      </w:pPr>
      <w:r>
        <w:rPr>
          <w:rFonts w:hint="eastAsia"/>
          <w:szCs w:val="21"/>
        </w:rPr>
        <w:t>A.</w:t>
      </w:r>
      <w:r>
        <w:rPr>
          <w:rFonts w:hint="eastAsia"/>
          <w:szCs w:val="21"/>
        </w:rPr>
        <w:tab/>
      </w:r>
      <w:r>
        <w:rPr>
          <w:rFonts w:hint="eastAsia"/>
          <w:szCs w:val="21"/>
        </w:rPr>
        <w:t>第</w:t>
      </w:r>
      <w:r>
        <w:rPr>
          <w:rFonts w:hint="eastAsia"/>
          <w:szCs w:val="21"/>
        </w:rPr>
        <w:t>1</w:t>
      </w:r>
      <w:r>
        <w:rPr>
          <w:rFonts w:hint="eastAsia"/>
          <w:szCs w:val="21"/>
        </w:rPr>
        <w:t>条</w:t>
      </w:r>
      <w:r>
        <w:rPr>
          <w:rFonts w:hint="eastAsia"/>
          <w:szCs w:val="21"/>
        </w:rPr>
        <w:tab/>
        <w:t>18-20</w:t>
      </w:r>
      <w:r>
        <w:rPr>
          <w:rFonts w:hint="eastAsia"/>
          <w:szCs w:val="21"/>
        </w:rPr>
        <w:tab/>
        <w:t>4</w:t>
      </w:r>
    </w:p>
    <w:p w:rsidR="00000000" w:rsidRDefault="00457650" w:rsidP="00457650">
      <w:pPr>
        <w:widowControl/>
        <w:tabs>
          <w:tab w:val="center" w:leader="dot" w:pos="8880"/>
          <w:tab w:val="right" w:pos="9840"/>
        </w:tabs>
        <w:spacing w:after="120"/>
        <w:ind w:leftChars="200" w:left="31680" w:hangingChars="200" w:firstLine="31680"/>
        <w:rPr>
          <w:rFonts w:hint="eastAsia"/>
          <w:szCs w:val="21"/>
        </w:rPr>
      </w:pPr>
      <w:r>
        <w:rPr>
          <w:rFonts w:hint="eastAsia"/>
          <w:szCs w:val="21"/>
        </w:rPr>
        <w:t>B.</w:t>
      </w:r>
      <w:r>
        <w:rPr>
          <w:rFonts w:hint="eastAsia"/>
          <w:szCs w:val="21"/>
        </w:rPr>
        <w:tab/>
      </w:r>
      <w:r>
        <w:rPr>
          <w:rFonts w:hint="eastAsia"/>
          <w:szCs w:val="21"/>
        </w:rPr>
        <w:t>第</w:t>
      </w:r>
      <w:r>
        <w:rPr>
          <w:rFonts w:hint="eastAsia"/>
          <w:szCs w:val="21"/>
        </w:rPr>
        <w:t>2</w:t>
      </w:r>
      <w:r>
        <w:rPr>
          <w:rFonts w:hint="eastAsia"/>
          <w:szCs w:val="21"/>
        </w:rPr>
        <w:t>条</w:t>
      </w:r>
      <w:r>
        <w:rPr>
          <w:rFonts w:hint="eastAsia"/>
          <w:szCs w:val="21"/>
        </w:rPr>
        <w:tab/>
        <w:t>21-31</w:t>
      </w:r>
      <w:r>
        <w:rPr>
          <w:rFonts w:hint="eastAsia"/>
          <w:szCs w:val="21"/>
        </w:rPr>
        <w:tab/>
        <w:t>5</w:t>
      </w:r>
    </w:p>
    <w:p w:rsidR="00000000" w:rsidRDefault="00457650" w:rsidP="00457650">
      <w:pPr>
        <w:widowControl/>
        <w:tabs>
          <w:tab w:val="center" w:leader="dot" w:pos="8880"/>
          <w:tab w:val="right" w:pos="9840"/>
        </w:tabs>
        <w:spacing w:after="120"/>
        <w:ind w:leftChars="200" w:left="31680" w:hangingChars="200" w:firstLine="31680"/>
        <w:rPr>
          <w:rFonts w:hint="eastAsia"/>
          <w:szCs w:val="21"/>
        </w:rPr>
      </w:pPr>
      <w:r>
        <w:rPr>
          <w:rFonts w:hint="eastAsia"/>
          <w:szCs w:val="21"/>
        </w:rPr>
        <w:t>C.</w:t>
      </w:r>
      <w:r>
        <w:rPr>
          <w:rFonts w:hint="eastAsia"/>
          <w:szCs w:val="21"/>
        </w:rPr>
        <w:tab/>
      </w:r>
      <w:r>
        <w:rPr>
          <w:rFonts w:hint="eastAsia"/>
          <w:szCs w:val="21"/>
        </w:rPr>
        <w:t>第</w:t>
      </w:r>
      <w:r>
        <w:rPr>
          <w:rFonts w:hint="eastAsia"/>
          <w:szCs w:val="21"/>
        </w:rPr>
        <w:t>3</w:t>
      </w:r>
      <w:r>
        <w:rPr>
          <w:rFonts w:hint="eastAsia"/>
          <w:szCs w:val="21"/>
        </w:rPr>
        <w:t>条</w:t>
      </w:r>
      <w:r>
        <w:rPr>
          <w:rFonts w:hint="eastAsia"/>
          <w:szCs w:val="21"/>
        </w:rPr>
        <w:tab/>
        <w:t>32-52</w:t>
      </w:r>
      <w:r>
        <w:rPr>
          <w:rFonts w:hint="eastAsia"/>
          <w:szCs w:val="21"/>
        </w:rPr>
        <w:tab/>
        <w:t>7</w:t>
      </w:r>
    </w:p>
    <w:p w:rsidR="00000000" w:rsidRDefault="00457650" w:rsidP="00457650">
      <w:pPr>
        <w:widowControl/>
        <w:tabs>
          <w:tab w:val="center" w:leader="dot" w:pos="8880"/>
          <w:tab w:val="right" w:pos="9840"/>
        </w:tabs>
        <w:spacing w:after="120"/>
        <w:ind w:leftChars="200" w:left="31680" w:hangingChars="200" w:firstLine="31680"/>
        <w:rPr>
          <w:rFonts w:hint="eastAsia"/>
          <w:szCs w:val="21"/>
        </w:rPr>
      </w:pPr>
      <w:r>
        <w:rPr>
          <w:rFonts w:hint="eastAsia"/>
          <w:szCs w:val="21"/>
        </w:rPr>
        <w:t>D.</w:t>
      </w:r>
      <w:r>
        <w:rPr>
          <w:rFonts w:hint="eastAsia"/>
          <w:szCs w:val="21"/>
        </w:rPr>
        <w:tab/>
      </w:r>
      <w:r>
        <w:rPr>
          <w:rFonts w:hint="eastAsia"/>
          <w:szCs w:val="21"/>
        </w:rPr>
        <w:t>第</w:t>
      </w:r>
      <w:r>
        <w:rPr>
          <w:rFonts w:hint="eastAsia"/>
          <w:szCs w:val="21"/>
        </w:rPr>
        <w:t>4</w:t>
      </w:r>
      <w:r>
        <w:rPr>
          <w:rFonts w:hint="eastAsia"/>
          <w:szCs w:val="21"/>
        </w:rPr>
        <w:t>条</w:t>
      </w:r>
      <w:r>
        <w:rPr>
          <w:rFonts w:hint="eastAsia"/>
          <w:szCs w:val="21"/>
        </w:rPr>
        <w:tab/>
        <w:t>53</w:t>
      </w:r>
      <w:r>
        <w:rPr>
          <w:rFonts w:hint="eastAsia"/>
          <w:szCs w:val="21"/>
        </w:rPr>
        <w:tab/>
        <w:t>9</w:t>
      </w:r>
    </w:p>
    <w:p w:rsidR="00000000" w:rsidRDefault="00457650" w:rsidP="00457650">
      <w:pPr>
        <w:widowControl/>
        <w:tabs>
          <w:tab w:val="center" w:leader="dot" w:pos="8880"/>
          <w:tab w:val="right" w:pos="9840"/>
        </w:tabs>
        <w:spacing w:after="120"/>
        <w:ind w:leftChars="200" w:left="31680" w:hangingChars="200" w:firstLine="31680"/>
        <w:rPr>
          <w:szCs w:val="21"/>
        </w:rPr>
      </w:pPr>
      <w:r>
        <w:rPr>
          <w:rFonts w:hint="eastAsia"/>
          <w:szCs w:val="21"/>
        </w:rPr>
        <w:t>E.</w:t>
      </w:r>
      <w:r>
        <w:rPr>
          <w:rFonts w:hint="eastAsia"/>
          <w:szCs w:val="21"/>
        </w:rPr>
        <w:tab/>
      </w:r>
      <w:r>
        <w:rPr>
          <w:rFonts w:hint="eastAsia"/>
          <w:szCs w:val="21"/>
        </w:rPr>
        <w:t>第</w:t>
      </w:r>
      <w:r>
        <w:rPr>
          <w:rFonts w:hint="eastAsia"/>
          <w:szCs w:val="21"/>
        </w:rPr>
        <w:t>5</w:t>
      </w:r>
      <w:r>
        <w:rPr>
          <w:rFonts w:hint="eastAsia"/>
          <w:szCs w:val="21"/>
        </w:rPr>
        <w:t>条</w:t>
      </w:r>
      <w:r>
        <w:rPr>
          <w:rFonts w:hint="eastAsia"/>
          <w:szCs w:val="21"/>
        </w:rPr>
        <w:tab/>
        <w:t>54-55</w:t>
      </w:r>
      <w:r>
        <w:rPr>
          <w:rFonts w:hint="eastAsia"/>
          <w:szCs w:val="21"/>
        </w:rPr>
        <w:tab/>
        <w:t>9</w:t>
      </w:r>
    </w:p>
    <w:p w:rsidR="00000000" w:rsidRDefault="00457650">
      <w:pPr>
        <w:widowControl/>
        <w:tabs>
          <w:tab w:val="center" w:leader="dot" w:pos="8880"/>
          <w:tab w:val="right" w:pos="9840"/>
        </w:tabs>
        <w:spacing w:after="120"/>
        <w:rPr>
          <w:rFonts w:hint="eastAsia"/>
          <w:szCs w:val="21"/>
        </w:rPr>
      </w:pPr>
      <w:r>
        <w:rPr>
          <w:rFonts w:hint="eastAsia"/>
          <w:szCs w:val="21"/>
        </w:rPr>
        <w:t>二、关于具体权利的规定</w:t>
      </w:r>
      <w:r>
        <w:rPr>
          <w:rFonts w:hint="eastAsia"/>
          <w:szCs w:val="21"/>
        </w:rPr>
        <w:tab/>
        <w:t>56-934</w:t>
      </w:r>
      <w:r>
        <w:rPr>
          <w:rFonts w:hint="eastAsia"/>
          <w:szCs w:val="21"/>
        </w:rPr>
        <w:tab/>
        <w:t>9</w:t>
      </w:r>
    </w:p>
    <w:p w:rsidR="00000000" w:rsidRDefault="00457650" w:rsidP="00457650">
      <w:pPr>
        <w:widowControl/>
        <w:tabs>
          <w:tab w:val="center" w:leader="dot" w:pos="8880"/>
          <w:tab w:val="right" w:pos="9840"/>
        </w:tabs>
        <w:spacing w:after="120"/>
        <w:ind w:leftChars="200" w:left="31680" w:hangingChars="200" w:firstLine="31680"/>
        <w:rPr>
          <w:rFonts w:hint="eastAsia"/>
          <w:szCs w:val="21"/>
        </w:rPr>
      </w:pPr>
      <w:r>
        <w:rPr>
          <w:rFonts w:hint="eastAsia"/>
          <w:szCs w:val="21"/>
        </w:rPr>
        <w:t>A.</w:t>
      </w:r>
      <w:r>
        <w:rPr>
          <w:rFonts w:hint="eastAsia"/>
          <w:szCs w:val="21"/>
        </w:rPr>
        <w:tab/>
      </w:r>
      <w:r>
        <w:rPr>
          <w:rFonts w:hint="eastAsia"/>
          <w:szCs w:val="21"/>
        </w:rPr>
        <w:t>第</w:t>
      </w:r>
      <w:r>
        <w:rPr>
          <w:rFonts w:hint="eastAsia"/>
          <w:szCs w:val="21"/>
        </w:rPr>
        <w:t>6</w:t>
      </w:r>
      <w:r>
        <w:rPr>
          <w:rFonts w:hint="eastAsia"/>
          <w:szCs w:val="21"/>
        </w:rPr>
        <w:t>条</w:t>
      </w:r>
      <w:r>
        <w:rPr>
          <w:rFonts w:hint="eastAsia"/>
          <w:szCs w:val="21"/>
        </w:rPr>
        <w:tab/>
        <w:t>56-174</w:t>
      </w:r>
      <w:r>
        <w:rPr>
          <w:rFonts w:hint="eastAsia"/>
          <w:szCs w:val="21"/>
        </w:rPr>
        <w:tab/>
        <w:t>9</w:t>
      </w:r>
    </w:p>
    <w:p w:rsidR="00000000" w:rsidRDefault="00457650" w:rsidP="00457650">
      <w:pPr>
        <w:widowControl/>
        <w:tabs>
          <w:tab w:val="center" w:leader="dot" w:pos="8880"/>
          <w:tab w:val="right" w:pos="9840"/>
        </w:tabs>
        <w:spacing w:after="120"/>
        <w:ind w:leftChars="200" w:left="31680" w:hangingChars="200" w:firstLine="31680"/>
        <w:rPr>
          <w:rFonts w:hint="eastAsia"/>
          <w:szCs w:val="21"/>
        </w:rPr>
      </w:pPr>
      <w:r>
        <w:rPr>
          <w:rFonts w:hint="eastAsia"/>
          <w:szCs w:val="21"/>
        </w:rPr>
        <w:t>B.</w:t>
      </w:r>
      <w:r>
        <w:rPr>
          <w:rFonts w:hint="eastAsia"/>
          <w:szCs w:val="21"/>
        </w:rPr>
        <w:tab/>
      </w:r>
      <w:r>
        <w:rPr>
          <w:rFonts w:hint="eastAsia"/>
          <w:szCs w:val="21"/>
        </w:rPr>
        <w:t>第</w:t>
      </w:r>
      <w:r>
        <w:rPr>
          <w:rFonts w:hint="eastAsia"/>
          <w:szCs w:val="21"/>
        </w:rPr>
        <w:t>7</w:t>
      </w:r>
      <w:r>
        <w:rPr>
          <w:rFonts w:hint="eastAsia"/>
          <w:szCs w:val="21"/>
        </w:rPr>
        <w:t>条</w:t>
      </w:r>
      <w:r>
        <w:rPr>
          <w:rFonts w:hint="eastAsia"/>
          <w:szCs w:val="21"/>
        </w:rPr>
        <w:tab/>
        <w:t>175-270</w:t>
      </w:r>
      <w:r>
        <w:rPr>
          <w:rFonts w:hint="eastAsia"/>
          <w:szCs w:val="21"/>
        </w:rPr>
        <w:tab/>
        <w:t>34</w:t>
      </w:r>
    </w:p>
    <w:p w:rsidR="00000000" w:rsidRDefault="00457650" w:rsidP="00457650">
      <w:pPr>
        <w:widowControl/>
        <w:tabs>
          <w:tab w:val="center" w:leader="dot" w:pos="8880"/>
          <w:tab w:val="right" w:pos="9840"/>
        </w:tabs>
        <w:spacing w:after="120"/>
        <w:ind w:leftChars="200" w:left="31680" w:hangingChars="200" w:firstLine="31680"/>
        <w:rPr>
          <w:rFonts w:hint="eastAsia"/>
          <w:szCs w:val="21"/>
        </w:rPr>
      </w:pPr>
      <w:r>
        <w:rPr>
          <w:rFonts w:hint="eastAsia"/>
          <w:szCs w:val="21"/>
        </w:rPr>
        <w:t>C.</w:t>
      </w:r>
      <w:r>
        <w:rPr>
          <w:rFonts w:hint="eastAsia"/>
          <w:szCs w:val="21"/>
        </w:rPr>
        <w:tab/>
      </w:r>
      <w:r>
        <w:rPr>
          <w:rFonts w:hint="eastAsia"/>
          <w:szCs w:val="21"/>
        </w:rPr>
        <w:t>第</w:t>
      </w:r>
      <w:r>
        <w:rPr>
          <w:rFonts w:hint="eastAsia"/>
          <w:szCs w:val="21"/>
        </w:rPr>
        <w:t>8</w:t>
      </w:r>
      <w:r>
        <w:rPr>
          <w:rFonts w:hint="eastAsia"/>
          <w:szCs w:val="21"/>
        </w:rPr>
        <w:t>条</w:t>
      </w:r>
      <w:r>
        <w:rPr>
          <w:rFonts w:hint="eastAsia"/>
          <w:szCs w:val="21"/>
        </w:rPr>
        <w:tab/>
        <w:t>271-317</w:t>
      </w:r>
      <w:r>
        <w:rPr>
          <w:rFonts w:hint="eastAsia"/>
          <w:szCs w:val="21"/>
        </w:rPr>
        <w:tab/>
        <w:t>53</w:t>
      </w:r>
    </w:p>
    <w:p w:rsidR="00000000" w:rsidRDefault="00457650" w:rsidP="00457650">
      <w:pPr>
        <w:widowControl/>
        <w:tabs>
          <w:tab w:val="center" w:leader="dot" w:pos="8880"/>
          <w:tab w:val="right" w:pos="9840"/>
        </w:tabs>
        <w:spacing w:after="120"/>
        <w:ind w:leftChars="200" w:left="31680" w:hangingChars="200" w:firstLine="31680"/>
        <w:rPr>
          <w:rFonts w:hint="eastAsia"/>
          <w:szCs w:val="21"/>
        </w:rPr>
      </w:pPr>
      <w:r>
        <w:rPr>
          <w:rFonts w:hint="eastAsia"/>
          <w:szCs w:val="21"/>
        </w:rPr>
        <w:t>D.</w:t>
      </w:r>
      <w:r>
        <w:rPr>
          <w:rFonts w:hint="eastAsia"/>
          <w:szCs w:val="21"/>
        </w:rPr>
        <w:tab/>
      </w:r>
      <w:r>
        <w:rPr>
          <w:rFonts w:hint="eastAsia"/>
          <w:szCs w:val="21"/>
        </w:rPr>
        <w:t>第</w:t>
      </w:r>
      <w:r>
        <w:rPr>
          <w:rFonts w:hint="eastAsia"/>
          <w:szCs w:val="21"/>
        </w:rPr>
        <w:t>9</w:t>
      </w:r>
      <w:r>
        <w:rPr>
          <w:rFonts w:hint="eastAsia"/>
          <w:szCs w:val="21"/>
        </w:rPr>
        <w:t>条</w:t>
      </w:r>
      <w:r>
        <w:rPr>
          <w:rFonts w:hint="eastAsia"/>
          <w:szCs w:val="21"/>
        </w:rPr>
        <w:tab/>
        <w:t>318-361</w:t>
      </w:r>
      <w:r>
        <w:rPr>
          <w:rFonts w:hint="eastAsia"/>
          <w:szCs w:val="21"/>
        </w:rPr>
        <w:tab/>
        <w:t>63</w:t>
      </w:r>
    </w:p>
    <w:p w:rsidR="00000000" w:rsidRDefault="00457650" w:rsidP="00457650">
      <w:pPr>
        <w:widowControl/>
        <w:tabs>
          <w:tab w:val="center" w:leader="dot" w:pos="8880"/>
          <w:tab w:val="right" w:pos="9840"/>
        </w:tabs>
        <w:spacing w:after="120"/>
        <w:ind w:leftChars="200" w:left="31680" w:hangingChars="200" w:firstLine="31680"/>
        <w:rPr>
          <w:szCs w:val="21"/>
        </w:rPr>
      </w:pPr>
      <w:r>
        <w:rPr>
          <w:rFonts w:hint="eastAsia"/>
          <w:szCs w:val="21"/>
        </w:rPr>
        <w:t>E.</w:t>
      </w:r>
      <w:r>
        <w:rPr>
          <w:rFonts w:hint="eastAsia"/>
          <w:szCs w:val="21"/>
        </w:rPr>
        <w:tab/>
      </w:r>
      <w:r>
        <w:rPr>
          <w:rFonts w:hint="eastAsia"/>
          <w:szCs w:val="21"/>
        </w:rPr>
        <w:t>第</w:t>
      </w:r>
      <w:r>
        <w:rPr>
          <w:rFonts w:hint="eastAsia"/>
          <w:szCs w:val="21"/>
        </w:rPr>
        <w:t>10</w:t>
      </w:r>
      <w:r>
        <w:rPr>
          <w:rFonts w:hint="eastAsia"/>
          <w:szCs w:val="21"/>
        </w:rPr>
        <w:t>条</w:t>
      </w:r>
      <w:r>
        <w:rPr>
          <w:rFonts w:hint="eastAsia"/>
          <w:szCs w:val="21"/>
        </w:rPr>
        <w:tab/>
        <w:t>362-402</w:t>
      </w:r>
      <w:r>
        <w:rPr>
          <w:rFonts w:hint="eastAsia"/>
          <w:szCs w:val="21"/>
        </w:rPr>
        <w:tab/>
        <w:t>77</w:t>
      </w:r>
    </w:p>
    <w:p w:rsidR="00000000" w:rsidRDefault="00457650" w:rsidP="00457650">
      <w:pPr>
        <w:widowControl/>
        <w:tabs>
          <w:tab w:val="center" w:leader="dot" w:pos="8880"/>
          <w:tab w:val="right" w:pos="9840"/>
        </w:tabs>
        <w:spacing w:after="120"/>
        <w:ind w:leftChars="200" w:left="31680" w:hangingChars="200" w:firstLine="31680"/>
        <w:rPr>
          <w:szCs w:val="21"/>
        </w:rPr>
      </w:pPr>
      <w:r>
        <w:rPr>
          <w:rFonts w:hint="eastAsia"/>
          <w:szCs w:val="21"/>
        </w:rPr>
        <w:t>F.</w:t>
      </w:r>
      <w:r>
        <w:rPr>
          <w:rFonts w:hint="eastAsia"/>
          <w:szCs w:val="21"/>
        </w:rPr>
        <w:tab/>
      </w:r>
      <w:r>
        <w:rPr>
          <w:rFonts w:hint="eastAsia"/>
          <w:szCs w:val="21"/>
        </w:rPr>
        <w:t>第</w:t>
      </w:r>
      <w:r>
        <w:rPr>
          <w:rFonts w:hint="eastAsia"/>
          <w:szCs w:val="21"/>
        </w:rPr>
        <w:t>11</w:t>
      </w:r>
      <w:r>
        <w:rPr>
          <w:rFonts w:hint="eastAsia"/>
          <w:szCs w:val="21"/>
        </w:rPr>
        <w:t>条</w:t>
      </w:r>
      <w:r>
        <w:rPr>
          <w:rFonts w:hint="eastAsia"/>
          <w:szCs w:val="21"/>
        </w:rPr>
        <w:tab/>
        <w:t>403-492</w:t>
      </w:r>
      <w:r>
        <w:rPr>
          <w:rFonts w:hint="eastAsia"/>
          <w:szCs w:val="21"/>
        </w:rPr>
        <w:tab/>
        <w:t>83</w:t>
      </w:r>
    </w:p>
    <w:p w:rsidR="00000000" w:rsidRDefault="00457650" w:rsidP="00457650">
      <w:pPr>
        <w:widowControl/>
        <w:tabs>
          <w:tab w:val="center" w:leader="dot" w:pos="8880"/>
          <w:tab w:val="right" w:pos="9840"/>
        </w:tabs>
        <w:spacing w:after="120"/>
        <w:ind w:leftChars="200" w:left="31680" w:hangingChars="200" w:firstLine="31680"/>
        <w:rPr>
          <w:szCs w:val="21"/>
        </w:rPr>
      </w:pPr>
      <w:r>
        <w:rPr>
          <w:rFonts w:hint="eastAsia"/>
          <w:szCs w:val="21"/>
        </w:rPr>
        <w:t>G.</w:t>
      </w:r>
      <w:r>
        <w:rPr>
          <w:rFonts w:hint="eastAsia"/>
          <w:szCs w:val="21"/>
        </w:rPr>
        <w:tab/>
      </w:r>
      <w:r>
        <w:rPr>
          <w:rFonts w:hint="eastAsia"/>
          <w:szCs w:val="21"/>
        </w:rPr>
        <w:t>第</w:t>
      </w:r>
      <w:r>
        <w:rPr>
          <w:rFonts w:hint="eastAsia"/>
          <w:szCs w:val="21"/>
        </w:rPr>
        <w:t>12</w:t>
      </w:r>
      <w:r>
        <w:rPr>
          <w:rFonts w:hint="eastAsia"/>
          <w:szCs w:val="21"/>
        </w:rPr>
        <w:t>条</w:t>
      </w:r>
      <w:r>
        <w:rPr>
          <w:rFonts w:hint="eastAsia"/>
          <w:szCs w:val="21"/>
        </w:rPr>
        <w:tab/>
        <w:t>493-618</w:t>
      </w:r>
      <w:r>
        <w:rPr>
          <w:rFonts w:hint="eastAsia"/>
          <w:szCs w:val="21"/>
        </w:rPr>
        <w:tab/>
        <w:t>97</w:t>
      </w:r>
    </w:p>
    <w:p w:rsidR="00000000" w:rsidRDefault="00457650" w:rsidP="00457650">
      <w:pPr>
        <w:widowControl/>
        <w:tabs>
          <w:tab w:val="center" w:leader="dot" w:pos="8880"/>
          <w:tab w:val="right" w:pos="9840"/>
        </w:tabs>
        <w:spacing w:after="120"/>
        <w:ind w:leftChars="200" w:left="31680" w:hangingChars="200" w:firstLine="31680"/>
        <w:rPr>
          <w:szCs w:val="21"/>
        </w:rPr>
      </w:pPr>
      <w:r>
        <w:rPr>
          <w:rFonts w:hint="eastAsia"/>
          <w:szCs w:val="21"/>
        </w:rPr>
        <w:t>H.</w:t>
      </w:r>
      <w:r>
        <w:rPr>
          <w:rFonts w:hint="eastAsia"/>
          <w:szCs w:val="21"/>
        </w:rPr>
        <w:tab/>
      </w:r>
      <w:r>
        <w:rPr>
          <w:rFonts w:hint="eastAsia"/>
          <w:szCs w:val="21"/>
        </w:rPr>
        <w:t>第</w:t>
      </w:r>
      <w:r>
        <w:rPr>
          <w:rFonts w:hint="eastAsia"/>
          <w:szCs w:val="21"/>
        </w:rPr>
        <w:t>13</w:t>
      </w:r>
      <w:r>
        <w:rPr>
          <w:rFonts w:hint="eastAsia"/>
          <w:szCs w:val="21"/>
        </w:rPr>
        <w:t>条</w:t>
      </w:r>
      <w:r>
        <w:rPr>
          <w:rFonts w:hint="eastAsia"/>
          <w:szCs w:val="21"/>
        </w:rPr>
        <w:tab/>
        <w:t>619-720</w:t>
      </w:r>
      <w:r>
        <w:rPr>
          <w:rFonts w:hint="eastAsia"/>
          <w:szCs w:val="21"/>
        </w:rPr>
        <w:tab/>
        <w:t>126</w:t>
      </w:r>
    </w:p>
    <w:p w:rsidR="00000000" w:rsidRDefault="00457650" w:rsidP="00457650">
      <w:pPr>
        <w:widowControl/>
        <w:tabs>
          <w:tab w:val="center" w:leader="dot" w:pos="8880"/>
          <w:tab w:val="right" w:pos="9840"/>
        </w:tabs>
        <w:spacing w:after="120"/>
        <w:ind w:leftChars="200" w:left="31680" w:hangingChars="200" w:firstLine="31680"/>
        <w:rPr>
          <w:szCs w:val="21"/>
        </w:rPr>
      </w:pPr>
      <w:r>
        <w:rPr>
          <w:rFonts w:hint="eastAsia"/>
          <w:szCs w:val="21"/>
        </w:rPr>
        <w:t>I.</w:t>
      </w:r>
      <w:r>
        <w:rPr>
          <w:rFonts w:hint="eastAsia"/>
          <w:szCs w:val="21"/>
        </w:rPr>
        <w:tab/>
      </w:r>
      <w:r>
        <w:rPr>
          <w:rFonts w:hint="eastAsia"/>
          <w:szCs w:val="21"/>
        </w:rPr>
        <w:t>第</w:t>
      </w:r>
      <w:r>
        <w:rPr>
          <w:rFonts w:hint="eastAsia"/>
          <w:szCs w:val="21"/>
        </w:rPr>
        <w:t>14</w:t>
      </w:r>
      <w:r>
        <w:rPr>
          <w:rFonts w:hint="eastAsia"/>
          <w:szCs w:val="21"/>
        </w:rPr>
        <w:t>条</w:t>
      </w:r>
      <w:r>
        <w:rPr>
          <w:rFonts w:hint="eastAsia"/>
          <w:szCs w:val="21"/>
        </w:rPr>
        <w:tab/>
        <w:t>721</w:t>
      </w:r>
      <w:r>
        <w:rPr>
          <w:rFonts w:hint="eastAsia"/>
          <w:szCs w:val="21"/>
        </w:rPr>
        <w:tab/>
        <w:t>140</w:t>
      </w:r>
    </w:p>
    <w:p w:rsidR="00000000" w:rsidRDefault="00457650" w:rsidP="00457650">
      <w:pPr>
        <w:widowControl/>
        <w:tabs>
          <w:tab w:val="center" w:leader="dot" w:pos="8880"/>
          <w:tab w:val="right" w:pos="9840"/>
        </w:tabs>
        <w:spacing w:after="120"/>
        <w:ind w:leftChars="200" w:left="31680" w:hangingChars="200" w:firstLine="31680"/>
        <w:rPr>
          <w:szCs w:val="21"/>
        </w:rPr>
      </w:pPr>
      <w:r>
        <w:rPr>
          <w:rFonts w:hint="eastAsia"/>
          <w:szCs w:val="21"/>
        </w:rPr>
        <w:t>J.</w:t>
      </w:r>
      <w:r>
        <w:rPr>
          <w:rFonts w:hint="eastAsia"/>
          <w:szCs w:val="21"/>
        </w:rPr>
        <w:tab/>
      </w:r>
      <w:r>
        <w:rPr>
          <w:rFonts w:hint="eastAsia"/>
          <w:szCs w:val="21"/>
        </w:rPr>
        <w:t>第</w:t>
      </w:r>
      <w:r>
        <w:rPr>
          <w:rFonts w:hint="eastAsia"/>
          <w:szCs w:val="21"/>
        </w:rPr>
        <w:t>15</w:t>
      </w:r>
      <w:r>
        <w:rPr>
          <w:rFonts w:hint="eastAsia"/>
          <w:szCs w:val="21"/>
        </w:rPr>
        <w:t>条</w:t>
      </w:r>
      <w:r>
        <w:rPr>
          <w:rFonts w:hint="eastAsia"/>
          <w:szCs w:val="21"/>
        </w:rPr>
        <w:tab/>
        <w:t>722-934</w:t>
      </w:r>
      <w:r>
        <w:rPr>
          <w:rFonts w:hint="eastAsia"/>
          <w:szCs w:val="21"/>
        </w:rPr>
        <w:tab/>
        <w:t>140</w:t>
      </w:r>
    </w:p>
    <w:p w:rsidR="00000000" w:rsidRDefault="00457650">
      <w:pPr>
        <w:widowControl/>
        <w:tabs>
          <w:tab w:val="center" w:leader="dot" w:pos="8880"/>
          <w:tab w:val="right" w:pos="9840"/>
        </w:tabs>
        <w:spacing w:after="120"/>
        <w:rPr>
          <w:szCs w:val="21"/>
        </w:rPr>
      </w:pPr>
      <w:r>
        <w:rPr>
          <w:rFonts w:hint="eastAsia"/>
          <w:szCs w:val="21"/>
        </w:rPr>
        <w:t>三、对结论意见和建议的答复</w:t>
      </w:r>
      <w:r>
        <w:rPr>
          <w:rFonts w:hint="eastAsia"/>
          <w:szCs w:val="21"/>
        </w:rPr>
        <w:tab/>
        <w:t>935-1242</w:t>
      </w:r>
      <w:r>
        <w:rPr>
          <w:rFonts w:hint="eastAsia"/>
          <w:szCs w:val="21"/>
        </w:rPr>
        <w:tab/>
        <w:t>181</w:t>
      </w:r>
    </w:p>
    <w:p w:rsidR="00000000" w:rsidRDefault="00457650">
      <w:pPr>
        <w:widowControl/>
        <w:tabs>
          <w:tab w:val="center" w:leader="dot" w:pos="8880"/>
          <w:tab w:val="right" w:pos="9840"/>
        </w:tabs>
        <w:spacing w:after="120"/>
        <w:rPr>
          <w:szCs w:val="21"/>
        </w:rPr>
      </w:pPr>
      <w:r>
        <w:rPr>
          <w:rFonts w:hint="eastAsia"/>
          <w:szCs w:val="21"/>
        </w:rPr>
        <w:t>四、结论</w:t>
      </w:r>
      <w:r>
        <w:rPr>
          <w:rFonts w:hint="eastAsia"/>
          <w:szCs w:val="21"/>
        </w:rPr>
        <w:tab/>
        <w:t>1243-1250</w:t>
      </w:r>
      <w:r>
        <w:rPr>
          <w:rFonts w:hint="eastAsia"/>
          <w:szCs w:val="21"/>
        </w:rPr>
        <w:tab/>
        <w:t>231</w:t>
      </w:r>
    </w:p>
    <w:p w:rsidR="00000000" w:rsidRDefault="00457650">
      <w:pPr>
        <w:widowControl/>
        <w:tabs>
          <w:tab w:val="center" w:leader="dot" w:pos="9000"/>
          <w:tab w:val="right" w:pos="9840"/>
        </w:tabs>
        <w:spacing w:after="240"/>
        <w:rPr>
          <w:rFonts w:hint="eastAsia"/>
          <w:szCs w:val="21"/>
        </w:rPr>
      </w:pPr>
    </w:p>
    <w:p w:rsidR="00000000" w:rsidRDefault="00457650">
      <w:pPr>
        <w:pStyle w:val="Date"/>
        <w:widowControl/>
        <w:tabs>
          <w:tab w:val="center" w:leader="dot" w:pos="9000"/>
          <w:tab w:val="right" w:pos="9840"/>
        </w:tabs>
        <w:spacing w:after="240"/>
        <w:rPr>
          <w:rFonts w:hint="eastAsia"/>
          <w:szCs w:val="21"/>
        </w:rPr>
      </w:pPr>
    </w:p>
    <w:p w:rsidR="00000000" w:rsidRDefault="00457650">
      <w:pPr>
        <w:widowControl/>
        <w:tabs>
          <w:tab w:val="center" w:leader="dot" w:pos="9000"/>
          <w:tab w:val="right" w:pos="9840"/>
        </w:tabs>
        <w:spacing w:after="240"/>
        <w:rPr>
          <w:rFonts w:hint="eastAsia"/>
          <w:szCs w:val="21"/>
        </w:rPr>
      </w:pPr>
    </w:p>
    <w:bookmarkEnd w:id="2"/>
    <w:p w:rsidR="00000000" w:rsidRDefault="00457650">
      <w:pPr>
        <w:widowControl/>
        <w:spacing w:after="240" w:line="460" w:lineRule="exact"/>
        <w:jc w:val="center"/>
        <w:rPr>
          <w:rFonts w:eastAsia="SimHei" w:hint="eastAsia"/>
          <w:sz w:val="28"/>
        </w:rPr>
      </w:pPr>
      <w:r>
        <w:rPr>
          <w:szCs w:val="24"/>
        </w:rPr>
        <w:br w:type="page"/>
      </w:r>
      <w:r>
        <w:rPr>
          <w:rFonts w:eastAsia="SimHei" w:hint="eastAsia"/>
          <w:sz w:val="28"/>
        </w:rPr>
        <w:t>导言</w:t>
      </w:r>
    </w:p>
    <w:p w:rsidR="00000000" w:rsidRDefault="00457650">
      <w:pPr>
        <w:widowControl/>
        <w:tabs>
          <w:tab w:val="left" w:pos="630"/>
        </w:tabs>
        <w:spacing w:after="240" w:line="350" w:lineRule="exact"/>
        <w:rPr>
          <w:rFonts w:hint="eastAsia"/>
        </w:rPr>
      </w:pPr>
      <w:r>
        <w:rPr>
          <w:rFonts w:hint="eastAsia"/>
        </w:rPr>
        <w:t>1.</w:t>
      </w:r>
      <w:r>
        <w:rPr>
          <w:rFonts w:hint="eastAsia"/>
        </w:rPr>
        <w:tab/>
      </w:r>
      <w:r>
        <w:rPr>
          <w:rFonts w:hint="eastAsia"/>
        </w:rPr>
        <w:t>根据《经济、社会、文化权利国际公约》（或《公约》）第</w:t>
      </w:r>
      <w:r>
        <w:rPr>
          <w:rFonts w:hint="eastAsia"/>
        </w:rPr>
        <w:t>16</w:t>
      </w:r>
      <w:r>
        <w:rPr>
          <w:rFonts w:hint="eastAsia"/>
        </w:rPr>
        <w:t>条和第</w:t>
      </w:r>
      <w:r>
        <w:rPr>
          <w:rFonts w:hint="eastAsia"/>
        </w:rPr>
        <w:t>17</w:t>
      </w:r>
      <w:r>
        <w:rPr>
          <w:rFonts w:hint="eastAsia"/>
        </w:rPr>
        <w:t>条，为了履行其义务，墨西哥提</w:t>
      </w:r>
      <w:r>
        <w:rPr>
          <w:rFonts w:hint="eastAsia"/>
        </w:rPr>
        <w:t>交了关于《公约》执行情况的第四次定期报告。</w:t>
      </w:r>
    </w:p>
    <w:p w:rsidR="00000000" w:rsidRDefault="00457650">
      <w:pPr>
        <w:widowControl/>
        <w:tabs>
          <w:tab w:val="left" w:pos="630"/>
        </w:tabs>
        <w:spacing w:after="240" w:line="350" w:lineRule="exact"/>
        <w:rPr>
          <w:rFonts w:hint="eastAsia"/>
        </w:rPr>
      </w:pPr>
      <w:r>
        <w:rPr>
          <w:rFonts w:hint="eastAsia"/>
        </w:rPr>
        <w:t>2.</w:t>
      </w:r>
      <w:r>
        <w:rPr>
          <w:rFonts w:hint="eastAsia"/>
        </w:rPr>
        <w:tab/>
      </w:r>
      <w:r>
        <w:rPr>
          <w:rFonts w:hint="eastAsia"/>
        </w:rPr>
        <w:t>促进和普遍捍卫人权是墨西哥国优先考虑的一项根本任务。因此，墨西哥尽力为必不可少的公民权利和政治权利以及经济、社会和文化权利提供平等保护。</w:t>
      </w:r>
    </w:p>
    <w:p w:rsidR="00000000" w:rsidRDefault="00457650">
      <w:pPr>
        <w:widowControl/>
        <w:tabs>
          <w:tab w:val="left" w:pos="630"/>
        </w:tabs>
        <w:spacing w:after="240" w:line="350" w:lineRule="exact"/>
        <w:rPr>
          <w:rFonts w:hint="eastAsia"/>
        </w:rPr>
      </w:pPr>
      <w:r>
        <w:rPr>
          <w:rFonts w:hint="eastAsia"/>
        </w:rPr>
        <w:t>3.</w:t>
      </w:r>
      <w:r>
        <w:rPr>
          <w:rFonts w:hint="eastAsia"/>
        </w:rPr>
        <w:tab/>
      </w:r>
      <w:r>
        <w:rPr>
          <w:rFonts w:hint="eastAsia"/>
        </w:rPr>
        <w:t>墨西哥政府认为充分行使人权并尊重个人基本自由不仅是政府不可回避的责任，而且也是实现民主和国家发展的先决条件。</w:t>
      </w:r>
    </w:p>
    <w:p w:rsidR="00000000" w:rsidRDefault="00457650">
      <w:pPr>
        <w:widowControl/>
        <w:tabs>
          <w:tab w:val="left" w:pos="630"/>
        </w:tabs>
        <w:spacing w:after="240" w:line="350" w:lineRule="exact"/>
        <w:rPr>
          <w:rFonts w:hint="eastAsia"/>
        </w:rPr>
      </w:pPr>
      <w:r>
        <w:rPr>
          <w:rFonts w:hint="eastAsia"/>
        </w:rPr>
        <w:t>4.</w:t>
      </w:r>
      <w:r>
        <w:rPr>
          <w:rFonts w:hint="eastAsia"/>
        </w:rPr>
        <w:tab/>
      </w:r>
      <w:r>
        <w:rPr>
          <w:rFonts w:hint="eastAsia"/>
        </w:rPr>
        <w:t>尊重对经济、社会和文化权利的保护也符合墨西哥在制定有关这一问题的标准时所发扬的历史传统，特别是对社会权利而言。应该提及的是，</w:t>
      </w:r>
      <w:r>
        <w:rPr>
          <w:rFonts w:hint="eastAsia"/>
        </w:rPr>
        <w:t>1917</w:t>
      </w:r>
      <w:r>
        <w:rPr>
          <w:rFonts w:hint="eastAsia"/>
        </w:rPr>
        <w:t>年通过的《墨西哥宪法》就经济、社会和文化权利作了规定，墨西哥是最早将教</w:t>
      </w:r>
      <w:r>
        <w:rPr>
          <w:rFonts w:hint="eastAsia"/>
        </w:rPr>
        <w:t>育权利（第</w:t>
      </w:r>
      <w:r>
        <w:rPr>
          <w:rFonts w:hint="eastAsia"/>
        </w:rPr>
        <w:t>3</w:t>
      </w:r>
      <w:r>
        <w:rPr>
          <w:rFonts w:hint="eastAsia"/>
        </w:rPr>
        <w:t>条）、土地权利（第</w:t>
      </w:r>
      <w:r>
        <w:rPr>
          <w:rFonts w:hint="eastAsia"/>
        </w:rPr>
        <w:t>27</w:t>
      </w:r>
      <w:r>
        <w:rPr>
          <w:rFonts w:hint="eastAsia"/>
        </w:rPr>
        <w:t>条）、工人权利（第</w:t>
      </w:r>
      <w:r>
        <w:rPr>
          <w:rFonts w:hint="eastAsia"/>
        </w:rPr>
        <w:t>123</w:t>
      </w:r>
      <w:r>
        <w:rPr>
          <w:rFonts w:hint="eastAsia"/>
        </w:rPr>
        <w:t>条）和公共主观权利列入其宪法的国家之一。</w:t>
      </w:r>
    </w:p>
    <w:p w:rsidR="00000000" w:rsidRDefault="00457650">
      <w:pPr>
        <w:widowControl/>
        <w:tabs>
          <w:tab w:val="left" w:pos="630"/>
        </w:tabs>
        <w:spacing w:after="240" w:line="350" w:lineRule="exact"/>
        <w:rPr>
          <w:rFonts w:hint="eastAsia"/>
        </w:rPr>
      </w:pPr>
      <w:r>
        <w:rPr>
          <w:rFonts w:hint="eastAsia"/>
        </w:rPr>
        <w:t>5.</w:t>
      </w:r>
      <w:r>
        <w:rPr>
          <w:rFonts w:hint="eastAsia"/>
        </w:rPr>
        <w:tab/>
      </w:r>
      <w:r>
        <w:rPr>
          <w:rFonts w:hint="eastAsia"/>
        </w:rPr>
        <w:t>国家和国际的经济环境不利于墨西哥人民充分享有经济、社会、文化权利。</w:t>
      </w:r>
    </w:p>
    <w:p w:rsidR="00000000" w:rsidRDefault="00457650">
      <w:pPr>
        <w:widowControl/>
        <w:tabs>
          <w:tab w:val="left" w:pos="630"/>
        </w:tabs>
        <w:spacing w:after="240" w:line="350" w:lineRule="exact"/>
        <w:rPr>
          <w:rFonts w:hint="eastAsia"/>
        </w:rPr>
      </w:pPr>
      <w:r>
        <w:rPr>
          <w:rFonts w:hint="eastAsia"/>
        </w:rPr>
        <w:t>6.</w:t>
      </w:r>
      <w:r>
        <w:rPr>
          <w:rFonts w:hint="eastAsia"/>
        </w:rPr>
        <w:tab/>
      </w:r>
      <w:r>
        <w:rPr>
          <w:rFonts w:hint="eastAsia"/>
        </w:rPr>
        <w:t>墨西哥国承认所面临的各种困难，并重申愿意并决心履行其人权义务。墨西哥政府采取的全部人权行动和政策，特别是那些根据《公约》宗旨，为实现经济、社会和文化权利而采取的行动和政策，是墨西哥国整个人权政策规划的一部分，符合国际保护标准，并表明了墨西哥政府履行其国际义务的意愿。</w:t>
      </w:r>
    </w:p>
    <w:p w:rsidR="00000000" w:rsidRDefault="00457650">
      <w:pPr>
        <w:widowControl/>
        <w:tabs>
          <w:tab w:val="left" w:pos="630"/>
        </w:tabs>
        <w:spacing w:after="240" w:line="350" w:lineRule="exact"/>
        <w:rPr>
          <w:rFonts w:hint="eastAsia"/>
        </w:rPr>
      </w:pPr>
      <w:r>
        <w:rPr>
          <w:rFonts w:hint="eastAsia"/>
        </w:rPr>
        <w:t>7.</w:t>
      </w:r>
      <w:r>
        <w:rPr>
          <w:rFonts w:hint="eastAsia"/>
        </w:rPr>
        <w:tab/>
      </w:r>
      <w:r>
        <w:rPr>
          <w:rFonts w:hint="eastAsia"/>
        </w:rPr>
        <w:t>为了更好地行使人权，本届墨西哥政府自愿接受国际监督，并于</w:t>
      </w:r>
      <w:r>
        <w:rPr>
          <w:rFonts w:hint="eastAsia"/>
        </w:rPr>
        <w:t>2</w:t>
      </w:r>
      <w:r>
        <w:rPr>
          <w:rFonts w:hint="eastAsia"/>
        </w:rPr>
        <w:t>001</w:t>
      </w:r>
      <w:r>
        <w:rPr>
          <w:rFonts w:hint="eastAsia"/>
        </w:rPr>
        <w:t>年向联合国所有国际人权保护和促进机构以及其他国际组织的代表发出了公开、永久性的邀请，请他们访问墨西哥，为促进人权而出谋划策。</w:t>
      </w:r>
    </w:p>
    <w:p w:rsidR="00000000" w:rsidRDefault="00457650">
      <w:pPr>
        <w:widowControl/>
        <w:tabs>
          <w:tab w:val="left" w:pos="630"/>
        </w:tabs>
        <w:spacing w:after="240" w:line="350" w:lineRule="exact"/>
        <w:rPr>
          <w:rFonts w:hint="eastAsia"/>
        </w:rPr>
      </w:pPr>
      <w:r>
        <w:rPr>
          <w:rFonts w:hint="eastAsia"/>
        </w:rPr>
        <w:t>8.</w:t>
      </w:r>
      <w:r>
        <w:rPr>
          <w:rFonts w:hint="eastAsia"/>
        </w:rPr>
        <w:tab/>
      </w:r>
      <w:r>
        <w:rPr>
          <w:rFonts w:hint="eastAsia"/>
        </w:rPr>
        <w:t>作为其外交政策的组成部分，墨西哥的指导原则之一就是同国际组织和国际社会合作采取行动，帮助确保本国促进和尊重人权所必须的内部交流。本届政府通过核心文件所介绍的多个项目促进了国际合作。</w:t>
      </w:r>
    </w:p>
    <w:p w:rsidR="00000000" w:rsidRDefault="00457650">
      <w:pPr>
        <w:widowControl/>
        <w:tabs>
          <w:tab w:val="left" w:pos="630"/>
        </w:tabs>
        <w:spacing w:after="240" w:line="350" w:lineRule="exact"/>
        <w:rPr>
          <w:rFonts w:hint="eastAsia"/>
        </w:rPr>
      </w:pPr>
      <w:r>
        <w:rPr>
          <w:rFonts w:hint="eastAsia"/>
        </w:rPr>
        <w:t>9.</w:t>
      </w:r>
      <w:r>
        <w:rPr>
          <w:rFonts w:hint="eastAsia"/>
        </w:rPr>
        <w:tab/>
      </w:r>
      <w:r>
        <w:rPr>
          <w:rFonts w:hint="eastAsia"/>
        </w:rPr>
        <w:t>具体到经济、社会和文化权利，需要加强法律文书，以进一步表明这些权利的必要性并弘扬有利于行使这些权利的民间文化，为此，墨西哥积极提倡为《公约》起草一份任择议定书，规定建立一些机制，协助从法</w:t>
      </w:r>
      <w:r>
        <w:rPr>
          <w:rFonts w:hint="eastAsia"/>
        </w:rPr>
        <w:t>律上落实这些权利。因此，墨西哥支持联合国人权委员会第六十届会议通过的第</w:t>
      </w:r>
      <w:r>
        <w:rPr>
          <w:rFonts w:hint="eastAsia"/>
        </w:rPr>
        <w:t>2004/29</w:t>
      </w:r>
      <w:r>
        <w:rPr>
          <w:rFonts w:hint="eastAsia"/>
        </w:rPr>
        <w:t>号决议，该决议规定将负责制定议定书的工作组的任务期限延长两年。</w:t>
      </w:r>
    </w:p>
    <w:p w:rsidR="00000000" w:rsidRDefault="00457650">
      <w:pPr>
        <w:widowControl/>
        <w:tabs>
          <w:tab w:val="left" w:pos="630"/>
        </w:tabs>
        <w:spacing w:after="240" w:line="350" w:lineRule="exact"/>
        <w:rPr>
          <w:rFonts w:hint="eastAsia"/>
        </w:rPr>
      </w:pPr>
      <w:r>
        <w:rPr>
          <w:rFonts w:hint="eastAsia"/>
        </w:rPr>
        <w:t>10.</w:t>
      </w:r>
      <w:r>
        <w:rPr>
          <w:rFonts w:hint="eastAsia"/>
        </w:rPr>
        <w:tab/>
      </w:r>
      <w:r>
        <w:rPr>
          <w:rFonts w:hint="eastAsia"/>
        </w:rPr>
        <w:t>另外，应提请注意的是，墨西哥在</w:t>
      </w:r>
      <w:r>
        <w:rPr>
          <w:rFonts w:hint="eastAsia"/>
        </w:rPr>
        <w:t>2003</w:t>
      </w:r>
      <w:r>
        <w:rPr>
          <w:rFonts w:hint="eastAsia"/>
        </w:rPr>
        <w:t>年</w:t>
      </w:r>
      <w:r>
        <w:rPr>
          <w:rFonts w:hint="eastAsia"/>
        </w:rPr>
        <w:t>3</w:t>
      </w:r>
      <w:r>
        <w:rPr>
          <w:rFonts w:hint="eastAsia"/>
        </w:rPr>
        <w:t>月</w:t>
      </w:r>
      <w:r>
        <w:rPr>
          <w:rFonts w:hint="eastAsia"/>
        </w:rPr>
        <w:t>11</w:t>
      </w:r>
      <w:r>
        <w:rPr>
          <w:rFonts w:hint="eastAsia"/>
        </w:rPr>
        <w:t>日建立了由政府各部门和民间社会组织组成的政府人权政策委员会。该委员会的任务是联合提出有关人权公共政策和管理条例的提案，并为更好地促进和保护人权拟订必要的体制改革倡议。委员会通过九个小组委员会行使职责，其中包括经济、社会和文化权利小组委员会，它负责处理与促进和保护各种人权有关的所有问题。</w:t>
      </w:r>
    </w:p>
    <w:p w:rsidR="00000000" w:rsidRDefault="00457650">
      <w:pPr>
        <w:widowControl/>
        <w:tabs>
          <w:tab w:val="left" w:pos="630"/>
        </w:tabs>
        <w:spacing w:after="240" w:line="350" w:lineRule="exact"/>
        <w:rPr>
          <w:rFonts w:hint="eastAsia"/>
        </w:rPr>
      </w:pPr>
      <w:r>
        <w:rPr>
          <w:rFonts w:hint="eastAsia"/>
        </w:rPr>
        <w:t>11.</w:t>
      </w:r>
      <w:r>
        <w:rPr>
          <w:rFonts w:hint="eastAsia"/>
        </w:rPr>
        <w:tab/>
      </w:r>
      <w:r>
        <w:rPr>
          <w:rFonts w:hint="eastAsia"/>
        </w:rPr>
        <w:t>本届政府非常</w:t>
      </w:r>
      <w:r>
        <w:rPr>
          <w:rFonts w:hint="eastAsia"/>
        </w:rPr>
        <w:t>重视人权，它开展了各种活动，向大众宣传《公约》和墨西哥国做出的相关承诺。特别是经济、社会和文化权利小组委员会，它为宣传《公约》以及使各部门和民间社会更好地了解这些权利做出了贡献。同样，一些政府成员还参加了经济与社会政策方面的研讨会，他们提倡从人权角度分析这类政策，以使人们了解到，根据其法律的性质，这些权利还包含国家义务。</w:t>
      </w:r>
    </w:p>
    <w:p w:rsidR="00000000" w:rsidRDefault="00457650">
      <w:pPr>
        <w:widowControl/>
        <w:tabs>
          <w:tab w:val="left" w:pos="630"/>
        </w:tabs>
        <w:spacing w:after="240" w:line="350" w:lineRule="exact"/>
        <w:rPr>
          <w:rFonts w:hint="eastAsia"/>
        </w:rPr>
      </w:pPr>
      <w:r>
        <w:rPr>
          <w:rFonts w:hint="eastAsia"/>
        </w:rPr>
        <w:t>12.</w:t>
      </w:r>
      <w:r>
        <w:rPr>
          <w:rFonts w:hint="eastAsia"/>
        </w:rPr>
        <w:tab/>
      </w:r>
      <w:r>
        <w:rPr>
          <w:rFonts w:hint="eastAsia"/>
        </w:rPr>
        <w:t>同时，外交部、墨西哥国立自治大学、</w:t>
      </w:r>
      <w:r>
        <w:t>伊比利亚</w:t>
      </w:r>
      <w:r>
        <w:rPr>
          <w:rFonts w:hint="eastAsia"/>
        </w:rPr>
        <w:t>-</w:t>
      </w:r>
      <w:r>
        <w:t>美洲</w:t>
      </w:r>
      <w:r>
        <w:rPr>
          <w:rFonts w:hint="eastAsia"/>
        </w:rPr>
        <w:t>大学和联合国教育、科学及文化组织（教科文组织）于</w:t>
      </w:r>
      <w:r>
        <w:rPr>
          <w:rFonts w:hint="eastAsia"/>
        </w:rPr>
        <w:t>2002</w:t>
      </w:r>
      <w:r>
        <w:rPr>
          <w:rFonts w:hint="eastAsia"/>
        </w:rPr>
        <w:t>年签订了通过组织讨论会和其他学术活动鼓励讨论和宣传人权的合作协议，在此基础上</w:t>
      </w:r>
      <w:r>
        <w:rPr>
          <w:rFonts w:hint="eastAsia"/>
        </w:rPr>
        <w:t>，</w:t>
      </w:r>
      <w:r>
        <w:rPr>
          <w:rFonts w:hint="eastAsia"/>
        </w:rPr>
        <w:t>2002</w:t>
      </w:r>
      <w:r>
        <w:rPr>
          <w:rFonts w:hint="eastAsia"/>
        </w:rPr>
        <w:t>年</w:t>
      </w:r>
      <w:r>
        <w:rPr>
          <w:rFonts w:hint="eastAsia"/>
        </w:rPr>
        <w:t>7</w:t>
      </w:r>
      <w:r>
        <w:rPr>
          <w:rFonts w:hint="eastAsia"/>
        </w:rPr>
        <w:t>月</w:t>
      </w:r>
      <w:r>
        <w:rPr>
          <w:rFonts w:hint="eastAsia"/>
        </w:rPr>
        <w:t>4</w:t>
      </w:r>
      <w:r>
        <w:rPr>
          <w:rFonts w:hint="eastAsia"/>
        </w:rPr>
        <w:t>日至</w:t>
      </w:r>
      <w:r>
        <w:rPr>
          <w:rFonts w:hint="eastAsia"/>
        </w:rPr>
        <w:t>5</w:t>
      </w:r>
      <w:r>
        <w:rPr>
          <w:rFonts w:hint="eastAsia"/>
        </w:rPr>
        <w:t>日首次举行了主题为“拉丁美洲行使经济、社会和文化权利的障碍”的讨论会。此次讨论会的成果之一就是出版了《拉丁美洲经济、社会和文化权利：有效行使这些权利的障碍和主要国际文书》一书（教科文组织</w:t>
      </w:r>
      <w:r>
        <w:rPr>
          <w:rFonts w:hint="eastAsia"/>
        </w:rPr>
        <w:t>-</w:t>
      </w:r>
      <w:r>
        <w:rPr>
          <w:rFonts w:hint="eastAsia"/>
        </w:rPr>
        <w:t>墨西哥外交部</w:t>
      </w:r>
      <w:r>
        <w:rPr>
          <w:rFonts w:hint="eastAsia"/>
        </w:rPr>
        <w:t>-</w:t>
      </w:r>
      <w:r>
        <w:rPr>
          <w:rFonts w:hint="eastAsia"/>
        </w:rPr>
        <w:t>伊比利亚</w:t>
      </w:r>
      <w:r>
        <w:rPr>
          <w:rFonts w:hint="eastAsia"/>
        </w:rPr>
        <w:t>-</w:t>
      </w:r>
      <w:r>
        <w:rPr>
          <w:rFonts w:hint="eastAsia"/>
        </w:rPr>
        <w:t>美洲大学</w:t>
      </w:r>
      <w:r>
        <w:rPr>
          <w:rFonts w:hint="eastAsia"/>
        </w:rPr>
        <w:t>-</w:t>
      </w:r>
      <w:r>
        <w:rPr>
          <w:rFonts w:hint="eastAsia"/>
        </w:rPr>
        <w:t>墨西哥国立自治大学，墨西哥城，</w:t>
      </w:r>
      <w:r>
        <w:rPr>
          <w:rFonts w:hint="eastAsia"/>
        </w:rPr>
        <w:t>2003</w:t>
      </w:r>
      <w:r>
        <w:rPr>
          <w:rFonts w:hint="eastAsia"/>
        </w:rPr>
        <w:t>年）。</w:t>
      </w:r>
    </w:p>
    <w:p w:rsidR="00000000" w:rsidRDefault="00457650">
      <w:pPr>
        <w:widowControl/>
        <w:tabs>
          <w:tab w:val="left" w:pos="630"/>
        </w:tabs>
        <w:spacing w:after="240" w:line="350" w:lineRule="exact"/>
        <w:rPr>
          <w:rFonts w:hint="eastAsia"/>
        </w:rPr>
      </w:pPr>
      <w:r>
        <w:rPr>
          <w:rFonts w:hint="eastAsia"/>
        </w:rPr>
        <w:t>13.</w:t>
      </w:r>
      <w:r>
        <w:rPr>
          <w:rFonts w:hint="eastAsia"/>
        </w:rPr>
        <w:tab/>
      </w:r>
      <w:r>
        <w:rPr>
          <w:rFonts w:hint="eastAsia"/>
        </w:rPr>
        <w:t>墨西哥政府注意到，墨西哥社会可以通过逐步实现经济、社会和文化权利而使社会福利更加公平合理。因此，它尽其所能采取一切措施，使尽可能多的墨西哥人在最短的时间内享有这些权利。本报告说明墨西哥政府采取的行动和标准符合其根</w:t>
      </w:r>
      <w:r>
        <w:rPr>
          <w:rFonts w:hint="eastAsia"/>
        </w:rPr>
        <w:t>据《公约》所做的承诺。</w:t>
      </w:r>
    </w:p>
    <w:p w:rsidR="00000000" w:rsidRDefault="00457650">
      <w:pPr>
        <w:widowControl/>
        <w:tabs>
          <w:tab w:val="left" w:pos="630"/>
        </w:tabs>
        <w:spacing w:after="240" w:line="350" w:lineRule="exact"/>
        <w:rPr>
          <w:rFonts w:hint="eastAsia"/>
        </w:rPr>
      </w:pPr>
      <w:r>
        <w:rPr>
          <w:rFonts w:hint="eastAsia"/>
        </w:rPr>
        <w:t>14.</w:t>
      </w:r>
      <w:r>
        <w:rPr>
          <w:rFonts w:hint="eastAsia"/>
        </w:rPr>
        <w:tab/>
      </w:r>
      <w:r>
        <w:rPr>
          <w:rFonts w:hint="eastAsia"/>
        </w:rPr>
        <w:t>为了编写本报告，墨西哥政府采取了一种创新方法，聘用了墨西哥国立自治大学专门从事经济、社会和文化权利研究的外部顾问。</w:t>
      </w:r>
    </w:p>
    <w:p w:rsidR="00000000" w:rsidRDefault="00457650">
      <w:pPr>
        <w:widowControl/>
        <w:tabs>
          <w:tab w:val="left" w:pos="630"/>
        </w:tabs>
        <w:spacing w:after="240" w:line="350" w:lineRule="exact"/>
        <w:rPr>
          <w:rFonts w:hint="eastAsia"/>
        </w:rPr>
      </w:pPr>
      <w:r>
        <w:rPr>
          <w:rFonts w:hint="eastAsia"/>
        </w:rPr>
        <w:t>15.</w:t>
      </w:r>
      <w:r>
        <w:rPr>
          <w:rFonts w:hint="eastAsia"/>
        </w:rPr>
        <w:tab/>
      </w:r>
      <w:r>
        <w:rPr>
          <w:rFonts w:hint="eastAsia"/>
        </w:rPr>
        <w:t>上述专家参加了报告的协调和编写工作，并向各有关部门提出了使信息收集系统化的最佳办法，他还就如何选择数据提出了建议，以便具体有效地执行《经济、社会和文化权利委员会指南》。这一过程使人们对公共政策执行中的人权观点有了更好的理解。</w:t>
      </w:r>
    </w:p>
    <w:p w:rsidR="00000000" w:rsidRDefault="00457650">
      <w:pPr>
        <w:widowControl/>
        <w:tabs>
          <w:tab w:val="left" w:pos="630"/>
        </w:tabs>
        <w:spacing w:after="240" w:line="350" w:lineRule="exact"/>
        <w:rPr>
          <w:rFonts w:hint="eastAsia"/>
        </w:rPr>
      </w:pPr>
      <w:r>
        <w:rPr>
          <w:rFonts w:hint="eastAsia"/>
        </w:rPr>
        <w:t>16.</w:t>
      </w:r>
      <w:r>
        <w:rPr>
          <w:rFonts w:hint="eastAsia"/>
        </w:rPr>
        <w:tab/>
      </w:r>
      <w:r>
        <w:rPr>
          <w:rFonts w:hint="eastAsia"/>
        </w:rPr>
        <w:t>在经济、社会和文化权利小组委员会框架内，民间社会组织有机会表达自己的意见并将这些意见纳入本报告，本报告对墨西哥的主要国情、</w:t>
      </w:r>
      <w:r>
        <w:rPr>
          <w:rFonts w:hint="eastAsia"/>
        </w:rPr>
        <w:t>成就和尚须改进之处进行了客观、现实的研究。</w:t>
      </w:r>
    </w:p>
    <w:p w:rsidR="00000000" w:rsidRDefault="00457650">
      <w:pPr>
        <w:widowControl/>
        <w:tabs>
          <w:tab w:val="left" w:pos="630"/>
        </w:tabs>
        <w:spacing w:after="240" w:line="350" w:lineRule="exact"/>
        <w:rPr>
          <w:rFonts w:hint="eastAsia"/>
        </w:rPr>
      </w:pPr>
      <w:r>
        <w:rPr>
          <w:rFonts w:hint="eastAsia"/>
        </w:rPr>
        <w:t>17.</w:t>
      </w:r>
      <w:r>
        <w:rPr>
          <w:rFonts w:hint="eastAsia"/>
        </w:rPr>
        <w:tab/>
      </w:r>
      <w:r>
        <w:rPr>
          <w:rFonts w:hint="eastAsia"/>
        </w:rPr>
        <w:t>除了将民间社会组织的意见列入本报告最后部分之外，墨西哥政府还在解决本文件的漏洞和不足时参照了这些意见，并进行了尽可能全面的研究，这不仅符合《经济、社会和文化权利委员会指南》中规定的国际义务，而且还为国家做出了重要贡献。</w:t>
      </w:r>
    </w:p>
    <w:p w:rsidR="00000000" w:rsidRDefault="00457650">
      <w:pPr>
        <w:widowControl/>
        <w:tabs>
          <w:tab w:val="left" w:pos="630"/>
        </w:tabs>
        <w:spacing w:after="240" w:line="360" w:lineRule="exact"/>
        <w:jc w:val="center"/>
        <w:rPr>
          <w:rFonts w:eastAsia="SimHei" w:hint="eastAsia"/>
          <w:sz w:val="28"/>
        </w:rPr>
      </w:pPr>
      <w:r>
        <w:rPr>
          <w:rFonts w:eastAsia="SimHei" w:hint="eastAsia"/>
          <w:sz w:val="28"/>
        </w:rPr>
        <w:t>一、《公约》的一般规定</w:t>
      </w:r>
    </w:p>
    <w:p w:rsidR="00000000" w:rsidRDefault="00457650">
      <w:pPr>
        <w:widowControl/>
        <w:tabs>
          <w:tab w:val="left" w:pos="630"/>
        </w:tabs>
        <w:spacing w:after="240" w:line="360" w:lineRule="exact"/>
        <w:jc w:val="center"/>
        <w:rPr>
          <w:rFonts w:ascii="SimHei" w:eastAsia="SimHei" w:hint="eastAsia"/>
          <w:sz w:val="24"/>
        </w:rPr>
      </w:pPr>
      <w:r>
        <w:rPr>
          <w:rFonts w:ascii="SimHei" w:eastAsia="SimHei" w:hint="eastAsia"/>
          <w:sz w:val="24"/>
        </w:rPr>
        <w:t xml:space="preserve">A.  </w:t>
      </w:r>
      <w:r>
        <w:rPr>
          <w:rFonts w:ascii="SimHei" w:eastAsia="SimHei" w:hint="eastAsia"/>
          <w:sz w:val="24"/>
        </w:rPr>
        <w:t>第</w:t>
      </w:r>
      <w:r>
        <w:rPr>
          <w:rFonts w:ascii="SimHei" w:eastAsia="SimHei" w:hint="eastAsia"/>
          <w:sz w:val="24"/>
        </w:rPr>
        <w:t>1</w:t>
      </w:r>
      <w:r>
        <w:rPr>
          <w:rFonts w:ascii="SimHei" w:eastAsia="SimHei" w:hint="eastAsia"/>
          <w:sz w:val="24"/>
        </w:rPr>
        <w:t>条</w:t>
      </w:r>
    </w:p>
    <w:p w:rsidR="00000000" w:rsidRDefault="00457650">
      <w:pPr>
        <w:widowControl/>
        <w:tabs>
          <w:tab w:val="left" w:pos="630"/>
        </w:tabs>
        <w:spacing w:after="240" w:line="360" w:lineRule="exact"/>
        <w:rPr>
          <w:rFonts w:hint="eastAsia"/>
        </w:rPr>
      </w:pPr>
      <w:r>
        <w:rPr>
          <w:rFonts w:hint="eastAsia"/>
        </w:rPr>
        <w:t>18.</w:t>
      </w:r>
      <w:r>
        <w:rPr>
          <w:rFonts w:hint="eastAsia"/>
        </w:rPr>
        <w:tab/>
      </w:r>
      <w:r>
        <w:rPr>
          <w:rFonts w:hint="eastAsia"/>
        </w:rPr>
        <w:t>根据《公约》第</w:t>
      </w:r>
      <w:r>
        <w:t>1</w:t>
      </w:r>
      <w:r>
        <w:rPr>
          <w:rFonts w:hint="eastAsia"/>
        </w:rPr>
        <w:t>条规定，所有人民都有自决权。他们凭这种权利自由决定他们的政治地位，并自由谋求他们的经济、社会和文化发展。墨西哥履行了对该项原则的承诺。墨西哥政府已经在多种场合，通过其在联合国所</w:t>
      </w:r>
      <w:r>
        <w:rPr>
          <w:rFonts w:hint="eastAsia"/>
        </w:rPr>
        <w:t>表明的立场，以及规定了在全球政治平衡的基础上各民族自决原则的宪章，明确承诺信守这项旨在实现和平与国际合作的国际关系基本原则。自</w:t>
      </w:r>
      <w:r>
        <w:rPr>
          <w:rFonts w:hint="eastAsia"/>
        </w:rPr>
        <w:t>1940</w:t>
      </w:r>
      <w:r>
        <w:rPr>
          <w:rFonts w:hint="eastAsia"/>
        </w:rPr>
        <w:t>年代后期以来，墨西哥一直支持界定了二战后非殖民化进程的大会各项决议。墨西哥也对</w:t>
      </w:r>
      <w:r>
        <w:rPr>
          <w:rFonts w:hint="eastAsia"/>
        </w:rPr>
        <w:t>1964</w:t>
      </w:r>
      <w:r>
        <w:rPr>
          <w:rFonts w:hint="eastAsia"/>
        </w:rPr>
        <w:t>年</w:t>
      </w:r>
      <w:r>
        <w:rPr>
          <w:rFonts w:hint="eastAsia"/>
        </w:rPr>
        <w:t>8</w:t>
      </w:r>
      <w:r>
        <w:rPr>
          <w:rFonts w:hint="eastAsia"/>
        </w:rPr>
        <w:t>月</w:t>
      </w:r>
      <w:r>
        <w:rPr>
          <w:rFonts w:hint="eastAsia"/>
        </w:rPr>
        <w:t>6</w:t>
      </w:r>
      <w:r>
        <w:rPr>
          <w:rFonts w:hint="eastAsia"/>
        </w:rPr>
        <w:t>日第</w:t>
      </w:r>
      <w:r>
        <w:rPr>
          <w:rFonts w:hint="eastAsia"/>
        </w:rPr>
        <w:t>1803</w:t>
      </w:r>
      <w:r>
        <w:rPr>
          <w:rFonts w:hint="eastAsia"/>
        </w:rPr>
        <w:t>（</w:t>
      </w:r>
      <w:r>
        <w:rPr>
          <w:rFonts w:hint="eastAsia"/>
        </w:rPr>
        <w:t>XVII</w:t>
      </w:r>
      <w:r>
        <w:rPr>
          <w:rFonts w:hint="eastAsia"/>
        </w:rPr>
        <w:t>）号决议表示支持，根据自决原则，该决议规定各国对其自然资源拥有永久主权。墨西哥对此项原则的承诺在其对</w:t>
      </w:r>
      <w:r>
        <w:rPr>
          <w:rFonts w:hint="eastAsia"/>
        </w:rPr>
        <w:t>1972</w:t>
      </w:r>
      <w:r>
        <w:rPr>
          <w:rFonts w:hint="eastAsia"/>
        </w:rPr>
        <w:t>年第</w:t>
      </w:r>
      <w:r>
        <w:rPr>
          <w:rFonts w:hint="eastAsia"/>
        </w:rPr>
        <w:t>3016</w:t>
      </w:r>
      <w:r>
        <w:rPr>
          <w:rFonts w:hint="eastAsia"/>
        </w:rPr>
        <w:t>（</w:t>
      </w:r>
      <w:r>
        <w:rPr>
          <w:rFonts w:hint="eastAsia"/>
        </w:rPr>
        <w:t>XXVII</w:t>
      </w:r>
      <w:r>
        <w:rPr>
          <w:rFonts w:hint="eastAsia"/>
        </w:rPr>
        <w:t>）号决议的遵守中得以证明，该决议涉及各国对其国家资源、土地和水域的主权问题。</w:t>
      </w:r>
    </w:p>
    <w:p w:rsidR="00000000" w:rsidRDefault="00457650">
      <w:pPr>
        <w:widowControl/>
        <w:tabs>
          <w:tab w:val="left" w:pos="630"/>
        </w:tabs>
        <w:spacing w:after="240" w:line="360" w:lineRule="exact"/>
        <w:rPr>
          <w:rFonts w:hint="eastAsia"/>
        </w:rPr>
      </w:pPr>
      <w:r>
        <w:rPr>
          <w:rFonts w:hint="eastAsia"/>
        </w:rPr>
        <w:t>19.</w:t>
      </w:r>
      <w:r>
        <w:rPr>
          <w:rFonts w:hint="eastAsia"/>
        </w:rPr>
        <w:tab/>
      </w:r>
      <w:r>
        <w:rPr>
          <w:rFonts w:hint="eastAsia"/>
        </w:rPr>
        <w:t>墨西哥还支持</w:t>
      </w:r>
      <w:r>
        <w:rPr>
          <w:rFonts w:hint="eastAsia"/>
        </w:rPr>
        <w:t>1962</w:t>
      </w:r>
      <w:r>
        <w:rPr>
          <w:rFonts w:hint="eastAsia"/>
        </w:rPr>
        <w:t>年</w:t>
      </w:r>
      <w:r>
        <w:rPr>
          <w:rFonts w:hint="eastAsia"/>
        </w:rPr>
        <w:t>12</w:t>
      </w:r>
      <w:r>
        <w:rPr>
          <w:rFonts w:hint="eastAsia"/>
        </w:rPr>
        <w:t>月</w:t>
      </w:r>
      <w:r>
        <w:rPr>
          <w:rFonts w:hint="eastAsia"/>
        </w:rPr>
        <w:t>18</w:t>
      </w:r>
      <w:r>
        <w:rPr>
          <w:rFonts w:hint="eastAsia"/>
        </w:rPr>
        <w:t>日第</w:t>
      </w:r>
      <w:r>
        <w:rPr>
          <w:rFonts w:hint="eastAsia"/>
        </w:rPr>
        <w:t>1815</w:t>
      </w:r>
      <w:r>
        <w:rPr>
          <w:rFonts w:hint="eastAsia"/>
        </w:rPr>
        <w:t>（</w:t>
      </w:r>
      <w:r>
        <w:rPr>
          <w:rFonts w:hint="eastAsia"/>
        </w:rPr>
        <w:t>XVII</w:t>
      </w:r>
      <w:r>
        <w:rPr>
          <w:rFonts w:hint="eastAsia"/>
        </w:rPr>
        <w:t>）号决议，其中列出了建立各国间和平友好关系的各项原则。这项决议中还提及了民族自决问题，一项承诺在列入《墨西哥宪法》第</w:t>
      </w:r>
      <w:r>
        <w:rPr>
          <w:rFonts w:hint="eastAsia"/>
        </w:rPr>
        <w:t>2</w:t>
      </w:r>
      <w:r>
        <w:rPr>
          <w:rFonts w:hint="eastAsia"/>
        </w:rPr>
        <w:t>条和第</w:t>
      </w:r>
      <w:r>
        <w:rPr>
          <w:rFonts w:hint="eastAsia"/>
        </w:rPr>
        <w:t>89</w:t>
      </w:r>
      <w:r>
        <w:rPr>
          <w:rFonts w:hint="eastAsia"/>
        </w:rPr>
        <w:t>条第</w:t>
      </w:r>
      <w:r>
        <w:rPr>
          <w:rFonts w:hint="eastAsia"/>
        </w:rPr>
        <w:t>10</w:t>
      </w:r>
      <w:r>
        <w:rPr>
          <w:rFonts w:hint="eastAsia"/>
        </w:rPr>
        <w:t>款后得到加强。</w:t>
      </w:r>
    </w:p>
    <w:p w:rsidR="00000000" w:rsidRDefault="00457650">
      <w:pPr>
        <w:widowControl/>
        <w:tabs>
          <w:tab w:val="left" w:pos="630"/>
        </w:tabs>
        <w:spacing w:after="240" w:line="360" w:lineRule="exact"/>
        <w:rPr>
          <w:rFonts w:hint="eastAsia"/>
        </w:rPr>
      </w:pPr>
      <w:r>
        <w:rPr>
          <w:rFonts w:hint="eastAsia"/>
        </w:rPr>
        <w:t>20</w:t>
      </w:r>
      <w:r>
        <w:rPr>
          <w:rFonts w:hint="eastAsia"/>
        </w:rPr>
        <w:t>．所确认的内容反映在《宪法》第</w:t>
      </w:r>
      <w:r>
        <w:rPr>
          <w:rFonts w:hint="eastAsia"/>
        </w:rPr>
        <w:t>2</w:t>
      </w:r>
      <w:r>
        <w:rPr>
          <w:rFonts w:hint="eastAsia"/>
        </w:rPr>
        <w:t>条中，其中规定墨西哥是一个不可分割的国家，建立在本土各民族多种文化构成的基础上。《宪法》承认并保证土著民族的自决权，并因此承认他们在社会、经济、政治、司法和文化组织上的自主性。</w:t>
      </w:r>
    </w:p>
    <w:p w:rsidR="00000000" w:rsidRDefault="00457650">
      <w:pPr>
        <w:widowControl/>
        <w:tabs>
          <w:tab w:val="left" w:pos="630"/>
        </w:tabs>
        <w:spacing w:after="240" w:line="360" w:lineRule="exact"/>
        <w:jc w:val="center"/>
        <w:rPr>
          <w:rFonts w:ascii="SimHei" w:eastAsia="SimHei" w:hint="eastAsia"/>
          <w:sz w:val="24"/>
        </w:rPr>
      </w:pPr>
      <w:r>
        <w:rPr>
          <w:rFonts w:ascii="SimHei" w:eastAsia="SimHei" w:hint="eastAsia"/>
          <w:sz w:val="24"/>
        </w:rPr>
        <w:t xml:space="preserve">B.  </w:t>
      </w:r>
      <w:r>
        <w:rPr>
          <w:rFonts w:ascii="SimHei" w:eastAsia="SimHei" w:hint="eastAsia"/>
          <w:sz w:val="24"/>
        </w:rPr>
        <w:t>第</w:t>
      </w:r>
      <w:r>
        <w:rPr>
          <w:rFonts w:ascii="SimHei" w:eastAsia="SimHei" w:hint="eastAsia"/>
          <w:sz w:val="24"/>
        </w:rPr>
        <w:t>2</w:t>
      </w:r>
      <w:r>
        <w:rPr>
          <w:rFonts w:ascii="SimHei" w:eastAsia="SimHei" w:hint="eastAsia"/>
          <w:sz w:val="24"/>
        </w:rPr>
        <w:t>条</w:t>
      </w:r>
    </w:p>
    <w:p w:rsidR="00000000" w:rsidRDefault="00457650">
      <w:pPr>
        <w:widowControl/>
        <w:tabs>
          <w:tab w:val="left" w:pos="630"/>
        </w:tabs>
        <w:spacing w:after="240" w:line="360" w:lineRule="exact"/>
        <w:rPr>
          <w:rFonts w:hint="eastAsia"/>
        </w:rPr>
      </w:pPr>
      <w:r>
        <w:rPr>
          <w:rFonts w:hint="eastAsia"/>
        </w:rPr>
        <w:t>21.</w:t>
      </w:r>
      <w:r>
        <w:rPr>
          <w:rFonts w:hint="eastAsia"/>
        </w:rPr>
        <w:tab/>
      </w:r>
      <w:r>
        <w:rPr>
          <w:rFonts w:hint="eastAsia"/>
        </w:rPr>
        <w:t>关于墨西哥政府反对歧视的行动，</w:t>
      </w:r>
      <w:r>
        <w:rPr>
          <w:rFonts w:hint="eastAsia"/>
        </w:rPr>
        <w:t>2003</w:t>
      </w:r>
      <w:r>
        <w:rPr>
          <w:rFonts w:hint="eastAsia"/>
        </w:rPr>
        <w:t>年</w:t>
      </w:r>
      <w:r>
        <w:rPr>
          <w:rFonts w:hint="eastAsia"/>
        </w:rPr>
        <w:t>6</w:t>
      </w:r>
      <w:r>
        <w:rPr>
          <w:rFonts w:hint="eastAsia"/>
        </w:rPr>
        <w:t>月</w:t>
      </w:r>
      <w:r>
        <w:rPr>
          <w:rFonts w:hint="eastAsia"/>
        </w:rPr>
        <w:t>9</w:t>
      </w:r>
      <w:r>
        <w:rPr>
          <w:rFonts w:hint="eastAsia"/>
        </w:rPr>
        <w:t>日签署了颁布《预防和消除歧视联邦法案》的法令，并且于</w:t>
      </w:r>
      <w:r>
        <w:rPr>
          <w:rFonts w:hint="eastAsia"/>
        </w:rPr>
        <w:t>2003</w:t>
      </w:r>
      <w:r>
        <w:rPr>
          <w:rFonts w:hint="eastAsia"/>
        </w:rPr>
        <w:t>年</w:t>
      </w:r>
      <w:r>
        <w:rPr>
          <w:rFonts w:hint="eastAsia"/>
        </w:rPr>
        <w:t>6</w:t>
      </w:r>
      <w:r>
        <w:rPr>
          <w:rFonts w:hint="eastAsia"/>
        </w:rPr>
        <w:t>月</w:t>
      </w:r>
      <w:r>
        <w:rPr>
          <w:rFonts w:hint="eastAsia"/>
        </w:rPr>
        <w:t>12</w:t>
      </w:r>
      <w:r>
        <w:rPr>
          <w:rFonts w:hint="eastAsia"/>
        </w:rPr>
        <w:t>日生效（见附件一）。</w:t>
      </w:r>
    </w:p>
    <w:p w:rsidR="00000000" w:rsidRDefault="00457650">
      <w:pPr>
        <w:widowControl/>
        <w:tabs>
          <w:tab w:val="left" w:pos="630"/>
        </w:tabs>
        <w:spacing w:after="240" w:line="360" w:lineRule="exact"/>
        <w:rPr>
          <w:rFonts w:hint="eastAsia"/>
        </w:rPr>
      </w:pPr>
      <w:r>
        <w:rPr>
          <w:rFonts w:hint="eastAsia"/>
        </w:rPr>
        <w:t>22.</w:t>
      </w:r>
      <w:r>
        <w:rPr>
          <w:rFonts w:hint="eastAsia"/>
        </w:rPr>
        <w:tab/>
      </w:r>
      <w:r>
        <w:rPr>
          <w:rFonts w:hint="eastAsia"/>
        </w:rPr>
        <w:t>该法案在起草时考虑到了对妇女的长期歧视做法，以及国内如老年人、残疾人和土著居民等弱势群体的存在，这些群体要求享有对性别认同的权利和对不同于异性恋的性偏好的权利。该法案还认为应在墨西哥人中制定社会公正和平等原则。因此，很有必要建立一个法律框架来预防和消除国家某些地区存在的歧视现象。根据</w:t>
      </w:r>
      <w:r>
        <w:rPr>
          <w:rFonts w:hint="eastAsia"/>
        </w:rPr>
        <w:t>2001</w:t>
      </w:r>
      <w:r>
        <w:rPr>
          <w:rFonts w:hint="eastAsia"/>
        </w:rPr>
        <w:t>年列入《宪法》的对平等权利和禁止歧视的法定授权，</w:t>
      </w:r>
      <w:r>
        <w:rPr>
          <w:rStyle w:val="FootnoteReference"/>
          <w:szCs w:val="21"/>
        </w:rPr>
        <w:footnoteReference w:id="1"/>
      </w:r>
      <w:r>
        <w:rPr>
          <w:rFonts w:hint="eastAsia"/>
        </w:rPr>
        <w:t>以及关于预防、打击和消除歧视的国际法和相关法律，这一框架确立了可以通过实际行动影响局势的法律，有助于消除阻碍本国人民充分享受其权利与自由</w:t>
      </w:r>
      <w:r>
        <w:rPr>
          <w:rFonts w:hint="eastAsia"/>
        </w:rPr>
        <w:t>的各种形式的排外行为。</w:t>
      </w:r>
    </w:p>
    <w:p w:rsidR="00000000" w:rsidRDefault="00457650">
      <w:pPr>
        <w:widowControl/>
        <w:tabs>
          <w:tab w:val="left" w:pos="630"/>
        </w:tabs>
        <w:spacing w:after="240" w:line="360" w:lineRule="exact"/>
        <w:rPr>
          <w:rFonts w:hint="eastAsia"/>
        </w:rPr>
      </w:pPr>
      <w:r>
        <w:rPr>
          <w:rFonts w:hint="eastAsia"/>
        </w:rPr>
        <w:t>23.</w:t>
      </w:r>
      <w:r>
        <w:rPr>
          <w:rFonts w:hint="eastAsia"/>
        </w:rPr>
        <w:tab/>
      </w:r>
      <w:r>
        <w:rPr>
          <w:rFonts w:hint="eastAsia"/>
        </w:rPr>
        <w:t>《预防和消除歧视联邦法案》确立了有关的法律机制和机构，有助于有效执行《墨西哥合众国宪法》第</w:t>
      </w:r>
      <w:r>
        <w:rPr>
          <w:rFonts w:hint="eastAsia"/>
        </w:rPr>
        <w:t>1</w:t>
      </w:r>
      <w:r>
        <w:rPr>
          <w:rFonts w:hint="eastAsia"/>
        </w:rPr>
        <w:t>条第</w:t>
      </w:r>
      <w:r>
        <w:rPr>
          <w:rFonts w:hint="eastAsia"/>
        </w:rPr>
        <w:t>3</w:t>
      </w:r>
      <w:r>
        <w:rPr>
          <w:rFonts w:hint="eastAsia"/>
        </w:rPr>
        <w:t>款的规定，禁止墨西哥境内各种形式的歧视行为。</w:t>
      </w:r>
    </w:p>
    <w:p w:rsidR="00000000" w:rsidRDefault="00457650">
      <w:pPr>
        <w:widowControl/>
        <w:tabs>
          <w:tab w:val="left" w:pos="630"/>
        </w:tabs>
        <w:spacing w:after="240" w:line="340" w:lineRule="exact"/>
        <w:rPr>
          <w:rFonts w:hint="eastAsia"/>
        </w:rPr>
      </w:pPr>
      <w:r>
        <w:rPr>
          <w:rFonts w:hint="eastAsia"/>
        </w:rPr>
        <w:t>24.</w:t>
      </w:r>
      <w:r>
        <w:rPr>
          <w:rFonts w:hint="eastAsia"/>
        </w:rPr>
        <w:tab/>
      </w:r>
      <w:r>
        <w:rPr>
          <w:rFonts w:hint="eastAsia"/>
        </w:rPr>
        <w:t>该法对歧视的定义如下：“</w:t>
      </w:r>
      <w:r>
        <w:rPr>
          <w:rFonts w:eastAsia="KaiTi_GB2312" w:hint="eastAsia"/>
        </w:rPr>
        <w:t>……任何基于种族或者民族渊源、性别、年龄、残疾、社会或经济状况、健康状况、怀孕、语言、宗教、观点、性偏好、民事或其他任何情况的区别对待、排外或者限制行为，具有阻碍或废弃个人权利和真正平等机会的作用</w:t>
      </w:r>
      <w:r>
        <w:rPr>
          <w:rFonts w:hint="eastAsia"/>
        </w:rPr>
        <w:t>”。</w:t>
      </w:r>
      <w:r>
        <w:rPr>
          <w:rStyle w:val="FootnoteReference"/>
          <w:szCs w:val="21"/>
        </w:rPr>
        <w:footnoteReference w:id="2"/>
      </w:r>
      <w:r>
        <w:rPr>
          <w:rFonts w:hint="eastAsia"/>
        </w:rPr>
        <w:t>该法的目的在于阻止和消除在墨西哥领土内，任何人根据《墨西哥合众国宪法》第</w:t>
      </w:r>
      <w:r>
        <w:rPr>
          <w:rFonts w:hint="eastAsia"/>
        </w:rPr>
        <w:t>1</w:t>
      </w:r>
      <w:r>
        <w:rPr>
          <w:rFonts w:hint="eastAsia"/>
        </w:rPr>
        <w:t>条第</w:t>
      </w:r>
      <w:r>
        <w:rPr>
          <w:rFonts w:hint="eastAsia"/>
        </w:rPr>
        <w:t>3</w:t>
      </w:r>
      <w:r>
        <w:rPr>
          <w:rFonts w:hint="eastAsia"/>
        </w:rPr>
        <w:t>款所发现的，针对自己的</w:t>
      </w:r>
      <w:r>
        <w:rPr>
          <w:rFonts w:hint="eastAsia"/>
        </w:rPr>
        <w:t>所有形式的歧视行为，并促进机会与待遇方面的真正平等。它规定当局和公共机构有责任在其能力范围内采取一切措施避免各种形式的歧视行为，而且公共当局应该在其职权范围内，为弱势群体获得公平机会采取具体而积极的补偿性行动。</w:t>
      </w:r>
    </w:p>
    <w:p w:rsidR="00000000" w:rsidRDefault="00457650">
      <w:pPr>
        <w:widowControl/>
        <w:tabs>
          <w:tab w:val="left" w:pos="630"/>
        </w:tabs>
        <w:spacing w:after="240" w:line="340" w:lineRule="exact"/>
        <w:rPr>
          <w:rFonts w:hint="eastAsia"/>
        </w:rPr>
      </w:pPr>
      <w:r>
        <w:rPr>
          <w:rFonts w:hint="eastAsia"/>
        </w:rPr>
        <w:t>25.</w:t>
      </w:r>
      <w:r>
        <w:rPr>
          <w:rFonts w:hint="eastAsia"/>
        </w:rPr>
        <w:tab/>
      </w:r>
      <w:r>
        <w:rPr>
          <w:rFonts w:hint="eastAsia"/>
        </w:rPr>
        <w:t>法案建议采取的行动要求国家针对最弱势群体的境况进行补偿，并从一开始就为所有人营造一种比较相似和平等的环境。积极的、有利于妇女、土著民、残疾人士、老人与儿童的行动已经纳入了公共预算的考虑范畴。</w:t>
      </w:r>
    </w:p>
    <w:p w:rsidR="00000000" w:rsidRDefault="00457650">
      <w:pPr>
        <w:widowControl/>
        <w:tabs>
          <w:tab w:val="left" w:pos="630"/>
        </w:tabs>
        <w:spacing w:after="240" w:line="340" w:lineRule="exact"/>
        <w:rPr>
          <w:rFonts w:hint="eastAsia"/>
        </w:rPr>
      </w:pPr>
      <w:r>
        <w:rPr>
          <w:rFonts w:hint="eastAsia"/>
        </w:rPr>
        <w:t>26.</w:t>
      </w:r>
      <w:r>
        <w:rPr>
          <w:rFonts w:hint="eastAsia"/>
        </w:rPr>
        <w:tab/>
      </w:r>
      <w:r>
        <w:rPr>
          <w:rFonts w:hint="eastAsia"/>
        </w:rPr>
        <w:t>《预防和消除歧视联邦法案》还要求墨西哥履行其已做出和批准的消除歧视国际承诺，因为特殊形式的保</w:t>
      </w:r>
      <w:r>
        <w:rPr>
          <w:rFonts w:hint="eastAsia"/>
        </w:rPr>
        <w:t>护和据此确定的积极行动已列入根据《国际人权公约》、联合国消除所有形式的种族歧视国际大会、联合国消除所有形式的歧视妇女国际大会、儿童权利大会，以及消除所有形式的歧视残疾人的美洲国家大会等内容所规定的墨西哥联邦立法的内容。该法还确认，在有多种解释的情况下，应优先考虑能更加有效地保护弱势个人或群体的那种解释。</w:t>
      </w:r>
    </w:p>
    <w:p w:rsidR="00000000" w:rsidRDefault="00457650">
      <w:pPr>
        <w:widowControl/>
        <w:tabs>
          <w:tab w:val="left" w:pos="630"/>
        </w:tabs>
        <w:spacing w:after="240" w:line="340" w:lineRule="exact"/>
        <w:rPr>
          <w:rFonts w:hint="eastAsia"/>
        </w:rPr>
      </w:pPr>
      <w:r>
        <w:rPr>
          <w:rFonts w:hint="eastAsia"/>
        </w:rPr>
        <w:t>27.</w:t>
      </w:r>
      <w:r>
        <w:rPr>
          <w:rFonts w:hint="eastAsia"/>
        </w:rPr>
        <w:tab/>
      </w:r>
      <w:r>
        <w:rPr>
          <w:rFonts w:hint="eastAsia"/>
        </w:rPr>
        <w:t>墨西哥新颁布的禁止歧视法使本国根据上述文书做出的各种承诺更加规范化和系统化，并得到加强。该法也导致了预防歧视国家委员会的创立，该机构负责监测该法的执行情况，调整反对歧视的公共政策，同时还负责执行并协</w:t>
      </w:r>
      <w:r>
        <w:rPr>
          <w:rFonts w:hint="eastAsia"/>
        </w:rPr>
        <w:t>调信息、教育、传播，以及其他形式的反歧视措施，并提倡人们在彼此交往中互惠与互利的风气。委员会是联邦政府的下属机构，有自己的法律人格和资产，享有技术和管理上的自治权。由于它不隶属于任何当局，因此在提出发生权利要求和进行投诉的情况下，可以做出完全独立的决定。</w:t>
      </w:r>
    </w:p>
    <w:p w:rsidR="00000000" w:rsidRDefault="00457650">
      <w:pPr>
        <w:widowControl/>
        <w:tabs>
          <w:tab w:val="left" w:pos="630"/>
        </w:tabs>
        <w:spacing w:after="240" w:line="340" w:lineRule="exact"/>
        <w:rPr>
          <w:rFonts w:hint="eastAsia"/>
        </w:rPr>
      </w:pPr>
      <w:r>
        <w:rPr>
          <w:rFonts w:hint="eastAsia"/>
        </w:rPr>
        <w:t>28.</w:t>
      </w:r>
      <w:r>
        <w:rPr>
          <w:rFonts w:hint="eastAsia"/>
        </w:rPr>
        <w:tab/>
      </w:r>
      <w:r>
        <w:rPr>
          <w:rFonts w:hint="eastAsia"/>
        </w:rPr>
        <w:t>委员会的另一个责任是促进国家这一领域的文化和社会发展，采取有利于预防和消除歧视的法律行动；制定并促进有利于本国人民获得平等机会和待遇的公共政策；协调联邦执行机构各部门和机构开展的预防和消除歧视活动。</w:t>
      </w:r>
    </w:p>
    <w:p w:rsidR="00000000" w:rsidRDefault="00457650">
      <w:pPr>
        <w:widowControl/>
        <w:tabs>
          <w:tab w:val="left" w:pos="630"/>
        </w:tabs>
        <w:spacing w:after="240" w:line="340" w:lineRule="exact"/>
        <w:rPr>
          <w:rFonts w:hint="eastAsia"/>
        </w:rPr>
      </w:pPr>
      <w:r>
        <w:rPr>
          <w:rFonts w:hint="eastAsia"/>
        </w:rPr>
        <w:t>29.</w:t>
      </w:r>
      <w:r>
        <w:rPr>
          <w:rFonts w:hint="eastAsia"/>
        </w:rPr>
        <w:tab/>
      </w:r>
      <w:r>
        <w:rPr>
          <w:rFonts w:hint="eastAsia"/>
        </w:rPr>
        <w:t>委员会的主要任务包括如下几项：制定战略和</w:t>
      </w:r>
      <w:r>
        <w:rPr>
          <w:rFonts w:hint="eastAsia"/>
        </w:rPr>
        <w:t>方法；建议并评估《预防和消除歧视联邦法案》的执行情况；采纳在公共私人机构和组织中预防和消除歧视的方法和计划；进一步促进并宣传就政治、经济、社会和文化领域的歧视做法开展的研究；对有关该问题和建议的现有法律和行政规定进行研究，必要时还可进行适当的修改；调查举报的歧视行为和做法；倾听并解决该法案管辖内的投诉与权利要求；协调联邦、当地和市政公共机构之间，以及与个人、社会和私人组织之间的关系。委员会最伟大的创新之处或许在于有能力受理对发生在私人环境（在教育、劳动、运动、休闲等领域内）中的歧视行为的投诉。在此情况下，委</w:t>
      </w:r>
      <w:r>
        <w:rPr>
          <w:rFonts w:hint="eastAsia"/>
        </w:rPr>
        <w:t>员会可以充当各方的仲裁人或协调者，并且不损害投诉人在适当情况下提起诉讼的权利。</w:t>
      </w:r>
    </w:p>
    <w:p w:rsidR="00000000" w:rsidRDefault="00457650">
      <w:pPr>
        <w:widowControl/>
        <w:tabs>
          <w:tab w:val="left" w:pos="630"/>
        </w:tabs>
        <w:spacing w:after="240" w:line="340" w:lineRule="exact"/>
        <w:rPr>
          <w:rFonts w:hint="eastAsia"/>
        </w:rPr>
      </w:pPr>
      <w:r>
        <w:rPr>
          <w:rFonts w:hint="eastAsia"/>
        </w:rPr>
        <w:t>30.</w:t>
      </w:r>
      <w:r>
        <w:rPr>
          <w:rFonts w:hint="eastAsia"/>
        </w:rPr>
        <w:tab/>
      </w:r>
      <w:r>
        <w:rPr>
          <w:rFonts w:hint="eastAsia"/>
        </w:rPr>
        <w:t>委员会由负责政府和民间参与的董事会管理，</w:t>
      </w:r>
      <w:r>
        <w:rPr>
          <w:rStyle w:val="FootnoteReference"/>
          <w:szCs w:val="21"/>
        </w:rPr>
        <w:footnoteReference w:id="3"/>
      </w:r>
      <w:r>
        <w:rPr>
          <w:rFonts w:hint="eastAsia"/>
        </w:rPr>
        <w:t>它设有一个顾问委员会，以便那些抵制社会排外行为的声音能够被听到。委员会还设有一个咨询机构，由私人、社会或学术部门的代表组成，该机构就委员会采取的行动和制定的公共政策、方案和项目提供建议和指导。</w:t>
      </w:r>
    </w:p>
    <w:p w:rsidR="00000000" w:rsidRDefault="00457650">
      <w:pPr>
        <w:widowControl/>
        <w:tabs>
          <w:tab w:val="left" w:pos="630"/>
        </w:tabs>
        <w:spacing w:after="240" w:line="350" w:lineRule="exact"/>
        <w:rPr>
          <w:rFonts w:hint="eastAsia"/>
        </w:rPr>
      </w:pPr>
      <w:r>
        <w:rPr>
          <w:rFonts w:hint="eastAsia"/>
        </w:rPr>
        <w:t>31.</w:t>
      </w:r>
      <w:r>
        <w:rPr>
          <w:rFonts w:hint="eastAsia"/>
        </w:rPr>
        <w:tab/>
      </w:r>
      <w:r>
        <w:rPr>
          <w:rFonts w:hint="eastAsia"/>
        </w:rPr>
        <w:t>简而言之，《预防和消除歧视联邦法案》规定确保《宪法》第</w:t>
      </w:r>
      <w:r>
        <w:rPr>
          <w:rFonts w:hint="eastAsia"/>
        </w:rPr>
        <w:t>1</w:t>
      </w:r>
      <w:r>
        <w:rPr>
          <w:rFonts w:hint="eastAsia"/>
        </w:rPr>
        <w:t>条第</w:t>
      </w:r>
      <w:r>
        <w:rPr>
          <w:rFonts w:hint="eastAsia"/>
        </w:rPr>
        <w:t>3</w:t>
      </w:r>
      <w:r>
        <w:rPr>
          <w:rFonts w:hint="eastAsia"/>
        </w:rPr>
        <w:t>款所预见的不歧视行为，其目的就是要为预防和消除歧视建立规则和程序，以及为实现机会平等制定积极的补偿措施。</w:t>
      </w:r>
    </w:p>
    <w:p w:rsidR="00000000" w:rsidRDefault="00457650">
      <w:pPr>
        <w:keepNext/>
        <w:widowControl/>
        <w:tabs>
          <w:tab w:val="left" w:pos="630"/>
        </w:tabs>
        <w:spacing w:after="240" w:line="350" w:lineRule="exact"/>
        <w:jc w:val="center"/>
        <w:rPr>
          <w:rFonts w:ascii="SimHei" w:eastAsia="SimHei" w:hint="eastAsia"/>
          <w:sz w:val="24"/>
        </w:rPr>
      </w:pPr>
      <w:r>
        <w:rPr>
          <w:rFonts w:ascii="SimHei" w:eastAsia="SimHei" w:hint="eastAsia"/>
          <w:sz w:val="24"/>
        </w:rPr>
        <w:t xml:space="preserve">C.  </w:t>
      </w:r>
      <w:r>
        <w:rPr>
          <w:rFonts w:ascii="SimHei" w:eastAsia="SimHei" w:hint="eastAsia"/>
          <w:sz w:val="24"/>
        </w:rPr>
        <w:t>第</w:t>
      </w:r>
      <w:r>
        <w:rPr>
          <w:rFonts w:ascii="SimHei" w:eastAsia="SimHei" w:hint="eastAsia"/>
          <w:sz w:val="24"/>
        </w:rPr>
        <w:t>3</w:t>
      </w:r>
      <w:r>
        <w:rPr>
          <w:rFonts w:ascii="SimHei" w:eastAsia="SimHei" w:hint="eastAsia"/>
          <w:sz w:val="24"/>
        </w:rPr>
        <w:t>条</w:t>
      </w:r>
    </w:p>
    <w:p w:rsidR="00000000" w:rsidRDefault="00457650">
      <w:pPr>
        <w:keepNext/>
        <w:widowControl/>
        <w:tabs>
          <w:tab w:val="left" w:pos="630"/>
        </w:tabs>
        <w:spacing w:after="240" w:line="350" w:lineRule="exact"/>
        <w:rPr>
          <w:rFonts w:hint="eastAsia"/>
          <w:lang w:val="zh-CN"/>
        </w:rPr>
      </w:pPr>
      <w:r>
        <w:rPr>
          <w:rFonts w:hint="eastAsia"/>
        </w:rPr>
        <w:t>32.</w:t>
      </w:r>
      <w:r>
        <w:rPr>
          <w:rFonts w:hint="eastAsia"/>
        </w:rPr>
        <w:tab/>
      </w:r>
      <w:r>
        <w:rPr>
          <w:rFonts w:hint="eastAsia"/>
        </w:rPr>
        <w:t>除了前面提到的《预防和消除歧视联邦法案》外，墨西哥还有两个具有开拓性的活动和倡议值得注意：它是世界上第一个在和平时期设立</w:t>
      </w:r>
      <w:r>
        <w:rPr>
          <w:rFonts w:hint="eastAsia"/>
          <w:lang w:val="zh-CN"/>
        </w:rPr>
        <w:t>联合国人权事务高级专员办事处代表处的国家，它还是第一个由政府将全国人权调查的准备工作交由联合国负责的国家。</w:t>
      </w:r>
    </w:p>
    <w:p w:rsidR="00000000" w:rsidRDefault="00457650">
      <w:pPr>
        <w:widowControl/>
        <w:tabs>
          <w:tab w:val="left" w:pos="630"/>
        </w:tabs>
        <w:spacing w:after="240" w:line="350" w:lineRule="exact"/>
        <w:rPr>
          <w:rFonts w:hint="eastAsia"/>
          <w:lang w:val="zh-CN"/>
        </w:rPr>
      </w:pPr>
      <w:r>
        <w:rPr>
          <w:rFonts w:hint="eastAsia"/>
        </w:rPr>
        <w:t>33.</w:t>
      </w:r>
      <w:r>
        <w:rPr>
          <w:rFonts w:hint="eastAsia"/>
        </w:rPr>
        <w:tab/>
      </w:r>
      <w:r>
        <w:rPr>
          <w:rFonts w:hint="eastAsia"/>
        </w:rPr>
        <w:t>关于该项调查的第</w:t>
      </w:r>
      <w:r>
        <w:rPr>
          <w:rFonts w:hint="eastAsia"/>
        </w:rPr>
        <w:t>5</w:t>
      </w:r>
      <w:r>
        <w:rPr>
          <w:rFonts w:hint="eastAsia"/>
        </w:rPr>
        <w:t>章专门论述了妇女人权这个议题，它于</w:t>
      </w:r>
      <w:r>
        <w:rPr>
          <w:rFonts w:hint="eastAsia"/>
        </w:rPr>
        <w:t>2003</w:t>
      </w:r>
      <w:r>
        <w:rPr>
          <w:rFonts w:hint="eastAsia"/>
        </w:rPr>
        <w:t>年</w:t>
      </w:r>
      <w:r>
        <w:rPr>
          <w:rFonts w:hint="eastAsia"/>
        </w:rPr>
        <w:t>12</w:t>
      </w:r>
      <w:r>
        <w:rPr>
          <w:rFonts w:hint="eastAsia"/>
        </w:rPr>
        <w:t>月提交。第一项般性说明提到应该在本国和州立法中纳入国际公约有关条款并适当执行，特别是《</w:t>
      </w:r>
      <w:r>
        <w:rPr>
          <w:rFonts w:hint="eastAsia"/>
          <w:lang w:val="zh-CN"/>
        </w:rPr>
        <w:t>消除对妇女一切形式歧视公约》和《贝伦杜帕拉公约》。关于</w:t>
      </w:r>
      <w:r>
        <w:t>国家妇女机会平等</w:t>
      </w:r>
      <w:r>
        <w:rPr>
          <w:rFonts w:hint="eastAsia"/>
        </w:rPr>
        <w:t>和</w:t>
      </w:r>
      <w:r>
        <w:t>反歧视</w:t>
      </w:r>
      <w:r>
        <w:rPr>
          <w:rFonts w:hint="eastAsia"/>
          <w:lang w:val="zh-CN"/>
        </w:rPr>
        <w:t>项目，该项目提倡“促进建立有效的保</w:t>
      </w:r>
      <w:r>
        <w:rPr>
          <w:rFonts w:hint="eastAsia"/>
          <w:lang w:val="zh-CN"/>
        </w:rPr>
        <w:t>护妇女和女童人权的全国法律框架，以便根据这些基本规范充分加强和保证妇女和女童的人权。”它还为捍卫、保护和促进妇女人权的一系列战略行动创造了条件。</w:t>
      </w:r>
    </w:p>
    <w:p w:rsidR="00000000" w:rsidRDefault="00457650">
      <w:pPr>
        <w:widowControl/>
        <w:tabs>
          <w:tab w:val="left" w:pos="630"/>
        </w:tabs>
        <w:spacing w:after="240" w:line="350" w:lineRule="exact"/>
        <w:rPr>
          <w:rFonts w:hint="eastAsia"/>
          <w:lang w:val="zh-CN"/>
        </w:rPr>
      </w:pPr>
      <w:r>
        <w:rPr>
          <w:rFonts w:hint="eastAsia"/>
          <w:lang w:val="zh-CN"/>
        </w:rPr>
        <w:t>34.</w:t>
      </w:r>
      <w:r>
        <w:rPr>
          <w:rFonts w:hint="eastAsia"/>
          <w:lang w:val="zh-CN"/>
        </w:rPr>
        <w:tab/>
      </w:r>
      <w:r>
        <w:rPr>
          <w:rFonts w:hint="eastAsia"/>
          <w:lang w:val="zh-CN"/>
        </w:rPr>
        <w:t>为了对捍卫和促进人权做出决定性贡献，墨西哥制订了一个“从性别角度考虑立法”的项目，以此鼓励保证平等和非歧视的立法议程。</w:t>
      </w:r>
      <w:r>
        <w:rPr>
          <w:rFonts w:hint="eastAsia"/>
          <w:lang w:val="zh-CN"/>
        </w:rPr>
        <w:t>2003</w:t>
      </w:r>
      <w:r>
        <w:rPr>
          <w:rFonts w:hint="eastAsia"/>
          <w:lang w:val="zh-CN"/>
        </w:rPr>
        <w:t>年末举行了四次工作会议：其中的一次会议有联邦议会妇女议员参加；其余三个是地区会议，</w:t>
      </w:r>
      <w:r>
        <w:rPr>
          <w:rFonts w:hint="eastAsia"/>
          <w:lang w:val="zh-CN"/>
        </w:rPr>
        <w:t xml:space="preserve"> 32</w:t>
      </w:r>
      <w:r>
        <w:rPr>
          <w:rFonts w:hint="eastAsia"/>
          <w:lang w:val="zh-CN"/>
        </w:rPr>
        <w:t>个地方议会中有</w:t>
      </w:r>
      <w:r>
        <w:rPr>
          <w:rFonts w:hint="eastAsia"/>
          <w:lang w:val="zh-CN"/>
        </w:rPr>
        <w:t>27</w:t>
      </w:r>
      <w:r>
        <w:rPr>
          <w:rFonts w:hint="eastAsia"/>
          <w:lang w:val="zh-CN"/>
        </w:rPr>
        <w:t>个议会的公平和性别问题委员会的男女议员参加了会议，另外国家妇女组织也参加了会议。</w:t>
      </w:r>
    </w:p>
    <w:p w:rsidR="00000000" w:rsidRDefault="00457650">
      <w:pPr>
        <w:widowControl/>
        <w:tabs>
          <w:tab w:val="left" w:pos="630"/>
        </w:tabs>
        <w:spacing w:after="240" w:line="350" w:lineRule="exact"/>
        <w:rPr>
          <w:rFonts w:hint="eastAsia"/>
          <w:lang w:val="zh-CN"/>
        </w:rPr>
      </w:pPr>
      <w:r>
        <w:rPr>
          <w:rFonts w:hint="eastAsia"/>
          <w:lang w:val="zh-CN"/>
        </w:rPr>
        <w:t>35.</w:t>
      </w:r>
      <w:r>
        <w:rPr>
          <w:rFonts w:hint="eastAsia"/>
          <w:lang w:val="zh-CN"/>
        </w:rPr>
        <w:tab/>
      </w:r>
      <w:r>
        <w:rPr>
          <w:rFonts w:hint="eastAsia"/>
          <w:lang w:val="zh-CN"/>
        </w:rPr>
        <w:t>他们的工作可以作为基本工具，使人们了</w:t>
      </w:r>
      <w:r>
        <w:rPr>
          <w:rFonts w:hint="eastAsia"/>
          <w:lang w:val="zh-CN"/>
        </w:rPr>
        <w:t>解在立法倡议中纳入性别观点的基本法律知识，突出强调了在立法工作中考虑关于妇女人权的国际文书的重要性。</w:t>
      </w:r>
    </w:p>
    <w:p w:rsidR="00000000" w:rsidRDefault="00457650">
      <w:pPr>
        <w:widowControl/>
        <w:tabs>
          <w:tab w:val="left" w:pos="630"/>
        </w:tabs>
        <w:spacing w:after="240" w:line="350" w:lineRule="exact"/>
        <w:rPr>
          <w:rFonts w:hint="eastAsia"/>
          <w:lang w:val="zh-CN"/>
        </w:rPr>
      </w:pPr>
      <w:r>
        <w:rPr>
          <w:rFonts w:hint="eastAsia"/>
          <w:lang w:val="zh-CN"/>
        </w:rPr>
        <w:t>36.</w:t>
      </w:r>
      <w:r>
        <w:rPr>
          <w:rFonts w:hint="eastAsia"/>
          <w:lang w:val="zh-CN"/>
        </w:rPr>
        <w:tab/>
      </w:r>
      <w:r>
        <w:rPr>
          <w:rFonts w:hint="eastAsia"/>
          <w:lang w:val="zh-CN"/>
        </w:rPr>
        <w:t>在会议期间讨论的主题包括从将社会性别观点纳入预算编制，妇女的劳动权利，妇女参加政治活动的比例，未成年人犯罪，等等。</w:t>
      </w:r>
    </w:p>
    <w:p w:rsidR="00000000" w:rsidRDefault="00457650">
      <w:pPr>
        <w:widowControl/>
        <w:tabs>
          <w:tab w:val="left" w:pos="630"/>
        </w:tabs>
        <w:spacing w:after="240" w:line="350" w:lineRule="exact"/>
        <w:rPr>
          <w:rFonts w:hint="eastAsia"/>
          <w:lang w:val="zh-CN"/>
        </w:rPr>
      </w:pPr>
      <w:r>
        <w:rPr>
          <w:rFonts w:hint="eastAsia"/>
          <w:lang w:val="zh-CN"/>
        </w:rPr>
        <w:t>37.</w:t>
      </w:r>
      <w:r>
        <w:rPr>
          <w:rFonts w:hint="eastAsia"/>
          <w:lang w:val="zh-CN"/>
        </w:rPr>
        <w:tab/>
      </w:r>
      <w:r>
        <w:rPr>
          <w:rFonts w:hint="eastAsia"/>
          <w:lang w:val="zh-CN"/>
        </w:rPr>
        <w:t>会议中提到的障碍可以帮助确定必须紧急撤销和废除</w:t>
      </w:r>
      <w:r>
        <w:rPr>
          <w:rFonts w:hint="eastAsia"/>
        </w:rPr>
        <w:t>的损害妇女儿童人权的法律条款，激活整个机制，使立法活动保持连续性，而不受每三年更换议员的影响，通过一系列连续持久的会议阐述在立法活动中</w:t>
      </w:r>
      <w:r>
        <w:rPr>
          <w:rFonts w:hint="eastAsia"/>
          <w:lang w:val="zh-CN"/>
        </w:rPr>
        <w:t>纳入性别观点的重要性和方法，加强男女议员对性别问题的认识。</w:t>
      </w:r>
    </w:p>
    <w:p w:rsidR="00000000" w:rsidRDefault="00457650">
      <w:pPr>
        <w:widowControl/>
        <w:tabs>
          <w:tab w:val="left" w:pos="630"/>
        </w:tabs>
        <w:spacing w:after="240" w:line="350" w:lineRule="exact"/>
        <w:rPr>
          <w:rFonts w:hint="eastAsia"/>
          <w:lang w:val="zh-CN"/>
        </w:rPr>
      </w:pPr>
      <w:r>
        <w:rPr>
          <w:rFonts w:hint="eastAsia"/>
          <w:lang w:val="zh-CN"/>
        </w:rPr>
        <w:t>38.</w:t>
      </w:r>
      <w:r>
        <w:rPr>
          <w:rFonts w:hint="eastAsia"/>
          <w:lang w:val="zh-CN"/>
        </w:rPr>
        <w:tab/>
      </w:r>
      <w:r>
        <w:rPr>
          <w:rFonts w:hint="eastAsia"/>
          <w:lang w:val="zh-CN"/>
        </w:rPr>
        <w:t>最近立法活动的一个重大成就是颁</w:t>
      </w:r>
      <w:r>
        <w:rPr>
          <w:rFonts w:hint="eastAsia"/>
          <w:lang w:val="zh-CN"/>
        </w:rPr>
        <w:t>布了《一般社会发展法》，它的目标之一是坚持国家社会发展政策，为确保个人和集体享有社会权利创造条件，保证社会发展和平等机会项目的可参与性，消除了歧视和社会排斥，并执行尊重包括性别主流在内的多样性原则。此外，它还规定在提供社会发展项目所包含的商品和服务时禁止有任何歧视行为。</w:t>
      </w:r>
    </w:p>
    <w:p w:rsidR="00000000" w:rsidRDefault="00457650">
      <w:pPr>
        <w:widowControl/>
        <w:tabs>
          <w:tab w:val="left" w:pos="630"/>
        </w:tabs>
        <w:spacing w:after="240" w:line="360" w:lineRule="exact"/>
        <w:rPr>
          <w:rFonts w:hint="eastAsia"/>
          <w:lang w:val="zh-CN"/>
        </w:rPr>
      </w:pPr>
      <w:r>
        <w:rPr>
          <w:rFonts w:hint="eastAsia"/>
          <w:lang w:val="zh-CN"/>
        </w:rPr>
        <w:t>39.</w:t>
      </w:r>
      <w:r>
        <w:rPr>
          <w:rFonts w:hint="eastAsia"/>
          <w:lang w:val="zh-CN"/>
        </w:rPr>
        <w:tab/>
      </w:r>
      <w:r>
        <w:rPr>
          <w:rFonts w:hint="eastAsia"/>
          <w:lang w:val="zh-CN"/>
        </w:rPr>
        <w:t>关于经费和支出，需要指出的是，一些相关条款规定，“</w:t>
      </w:r>
      <w:r>
        <w:rPr>
          <w:rFonts w:eastAsia="KaiTi_GB2312" w:hint="eastAsia"/>
          <w:iCs/>
          <w:lang w:val="zh-CN"/>
        </w:rPr>
        <w:t>专门用于社会发展的计划、资金和资源具有优先地位并且符合公众利益，它们涉及到的预算数目不得减少，</w:t>
      </w:r>
      <w:r>
        <w:rPr>
          <w:rFonts w:hint="eastAsia"/>
          <w:lang w:val="zh-CN"/>
        </w:rPr>
        <w:t>”另外在社会支出方面的联邦预算不得少于上一个财政年度并且必须与国内生产总值同步增长。</w:t>
      </w:r>
    </w:p>
    <w:p w:rsidR="00000000" w:rsidRDefault="00457650">
      <w:pPr>
        <w:widowControl/>
        <w:tabs>
          <w:tab w:val="left" w:pos="630"/>
        </w:tabs>
        <w:spacing w:after="240" w:line="360" w:lineRule="exact"/>
        <w:rPr>
          <w:rFonts w:hint="eastAsia"/>
          <w:lang w:val="zh-CN"/>
        </w:rPr>
      </w:pPr>
      <w:r>
        <w:rPr>
          <w:rFonts w:hint="eastAsia"/>
          <w:lang w:val="zh-CN"/>
        </w:rPr>
        <w:t>4</w:t>
      </w:r>
      <w:r>
        <w:rPr>
          <w:rFonts w:hint="eastAsia"/>
          <w:lang w:val="zh-CN"/>
        </w:rPr>
        <w:t>0.</w:t>
      </w:r>
      <w:r>
        <w:rPr>
          <w:rFonts w:hint="eastAsia"/>
          <w:lang w:val="zh-CN"/>
        </w:rPr>
        <w:tab/>
        <w:t>2003</w:t>
      </w:r>
      <w:r>
        <w:rPr>
          <w:rFonts w:hint="eastAsia"/>
          <w:lang w:val="zh-CN"/>
        </w:rPr>
        <w:t>年</w:t>
      </w:r>
      <w:r>
        <w:rPr>
          <w:rFonts w:hint="eastAsia"/>
          <w:lang w:val="zh-CN"/>
        </w:rPr>
        <w:t>4</w:t>
      </w:r>
      <w:r>
        <w:rPr>
          <w:rFonts w:hint="eastAsia"/>
          <w:lang w:val="zh-CN"/>
        </w:rPr>
        <w:t>月，提交了一份旨在对《规划法》多项条款进行修改和增补的建议，其目的是拟订联邦公共管理机构制订公共政策的计划，并把性别观点作为一种工具和内容。另外，还于</w:t>
      </w:r>
      <w:r>
        <w:rPr>
          <w:rFonts w:hint="eastAsia"/>
          <w:lang w:val="zh-CN"/>
        </w:rPr>
        <w:t>2003</w:t>
      </w:r>
      <w:r>
        <w:rPr>
          <w:rFonts w:hint="eastAsia"/>
          <w:lang w:val="zh-CN"/>
        </w:rPr>
        <w:t>年</w:t>
      </w:r>
      <w:r>
        <w:rPr>
          <w:rFonts w:hint="eastAsia"/>
          <w:lang w:val="zh-CN"/>
        </w:rPr>
        <w:t>11</w:t>
      </w:r>
      <w:r>
        <w:rPr>
          <w:rFonts w:hint="eastAsia"/>
          <w:lang w:val="zh-CN"/>
        </w:rPr>
        <w:t>月</w:t>
      </w:r>
      <w:r>
        <w:rPr>
          <w:rFonts w:hint="eastAsia"/>
          <w:lang w:val="zh-CN"/>
        </w:rPr>
        <w:t>18</w:t>
      </w:r>
      <w:r>
        <w:rPr>
          <w:rFonts w:hint="eastAsia"/>
          <w:lang w:val="zh-CN"/>
        </w:rPr>
        <w:t>日提出对《规划法》、《统计信息和地理法》进行修改，其目的是制定涵盖性别观点的人口统计政策，并确保按两性平等标准制定国家计划。</w:t>
      </w:r>
    </w:p>
    <w:p w:rsidR="00000000" w:rsidRDefault="00457650">
      <w:pPr>
        <w:widowControl/>
        <w:tabs>
          <w:tab w:val="left" w:pos="630"/>
        </w:tabs>
        <w:spacing w:after="240" w:line="360" w:lineRule="exact"/>
        <w:rPr>
          <w:rFonts w:hint="eastAsia"/>
          <w:lang w:val="zh-CN"/>
        </w:rPr>
      </w:pPr>
      <w:r>
        <w:rPr>
          <w:rFonts w:hint="eastAsia"/>
          <w:lang w:val="zh-CN"/>
        </w:rPr>
        <w:t>41.</w:t>
      </w:r>
      <w:r>
        <w:rPr>
          <w:rFonts w:hint="eastAsia"/>
          <w:lang w:val="zh-CN"/>
        </w:rPr>
        <w:tab/>
      </w:r>
      <w:r>
        <w:rPr>
          <w:rFonts w:hint="eastAsia"/>
          <w:lang w:val="zh-CN"/>
        </w:rPr>
        <w:t>关于选举问题，正在对《联邦选举制度和程序法》进行修改，另外</w:t>
      </w:r>
      <w:r>
        <w:rPr>
          <w:rFonts w:hint="eastAsia"/>
          <w:lang w:val="zh-CN"/>
        </w:rPr>
        <w:t>32</w:t>
      </w:r>
      <w:r>
        <w:rPr>
          <w:rFonts w:hint="eastAsia"/>
          <w:lang w:val="zh-CN"/>
        </w:rPr>
        <w:t>个州中有</w:t>
      </w:r>
      <w:r>
        <w:rPr>
          <w:rFonts w:hint="eastAsia"/>
          <w:lang w:val="zh-CN"/>
        </w:rPr>
        <w:t>22</w:t>
      </w:r>
      <w:r>
        <w:rPr>
          <w:rFonts w:hint="eastAsia"/>
          <w:lang w:val="zh-CN"/>
        </w:rPr>
        <w:t>个州在选举法中规定了反歧视行动，这对承认妇女的公民和政治权利产生了重大影响，同时也推动了妇女有更多机会获得政治职务。</w:t>
      </w:r>
    </w:p>
    <w:p w:rsidR="00000000" w:rsidRDefault="00457650">
      <w:pPr>
        <w:pStyle w:val="Date"/>
        <w:widowControl/>
        <w:tabs>
          <w:tab w:val="left" w:pos="630"/>
        </w:tabs>
        <w:spacing w:after="240" w:line="360" w:lineRule="exact"/>
        <w:rPr>
          <w:rFonts w:eastAsia="SimHei" w:hint="eastAsia"/>
          <w:lang w:val="zh-CN"/>
        </w:rPr>
      </w:pPr>
      <w:r>
        <w:rPr>
          <w:rFonts w:eastAsia="SimHei" w:hint="eastAsia"/>
          <w:lang w:val="zh-CN"/>
        </w:rPr>
        <w:t>将社会性别观点纳入预算编制</w:t>
      </w:r>
    </w:p>
    <w:p w:rsidR="00000000" w:rsidRDefault="00457650">
      <w:pPr>
        <w:widowControl/>
        <w:tabs>
          <w:tab w:val="left" w:pos="630"/>
        </w:tabs>
        <w:spacing w:after="240" w:line="360" w:lineRule="exact"/>
        <w:rPr>
          <w:rFonts w:hint="eastAsia"/>
          <w:lang w:val="zh-CN"/>
        </w:rPr>
      </w:pPr>
      <w:r>
        <w:rPr>
          <w:rFonts w:hint="eastAsia"/>
          <w:lang w:val="zh-CN"/>
        </w:rPr>
        <w:t>42.</w:t>
      </w:r>
      <w:r>
        <w:rPr>
          <w:rFonts w:hint="eastAsia"/>
          <w:lang w:val="zh-CN"/>
        </w:rPr>
        <w:tab/>
      </w:r>
      <w:r>
        <w:rPr>
          <w:rFonts w:hint="eastAsia"/>
          <w:lang w:val="zh-CN"/>
        </w:rPr>
        <w:t>关于将社会性别观点纳入预算编制的问题，值得一提的是对</w:t>
      </w:r>
      <w:r>
        <w:rPr>
          <w:rFonts w:hint="eastAsia"/>
          <w:lang w:val="zh-CN"/>
        </w:rPr>
        <w:t>2004</w:t>
      </w:r>
      <w:r>
        <w:rPr>
          <w:rFonts w:hint="eastAsia"/>
          <w:lang w:val="zh-CN"/>
        </w:rPr>
        <w:t>年《联邦政府开支预算运作规则》第</w:t>
      </w:r>
      <w:r>
        <w:rPr>
          <w:rFonts w:hint="eastAsia"/>
          <w:lang w:val="zh-CN"/>
        </w:rPr>
        <w:t>43</w:t>
      </w:r>
      <w:r>
        <w:rPr>
          <w:rFonts w:hint="eastAsia"/>
          <w:lang w:val="zh-CN"/>
        </w:rPr>
        <w:t>条的修改，藉此各部门得到指示在项目评估时应加入不同性别和年龄群体的结果指标。此外，它还规定必须保障妇女和土著人拥有公平和不受歧视地获得项目好处的机会。</w:t>
      </w:r>
    </w:p>
    <w:p w:rsidR="00000000" w:rsidRDefault="00457650">
      <w:pPr>
        <w:widowControl/>
        <w:tabs>
          <w:tab w:val="left" w:pos="630"/>
        </w:tabs>
        <w:spacing w:after="240" w:line="360" w:lineRule="exact"/>
        <w:rPr>
          <w:rFonts w:hint="eastAsia"/>
          <w:lang w:val="zh-CN"/>
        </w:rPr>
      </w:pPr>
      <w:r>
        <w:rPr>
          <w:rFonts w:hint="eastAsia"/>
          <w:lang w:val="zh-CN"/>
        </w:rPr>
        <w:t>43.</w:t>
      </w:r>
      <w:r>
        <w:rPr>
          <w:rFonts w:hint="eastAsia"/>
          <w:lang w:val="zh-CN"/>
        </w:rPr>
        <w:tab/>
      </w:r>
      <w:r>
        <w:rPr>
          <w:rFonts w:hint="eastAsia"/>
          <w:lang w:val="zh-CN"/>
        </w:rPr>
        <w:t>这种评估必须说明分配给受益者的资源，并增加一个特别段落，介绍该项目在使妇女享受福利、公平和平等以及不对她们实行歧视方面的作用和结果。</w:t>
      </w:r>
    </w:p>
    <w:p w:rsidR="00000000" w:rsidRDefault="00457650">
      <w:pPr>
        <w:widowControl/>
        <w:tabs>
          <w:tab w:val="left" w:pos="630"/>
        </w:tabs>
        <w:spacing w:after="240" w:line="360" w:lineRule="exact"/>
        <w:rPr>
          <w:rFonts w:hint="eastAsia"/>
          <w:lang w:val="zh-CN"/>
        </w:rPr>
      </w:pPr>
      <w:r>
        <w:rPr>
          <w:rFonts w:hint="eastAsia"/>
          <w:lang w:val="zh-CN"/>
        </w:rPr>
        <w:t>44.</w:t>
      </w:r>
      <w:r>
        <w:rPr>
          <w:rFonts w:hint="eastAsia"/>
          <w:lang w:val="zh-CN"/>
        </w:rPr>
        <w:tab/>
      </w:r>
      <w:r>
        <w:rPr>
          <w:rFonts w:hint="eastAsia"/>
          <w:lang w:val="zh-CN"/>
        </w:rPr>
        <w:t>对《开支预算运作规则》的全面审查表明联邦公共管理机构下属的各部门和组织把部分</w:t>
      </w:r>
      <w:r>
        <w:rPr>
          <w:rFonts w:hint="eastAsia"/>
          <w:lang w:val="zh-CN"/>
        </w:rPr>
        <w:t>资源提供给了妇女，</w:t>
      </w:r>
      <w:r>
        <w:rPr>
          <w:rFonts w:ascii="KaiTi_GB2312" w:eastAsia="KaiTi_GB2312" w:hint="eastAsia"/>
          <w:iCs/>
          <w:lang w:val="zh-CN"/>
        </w:rPr>
        <w:t>在</w:t>
      </w:r>
      <w:r>
        <w:rPr>
          <w:rFonts w:ascii="KaiTi_GB2312" w:eastAsia="KaiTi_GB2312" w:hint="eastAsia"/>
          <w:iCs/>
          <w:lang w:val="zh-CN"/>
        </w:rPr>
        <w:t>2004</w:t>
      </w:r>
      <w:r>
        <w:rPr>
          <w:rFonts w:ascii="KaiTi_GB2312" w:eastAsia="KaiTi_GB2312" w:hint="eastAsia"/>
          <w:iCs/>
          <w:lang w:val="zh-CN"/>
        </w:rPr>
        <w:t>年通过</w:t>
      </w:r>
      <w:r>
        <w:rPr>
          <w:rFonts w:ascii="KaiTi_GB2312" w:eastAsia="KaiTi_GB2312" w:hint="eastAsia"/>
          <w:iCs/>
          <w:lang w:val="zh-CN"/>
        </w:rPr>
        <w:t>134</w:t>
      </w:r>
      <w:r>
        <w:rPr>
          <w:rFonts w:ascii="KaiTi_GB2312" w:eastAsia="KaiTi_GB2312" w:hint="eastAsia"/>
          <w:iCs/>
          <w:lang w:val="zh-CN"/>
        </w:rPr>
        <w:t>个项目或行动，提供了总额</w:t>
      </w:r>
      <w:r>
        <w:rPr>
          <w:rFonts w:ascii="KaiTi_GB2312" w:eastAsia="KaiTi_GB2312" w:hint="eastAsia"/>
          <w:iCs/>
          <w:lang w:val="zh-CN"/>
        </w:rPr>
        <w:t>13 391 462 069</w:t>
      </w:r>
      <w:r>
        <w:rPr>
          <w:rFonts w:ascii="KaiTi_GB2312" w:eastAsia="KaiTi_GB2312" w:hint="eastAsia"/>
          <w:iCs/>
          <w:lang w:val="zh-CN"/>
        </w:rPr>
        <w:t>比索的资源</w:t>
      </w:r>
      <w:r>
        <w:rPr>
          <w:rFonts w:hint="eastAsia"/>
          <w:lang w:val="zh-CN"/>
        </w:rPr>
        <w:t>。应该提到的是根据该规则第</w:t>
      </w:r>
      <w:r>
        <w:rPr>
          <w:rFonts w:hint="eastAsia"/>
          <w:lang w:val="zh-CN"/>
        </w:rPr>
        <w:t>16</w:t>
      </w:r>
      <w:r>
        <w:rPr>
          <w:rFonts w:hint="eastAsia"/>
          <w:lang w:val="zh-CN"/>
        </w:rPr>
        <w:t>条，提供给两性平等项目的资金数目不受预算调整。</w:t>
      </w:r>
    </w:p>
    <w:p w:rsidR="00000000" w:rsidRDefault="00457650">
      <w:pPr>
        <w:widowControl/>
        <w:tabs>
          <w:tab w:val="left" w:pos="630"/>
        </w:tabs>
        <w:spacing w:after="240" w:line="360" w:lineRule="exact"/>
        <w:rPr>
          <w:rFonts w:hint="eastAsia"/>
          <w:lang w:val="zh-CN"/>
        </w:rPr>
      </w:pPr>
      <w:r>
        <w:rPr>
          <w:rFonts w:hint="eastAsia"/>
          <w:lang w:val="zh-CN"/>
        </w:rPr>
        <w:t>45.</w:t>
      </w:r>
      <w:r>
        <w:rPr>
          <w:rFonts w:hint="eastAsia"/>
          <w:lang w:val="zh-CN"/>
        </w:rPr>
        <w:tab/>
      </w:r>
      <w:r>
        <w:rPr>
          <w:rFonts w:hint="eastAsia"/>
          <w:lang w:val="zh-CN"/>
        </w:rPr>
        <w:t>为了在这一方面加强公共管理机构各部门，国家妇女协会举行了方法研究和提高认识讲习班，有来自</w:t>
      </w:r>
      <w:r>
        <w:rPr>
          <w:rFonts w:hint="eastAsia"/>
          <w:lang w:val="zh-CN"/>
        </w:rPr>
        <w:t>36</w:t>
      </w:r>
      <w:r>
        <w:rPr>
          <w:rFonts w:hint="eastAsia"/>
          <w:lang w:val="zh-CN"/>
        </w:rPr>
        <w:t>个部门的男女政府官员参加。</w:t>
      </w:r>
    </w:p>
    <w:p w:rsidR="00000000" w:rsidRDefault="00457650">
      <w:pPr>
        <w:widowControl/>
        <w:tabs>
          <w:tab w:val="left" w:pos="630"/>
        </w:tabs>
        <w:spacing w:after="240" w:line="360" w:lineRule="exact"/>
        <w:rPr>
          <w:rFonts w:hint="eastAsia"/>
          <w:lang w:val="zh-CN"/>
        </w:rPr>
      </w:pPr>
      <w:r>
        <w:rPr>
          <w:rFonts w:hint="eastAsia"/>
          <w:lang w:val="zh-CN"/>
        </w:rPr>
        <w:t xml:space="preserve">46    </w:t>
      </w:r>
      <w:r>
        <w:rPr>
          <w:rFonts w:hint="eastAsia"/>
          <w:lang w:val="zh-CN"/>
        </w:rPr>
        <w:t>讲习班的目的是确保在其职权范围内，鼓励这些政府官员编制和执行两性平等预算。在这种情况下，发表了</w:t>
      </w:r>
      <w:r>
        <w:rPr>
          <w:rFonts w:hint="eastAsia"/>
          <w:iCs/>
          <w:lang w:val="zh-CN"/>
        </w:rPr>
        <w:t>《</w:t>
      </w:r>
      <w:r>
        <w:rPr>
          <w:rFonts w:hint="eastAsia"/>
          <w:iCs/>
          <w:lang w:val="zh-CN"/>
        </w:rPr>
        <w:t>2004</w:t>
      </w:r>
      <w:r>
        <w:rPr>
          <w:rFonts w:hint="eastAsia"/>
          <w:iCs/>
          <w:lang w:val="zh-CN"/>
        </w:rPr>
        <w:t>年将性别观点纳入预算编制概念指南》以及《在联邦开支预算中纳入性别观点并使之主流化分析指南</w:t>
      </w:r>
      <w:r>
        <w:rPr>
          <w:rFonts w:hint="eastAsia"/>
          <w:iCs/>
          <w:lang w:val="zh-CN"/>
        </w:rPr>
        <w:t>》</w:t>
      </w:r>
      <w:r>
        <w:rPr>
          <w:rFonts w:hint="eastAsia"/>
          <w:lang w:val="zh-CN"/>
        </w:rPr>
        <w:t>第一版。这些战略的影响提高了预算透明度，增加了相关行动的数量。</w:t>
      </w:r>
    </w:p>
    <w:p w:rsidR="00000000" w:rsidRDefault="00457650">
      <w:pPr>
        <w:widowControl/>
        <w:tabs>
          <w:tab w:val="left" w:pos="630"/>
        </w:tabs>
        <w:spacing w:after="240" w:line="360" w:lineRule="exact"/>
        <w:rPr>
          <w:rFonts w:hint="eastAsia"/>
          <w:lang w:val="zh-CN"/>
        </w:rPr>
      </w:pPr>
      <w:r>
        <w:rPr>
          <w:rFonts w:hint="eastAsia"/>
          <w:lang w:val="zh-CN"/>
        </w:rPr>
        <w:t>47.</w:t>
      </w:r>
      <w:r>
        <w:rPr>
          <w:rFonts w:hint="eastAsia"/>
          <w:lang w:val="zh-CN"/>
        </w:rPr>
        <w:tab/>
      </w:r>
      <w:r>
        <w:rPr>
          <w:rFonts w:hint="eastAsia"/>
          <w:lang w:val="zh-CN"/>
        </w:rPr>
        <w:t>该国家机制依据</w:t>
      </w:r>
      <w:r>
        <w:rPr>
          <w:rFonts w:hint="eastAsia"/>
          <w:lang w:val="zh-CN"/>
        </w:rPr>
        <w:t>74</w:t>
      </w:r>
      <w:r>
        <w:rPr>
          <w:rFonts w:hint="eastAsia"/>
          <w:lang w:val="zh-CN"/>
        </w:rPr>
        <w:t>个联邦方案的实施规则采取了行动，对其进行了更深入的分析，并突出了性别观点，其中包括从性别观点出发为</w:t>
      </w:r>
      <w:r>
        <w:rPr>
          <w:rFonts w:hint="eastAsia"/>
          <w:lang w:val="zh-CN"/>
        </w:rPr>
        <w:t>11</w:t>
      </w:r>
      <w:r>
        <w:rPr>
          <w:rFonts w:hint="eastAsia"/>
          <w:lang w:val="zh-CN"/>
        </w:rPr>
        <w:t>个公共管理机构各部门和组织提供了评估指标提案。</w:t>
      </w:r>
    </w:p>
    <w:p w:rsidR="00000000" w:rsidRDefault="00457650">
      <w:pPr>
        <w:widowControl/>
        <w:tabs>
          <w:tab w:val="left" w:pos="630"/>
        </w:tabs>
        <w:spacing w:after="240" w:line="360" w:lineRule="exact"/>
        <w:rPr>
          <w:rFonts w:hint="eastAsia"/>
          <w:lang w:val="zh-CN"/>
        </w:rPr>
      </w:pPr>
      <w:r>
        <w:rPr>
          <w:rFonts w:hint="eastAsia"/>
          <w:lang w:val="zh-CN"/>
        </w:rPr>
        <w:t>48.</w:t>
      </w:r>
      <w:r>
        <w:rPr>
          <w:rFonts w:hint="eastAsia"/>
          <w:lang w:val="zh-CN"/>
        </w:rPr>
        <w:tab/>
      </w:r>
      <w:r>
        <w:rPr>
          <w:rFonts w:hint="eastAsia"/>
          <w:lang w:val="zh-CN"/>
        </w:rPr>
        <w:t>墨西哥的社会政策确定并采纳了旨在满足贫困妇女各种需要的具体行动。为了改革赋予妇女平等权利和使妇女获得经济资源的法律和行政办法，社会发展部对实施规则进行了审查，以便在</w:t>
      </w:r>
      <w:r>
        <w:rPr>
          <w:rFonts w:hint="eastAsia"/>
          <w:lang w:val="zh-CN"/>
        </w:rPr>
        <w:t>16</w:t>
      </w:r>
      <w:r>
        <w:rPr>
          <w:rFonts w:hint="eastAsia"/>
          <w:lang w:val="zh-CN"/>
        </w:rPr>
        <w:t>个项目中融入性别观点。</w:t>
      </w:r>
    </w:p>
    <w:p w:rsidR="00000000" w:rsidRDefault="00457650">
      <w:pPr>
        <w:widowControl/>
        <w:tabs>
          <w:tab w:val="left" w:pos="630"/>
        </w:tabs>
        <w:spacing w:after="240" w:line="360" w:lineRule="exact"/>
        <w:rPr>
          <w:rFonts w:hint="eastAsia"/>
          <w:lang w:val="zh-CN"/>
        </w:rPr>
      </w:pPr>
      <w:r>
        <w:rPr>
          <w:rFonts w:hint="eastAsia"/>
          <w:lang w:val="zh-CN"/>
        </w:rPr>
        <w:t>49.</w:t>
      </w:r>
      <w:r>
        <w:rPr>
          <w:rFonts w:hint="eastAsia"/>
          <w:lang w:val="zh-CN"/>
        </w:rPr>
        <w:tab/>
      </w:r>
      <w:r>
        <w:rPr>
          <w:rFonts w:hint="eastAsia"/>
          <w:lang w:val="zh-CN"/>
        </w:rPr>
        <w:t>为了加快审查过程，通过与直接负责这些项目运作的政府官员进行协调</w:t>
      </w:r>
      <w:r>
        <w:rPr>
          <w:rFonts w:hint="eastAsia"/>
          <w:lang w:val="zh-CN"/>
        </w:rPr>
        <w:t>，制定了《基本程序指南》，其中有</w:t>
      </w:r>
      <w:r>
        <w:rPr>
          <w:rFonts w:hint="eastAsia"/>
          <w:lang w:val="zh-CN"/>
        </w:rPr>
        <w:t>94</w:t>
      </w:r>
      <w:r>
        <w:rPr>
          <w:rFonts w:hint="eastAsia"/>
          <w:lang w:val="zh-CN"/>
        </w:rPr>
        <w:t>项实施规则，要求根据</w:t>
      </w:r>
      <w:r>
        <w:rPr>
          <w:rFonts w:hint="eastAsia"/>
          <w:lang w:val="zh-CN"/>
        </w:rPr>
        <w:t>2004</w:t>
      </w:r>
      <w:r>
        <w:rPr>
          <w:rFonts w:hint="eastAsia"/>
          <w:lang w:val="zh-CN"/>
        </w:rPr>
        <w:t>年</w:t>
      </w:r>
      <w:r>
        <w:t>《</w:t>
      </w:r>
      <w:r>
        <w:rPr>
          <w:rFonts w:hint="eastAsia"/>
          <w:lang w:val="zh-CN"/>
        </w:rPr>
        <w:t>联邦政府支出预算法令》第</w:t>
      </w:r>
      <w:r>
        <w:rPr>
          <w:rFonts w:hint="eastAsia"/>
          <w:lang w:val="zh-CN"/>
        </w:rPr>
        <w:t>55</w:t>
      </w:r>
      <w:r>
        <w:rPr>
          <w:rFonts w:hint="eastAsia"/>
          <w:lang w:val="zh-CN"/>
        </w:rPr>
        <w:t>条，将不歧视妇女包括在内。</w:t>
      </w:r>
    </w:p>
    <w:p w:rsidR="00000000" w:rsidRDefault="00457650">
      <w:pPr>
        <w:widowControl/>
        <w:tabs>
          <w:tab w:val="left" w:pos="630"/>
        </w:tabs>
        <w:spacing w:after="240" w:line="360" w:lineRule="exact"/>
        <w:rPr>
          <w:rFonts w:hint="eastAsia"/>
          <w:lang w:val="zh-CN"/>
        </w:rPr>
      </w:pPr>
      <w:r>
        <w:rPr>
          <w:rFonts w:hint="eastAsia"/>
          <w:lang w:val="zh-CN"/>
        </w:rPr>
        <w:t>50</w:t>
      </w:r>
      <w:r>
        <w:t>.</w:t>
      </w:r>
      <w:r>
        <w:rPr>
          <w:rFonts w:hint="eastAsia"/>
          <w:lang w:val="zh-CN"/>
        </w:rPr>
        <w:t xml:space="preserve"> </w:t>
      </w:r>
      <w:r>
        <w:tab/>
      </w:r>
      <w:r>
        <w:rPr>
          <w:rFonts w:hint="eastAsia"/>
          <w:lang w:val="zh-CN"/>
        </w:rPr>
        <w:t>《促进民间社会组织活动联邦法》明确指出政府与这些民间社会组织共同履行职责有助于促进两性平等。</w:t>
      </w:r>
    </w:p>
    <w:p w:rsidR="00000000" w:rsidRDefault="00457650">
      <w:pPr>
        <w:widowControl/>
        <w:tabs>
          <w:tab w:val="left" w:pos="630"/>
        </w:tabs>
        <w:spacing w:after="240" w:line="360" w:lineRule="exact"/>
        <w:rPr>
          <w:rFonts w:hint="eastAsia"/>
          <w:lang w:val="zh-CN"/>
        </w:rPr>
      </w:pPr>
      <w:r>
        <w:rPr>
          <w:rFonts w:hint="eastAsia"/>
          <w:lang w:val="zh-CN"/>
        </w:rPr>
        <w:t>51.</w:t>
      </w:r>
      <w:r>
        <w:rPr>
          <w:rFonts w:hint="eastAsia"/>
          <w:lang w:val="zh-CN"/>
        </w:rPr>
        <w:tab/>
      </w:r>
      <w:r>
        <w:rPr>
          <w:rFonts w:hint="eastAsia"/>
          <w:lang w:val="zh-CN"/>
        </w:rPr>
        <w:t>另一个著名的文件是《</w:t>
      </w:r>
      <w:r>
        <w:rPr>
          <w:rFonts w:hint="eastAsia"/>
          <w:iCs/>
          <w:lang w:val="zh-CN"/>
        </w:rPr>
        <w:t>保护移民和侨民法倡议》</w:t>
      </w:r>
      <w:r>
        <w:rPr>
          <w:rFonts w:hint="eastAsia"/>
          <w:lang w:val="zh-CN"/>
        </w:rPr>
        <w:t>，其第</w:t>
      </w:r>
      <w:r>
        <w:rPr>
          <w:rFonts w:hint="eastAsia"/>
          <w:lang w:val="zh-CN"/>
        </w:rPr>
        <w:t>20</w:t>
      </w:r>
      <w:r>
        <w:rPr>
          <w:rFonts w:hint="eastAsia"/>
          <w:lang w:val="zh-CN"/>
        </w:rPr>
        <w:t>条要求遵守关于两性平等和其他相关内容的国际公约和条约，避免由性别导致的边缘化，并积极防止滥用在移民程序和以其他非人道、有辱人格的方式对待登记或未登记的女性移民。</w:t>
      </w:r>
    </w:p>
    <w:p w:rsidR="00000000" w:rsidRDefault="00457650">
      <w:pPr>
        <w:widowControl/>
        <w:tabs>
          <w:tab w:val="left" w:pos="630"/>
        </w:tabs>
        <w:spacing w:after="240" w:line="360" w:lineRule="exact"/>
        <w:rPr>
          <w:rFonts w:hint="eastAsia"/>
          <w:lang w:val="zh-CN"/>
        </w:rPr>
      </w:pPr>
      <w:r>
        <w:rPr>
          <w:rFonts w:hint="eastAsia"/>
          <w:lang w:val="zh-CN"/>
        </w:rPr>
        <w:t>52.</w:t>
      </w:r>
      <w:r>
        <w:rPr>
          <w:rFonts w:hint="eastAsia"/>
          <w:lang w:val="zh-CN"/>
        </w:rPr>
        <w:tab/>
      </w:r>
      <w:r>
        <w:rPr>
          <w:rFonts w:hint="eastAsia"/>
          <w:lang w:val="zh-CN"/>
        </w:rPr>
        <w:t>国家妇女协会在世界银行资助下实施了宽容项目中的</w:t>
      </w:r>
      <w:r>
        <w:rPr>
          <w:rFonts w:hint="eastAsia"/>
          <w:lang w:val="zh-CN"/>
        </w:rPr>
        <w:t>Conv</w:t>
      </w:r>
      <w:r>
        <w:rPr>
          <w:rFonts w:hint="eastAsia"/>
          <w:lang w:val="zh-CN"/>
        </w:rPr>
        <w:t>ive</w:t>
      </w:r>
      <w:r>
        <w:rPr>
          <w:rFonts w:hint="eastAsia"/>
          <w:lang w:val="zh-CN"/>
        </w:rPr>
        <w:t>方案，目的是为了加强女性领导者的能力，并提高男性领导者的认识，通过举办讲习班，在他们的组织和整个社区内部建立新的更加和谐的关系。这些讲习班涉及诸如家庭暴力等各种主题。</w:t>
      </w:r>
    </w:p>
    <w:p w:rsidR="00000000" w:rsidRDefault="00457650">
      <w:pPr>
        <w:widowControl/>
        <w:tabs>
          <w:tab w:val="left" w:pos="630"/>
        </w:tabs>
        <w:spacing w:after="240" w:line="360" w:lineRule="exact"/>
        <w:jc w:val="center"/>
        <w:rPr>
          <w:rFonts w:ascii="SimHei" w:eastAsia="SimHei" w:hint="eastAsia"/>
          <w:sz w:val="24"/>
          <w:lang w:val="zh-CN"/>
        </w:rPr>
      </w:pPr>
      <w:r>
        <w:rPr>
          <w:rFonts w:ascii="SimHei" w:eastAsia="SimHei" w:hint="eastAsia"/>
          <w:sz w:val="24"/>
          <w:lang w:val="zh-CN"/>
        </w:rPr>
        <w:t xml:space="preserve">D.  </w:t>
      </w:r>
      <w:r>
        <w:rPr>
          <w:rFonts w:ascii="SimHei" w:eastAsia="SimHei" w:hint="eastAsia"/>
          <w:sz w:val="24"/>
          <w:lang w:val="zh-CN"/>
        </w:rPr>
        <w:t>第</w:t>
      </w:r>
      <w:r>
        <w:rPr>
          <w:rFonts w:ascii="SimHei" w:eastAsia="SimHei" w:hint="eastAsia"/>
          <w:sz w:val="24"/>
          <w:lang w:val="zh-CN"/>
        </w:rPr>
        <w:t>4</w:t>
      </w:r>
      <w:r>
        <w:rPr>
          <w:rFonts w:ascii="SimHei" w:eastAsia="SimHei" w:hint="eastAsia"/>
          <w:sz w:val="24"/>
          <w:lang w:val="zh-CN"/>
        </w:rPr>
        <w:t>条</w:t>
      </w:r>
    </w:p>
    <w:p w:rsidR="00000000" w:rsidRDefault="00457650">
      <w:pPr>
        <w:widowControl/>
        <w:tabs>
          <w:tab w:val="left" w:pos="630"/>
        </w:tabs>
        <w:spacing w:after="240" w:line="360" w:lineRule="exact"/>
        <w:rPr>
          <w:rFonts w:hint="eastAsia"/>
          <w:lang w:val="zh-CN"/>
        </w:rPr>
      </w:pPr>
      <w:r>
        <w:rPr>
          <w:rFonts w:hint="eastAsia"/>
          <w:lang w:val="zh-CN"/>
        </w:rPr>
        <w:t>53.</w:t>
      </w:r>
      <w:r>
        <w:rPr>
          <w:rFonts w:hint="eastAsia"/>
          <w:lang w:val="zh-CN"/>
        </w:rPr>
        <w:tab/>
      </w:r>
      <w:r>
        <w:rPr>
          <w:rFonts w:hint="eastAsia"/>
          <w:lang w:val="zh-CN"/>
        </w:rPr>
        <w:t>《公约》缔约国承认在行使《公约》所保障的权利时，这些权利只受法律规定的限制，范围只能与其性质相一致，其惟一目的是提高民主社会的普遍福利。</w:t>
      </w:r>
    </w:p>
    <w:p w:rsidR="00000000" w:rsidRDefault="00457650">
      <w:pPr>
        <w:widowControl/>
        <w:tabs>
          <w:tab w:val="left" w:pos="630"/>
        </w:tabs>
        <w:spacing w:after="240" w:line="360" w:lineRule="exact"/>
        <w:jc w:val="center"/>
        <w:rPr>
          <w:rFonts w:ascii="SimHei" w:eastAsia="SimHei" w:hint="eastAsia"/>
          <w:sz w:val="24"/>
          <w:lang w:val="zh-CN"/>
        </w:rPr>
      </w:pPr>
      <w:r>
        <w:rPr>
          <w:rFonts w:ascii="SimHei" w:eastAsia="SimHei" w:hint="eastAsia"/>
          <w:sz w:val="24"/>
          <w:lang w:val="zh-CN"/>
        </w:rPr>
        <w:t xml:space="preserve">E.  </w:t>
      </w:r>
      <w:r>
        <w:rPr>
          <w:rFonts w:ascii="SimHei" w:eastAsia="SimHei" w:hint="eastAsia"/>
          <w:sz w:val="24"/>
          <w:lang w:val="zh-CN"/>
        </w:rPr>
        <w:t>第</w:t>
      </w:r>
      <w:r>
        <w:rPr>
          <w:rFonts w:ascii="SimHei" w:eastAsia="SimHei" w:hint="eastAsia"/>
          <w:sz w:val="24"/>
          <w:lang w:val="zh-CN"/>
        </w:rPr>
        <w:t>5</w:t>
      </w:r>
      <w:r>
        <w:rPr>
          <w:rFonts w:ascii="SimHei" w:eastAsia="SimHei" w:hint="eastAsia"/>
          <w:sz w:val="24"/>
          <w:lang w:val="zh-CN"/>
        </w:rPr>
        <w:t>条</w:t>
      </w:r>
    </w:p>
    <w:p w:rsidR="00000000" w:rsidRDefault="00457650">
      <w:pPr>
        <w:widowControl/>
        <w:tabs>
          <w:tab w:val="left" w:pos="630"/>
        </w:tabs>
        <w:spacing w:after="240" w:line="360" w:lineRule="exact"/>
        <w:rPr>
          <w:rFonts w:hint="eastAsia"/>
          <w:lang w:val="zh-CN"/>
        </w:rPr>
      </w:pPr>
      <w:r>
        <w:rPr>
          <w:rFonts w:hint="eastAsia"/>
          <w:lang w:val="zh-CN"/>
        </w:rPr>
        <w:t>54.</w:t>
      </w:r>
      <w:r>
        <w:rPr>
          <w:rFonts w:hint="eastAsia"/>
          <w:lang w:val="zh-CN"/>
        </w:rPr>
        <w:tab/>
      </w:r>
      <w:r>
        <w:rPr>
          <w:rFonts w:hint="eastAsia"/>
          <w:lang w:val="zh-CN"/>
        </w:rPr>
        <w:t>《公约》没有任何条款承认任何国家、团体或个人有权采取行动破坏《公约》明文规定的任何权利或自由，也不允许对它们的限制超过《公约》条款所允许的范围。</w:t>
      </w:r>
    </w:p>
    <w:p w:rsidR="00000000" w:rsidRDefault="00457650">
      <w:pPr>
        <w:widowControl/>
        <w:tabs>
          <w:tab w:val="left" w:pos="630"/>
        </w:tabs>
        <w:spacing w:after="240" w:line="360" w:lineRule="exact"/>
        <w:rPr>
          <w:rFonts w:hint="eastAsia"/>
          <w:lang w:val="zh-CN"/>
        </w:rPr>
      </w:pPr>
      <w:r>
        <w:rPr>
          <w:rFonts w:hint="eastAsia"/>
          <w:lang w:val="zh-CN"/>
        </w:rPr>
        <w:t>55.</w:t>
      </w:r>
      <w:r>
        <w:rPr>
          <w:rFonts w:hint="eastAsia"/>
          <w:lang w:val="zh-CN"/>
        </w:rPr>
        <w:tab/>
      </w:r>
      <w:r>
        <w:rPr>
          <w:rFonts w:hint="eastAsia"/>
          <w:lang w:val="zh-CN"/>
        </w:rPr>
        <w:t>通过法律、协定、规定或惯例禁止任何国家以《公约》没有规定或规定的较少为由，对本国已经承认或实行的基本人权进行限制或贬损。</w:t>
      </w:r>
    </w:p>
    <w:p w:rsidR="00000000" w:rsidRDefault="00457650">
      <w:pPr>
        <w:widowControl/>
        <w:tabs>
          <w:tab w:val="left" w:pos="630"/>
        </w:tabs>
        <w:spacing w:after="240" w:line="360" w:lineRule="exact"/>
        <w:jc w:val="center"/>
        <w:rPr>
          <w:rFonts w:ascii="SimHei" w:eastAsia="SimHei" w:hint="eastAsia"/>
          <w:sz w:val="28"/>
          <w:lang w:val="zh-CN"/>
        </w:rPr>
      </w:pPr>
      <w:r>
        <w:rPr>
          <w:rFonts w:ascii="SimHei" w:eastAsia="SimHei" w:hint="eastAsia"/>
          <w:sz w:val="28"/>
          <w:lang w:val="zh-CN"/>
        </w:rPr>
        <w:t>二、关于具体权利的规定</w:t>
      </w:r>
    </w:p>
    <w:p w:rsidR="00000000" w:rsidRDefault="00457650">
      <w:pPr>
        <w:widowControl/>
        <w:tabs>
          <w:tab w:val="left" w:pos="630"/>
        </w:tabs>
        <w:spacing w:after="240" w:line="360" w:lineRule="exact"/>
        <w:jc w:val="center"/>
        <w:rPr>
          <w:rFonts w:ascii="SimHei" w:eastAsia="SimHei" w:hint="eastAsia"/>
          <w:sz w:val="24"/>
          <w:lang w:val="zh-CN"/>
        </w:rPr>
      </w:pPr>
      <w:r>
        <w:rPr>
          <w:rFonts w:ascii="SimHei" w:eastAsia="SimHei" w:hint="eastAsia"/>
          <w:sz w:val="24"/>
          <w:lang w:val="zh-CN"/>
        </w:rPr>
        <w:t xml:space="preserve">A.  </w:t>
      </w:r>
      <w:r>
        <w:rPr>
          <w:rFonts w:ascii="SimHei" w:eastAsia="SimHei" w:hint="eastAsia"/>
          <w:sz w:val="24"/>
          <w:lang w:val="zh-CN"/>
        </w:rPr>
        <w:t>第</w:t>
      </w:r>
      <w:r>
        <w:rPr>
          <w:rFonts w:ascii="SimHei" w:eastAsia="SimHei" w:hint="eastAsia"/>
          <w:sz w:val="24"/>
          <w:lang w:val="zh-CN"/>
        </w:rPr>
        <w:t>6</w:t>
      </w:r>
      <w:r>
        <w:rPr>
          <w:rFonts w:ascii="SimHei" w:eastAsia="SimHei" w:hint="eastAsia"/>
          <w:sz w:val="24"/>
          <w:lang w:val="zh-CN"/>
        </w:rPr>
        <w:t>条</w:t>
      </w:r>
    </w:p>
    <w:p w:rsidR="00000000" w:rsidRDefault="00457650">
      <w:pPr>
        <w:widowControl/>
        <w:tabs>
          <w:tab w:val="left" w:pos="630"/>
        </w:tabs>
        <w:spacing w:after="240" w:line="360" w:lineRule="exact"/>
        <w:rPr>
          <w:rFonts w:ascii="SimHei" w:eastAsia="SimHei" w:hint="eastAsia"/>
        </w:rPr>
      </w:pPr>
      <w:r>
        <w:rPr>
          <w:rFonts w:ascii="SimHei" w:eastAsia="SimHei" w:hint="eastAsia"/>
        </w:rPr>
        <w:t>指南第</w:t>
      </w:r>
      <w:r>
        <w:rPr>
          <w:rFonts w:ascii="SimHei" w:eastAsia="SimHei" w:hint="eastAsia"/>
        </w:rPr>
        <w:t>9</w:t>
      </w:r>
      <w:r>
        <w:rPr>
          <w:rFonts w:ascii="SimHei" w:eastAsia="SimHei" w:hint="eastAsia"/>
        </w:rPr>
        <w:t>段（</w:t>
      </w:r>
      <w:r>
        <w:rPr>
          <w:rFonts w:ascii="SimHei" w:eastAsia="SimHei" w:hint="eastAsia"/>
        </w:rPr>
        <w:t>a</w:t>
      </w:r>
      <w:r>
        <w:rPr>
          <w:rFonts w:ascii="SimHei" w:eastAsia="SimHei" w:hint="eastAsia"/>
        </w:rPr>
        <w:t>）</w:t>
      </w:r>
      <w:r>
        <w:rPr>
          <w:rStyle w:val="FootnoteReference"/>
          <w:rFonts w:ascii="SimHei" w:eastAsia="SimHei"/>
        </w:rPr>
        <w:footnoteReference w:customMarkFollows="1" w:id="4"/>
        <w:t>*</w:t>
      </w:r>
    </w:p>
    <w:p w:rsidR="00000000" w:rsidRDefault="00457650">
      <w:pPr>
        <w:widowControl/>
        <w:tabs>
          <w:tab w:val="left" w:pos="630"/>
        </w:tabs>
        <w:spacing w:after="240" w:line="360" w:lineRule="exact"/>
        <w:rPr>
          <w:rFonts w:hint="eastAsia"/>
        </w:rPr>
      </w:pPr>
      <w:r>
        <w:rPr>
          <w:rFonts w:hint="eastAsia"/>
        </w:rPr>
        <w:t>56.</w:t>
      </w:r>
      <w:r>
        <w:rPr>
          <w:rFonts w:hint="eastAsia"/>
        </w:rPr>
        <w:tab/>
        <w:t>2004</w:t>
      </w:r>
      <w:r>
        <w:rPr>
          <w:rFonts w:hint="eastAsia"/>
        </w:rPr>
        <w:t>年第一季度期间，就业总人口共</w:t>
      </w:r>
      <w:r>
        <w:rPr>
          <w:rFonts w:hint="eastAsia"/>
        </w:rPr>
        <w:t>4 160</w:t>
      </w:r>
      <w:r>
        <w:rPr>
          <w:rFonts w:hint="eastAsia"/>
        </w:rPr>
        <w:t>万，其中</w:t>
      </w:r>
      <w:r>
        <w:rPr>
          <w:rFonts w:hint="eastAsia"/>
        </w:rPr>
        <w:t>2 710</w:t>
      </w:r>
      <w:r>
        <w:rPr>
          <w:rFonts w:hint="eastAsia"/>
        </w:rPr>
        <w:t>万为男性（占总人口的</w:t>
      </w:r>
      <w:r>
        <w:rPr>
          <w:rFonts w:hint="eastAsia"/>
        </w:rPr>
        <w:t>65.2%</w:t>
      </w:r>
      <w:r>
        <w:rPr>
          <w:rFonts w:hint="eastAsia"/>
        </w:rPr>
        <w:t>），女性</w:t>
      </w:r>
      <w:r>
        <w:rPr>
          <w:rFonts w:hint="eastAsia"/>
        </w:rPr>
        <w:t>1 450</w:t>
      </w:r>
      <w:r>
        <w:rPr>
          <w:rFonts w:hint="eastAsia"/>
        </w:rPr>
        <w:t>万（</w:t>
      </w:r>
      <w:r>
        <w:rPr>
          <w:rFonts w:hint="eastAsia"/>
        </w:rPr>
        <w:t>34.8%</w:t>
      </w:r>
      <w:r>
        <w:rPr>
          <w:rFonts w:hint="eastAsia"/>
        </w:rPr>
        <w:t>）。</w:t>
      </w:r>
      <w:r>
        <w:rPr>
          <w:rStyle w:val="FootnoteReference"/>
          <w:szCs w:val="21"/>
        </w:rPr>
        <w:footnoteReference w:id="5"/>
      </w:r>
      <w:r>
        <w:rPr>
          <w:rFonts w:hint="eastAsia"/>
        </w:rPr>
        <w:t>尽管总体上妇女所占的比例仍然较低，但参加工作的妇女人数却比男性增长更快；就业妇女人数年平均增长率在过去</w:t>
      </w:r>
      <w:r>
        <w:rPr>
          <w:rFonts w:hint="eastAsia"/>
        </w:rPr>
        <w:t>5</w:t>
      </w:r>
      <w:r>
        <w:rPr>
          <w:rFonts w:hint="eastAsia"/>
        </w:rPr>
        <w:t>年内为</w:t>
      </w:r>
      <w:r>
        <w:rPr>
          <w:rFonts w:hint="eastAsia"/>
        </w:rPr>
        <w:t>2.1%</w:t>
      </w:r>
      <w:r>
        <w:rPr>
          <w:rFonts w:hint="eastAsia"/>
        </w:rPr>
        <w:t>，在过去</w:t>
      </w:r>
      <w:r>
        <w:rPr>
          <w:rFonts w:hint="eastAsia"/>
        </w:rPr>
        <w:t>9</w:t>
      </w:r>
      <w:r>
        <w:rPr>
          <w:rFonts w:hint="eastAsia"/>
        </w:rPr>
        <w:t>年内为</w:t>
      </w:r>
      <w:r>
        <w:rPr>
          <w:rFonts w:hint="eastAsia"/>
        </w:rPr>
        <w:t>3.3%</w:t>
      </w:r>
      <w:r>
        <w:rPr>
          <w:rFonts w:hint="eastAsia"/>
        </w:rPr>
        <w:t>（以</w:t>
      </w:r>
      <w:r>
        <w:rPr>
          <w:rFonts w:hint="eastAsia"/>
        </w:rPr>
        <w:t>1995</w:t>
      </w:r>
      <w:r>
        <w:rPr>
          <w:rFonts w:hint="eastAsia"/>
        </w:rPr>
        <w:t>年为基点，因为在</w:t>
      </w:r>
      <w:r>
        <w:rPr>
          <w:rFonts w:hint="eastAsia"/>
        </w:rPr>
        <w:t>1994</w:t>
      </w:r>
      <w:r>
        <w:rPr>
          <w:rFonts w:hint="eastAsia"/>
        </w:rPr>
        <w:t>年没有开展</w:t>
      </w:r>
      <w:r>
        <w:rPr>
          <w:rFonts w:hint="eastAsia"/>
        </w:rPr>
        <w:t>全国就业普查），相比之下，男性的同期增长率分别为</w:t>
      </w:r>
      <w:r>
        <w:rPr>
          <w:rFonts w:hint="eastAsia"/>
        </w:rPr>
        <w:t>0.9%</w:t>
      </w:r>
      <w:r>
        <w:rPr>
          <w:rFonts w:hint="eastAsia"/>
        </w:rPr>
        <w:t>和</w:t>
      </w:r>
      <w:r>
        <w:rPr>
          <w:rFonts w:hint="eastAsia"/>
        </w:rPr>
        <w:t>1.6%</w:t>
      </w:r>
      <w:r>
        <w:rPr>
          <w:rFonts w:hint="eastAsia"/>
        </w:rPr>
        <w:t>。</w:t>
      </w:r>
    </w:p>
    <w:p w:rsidR="00000000" w:rsidRDefault="00457650">
      <w:pPr>
        <w:widowControl/>
        <w:tabs>
          <w:tab w:val="left" w:pos="630"/>
        </w:tabs>
        <w:spacing w:after="240" w:line="360" w:lineRule="exact"/>
        <w:rPr>
          <w:rFonts w:hint="eastAsia"/>
        </w:rPr>
      </w:pPr>
      <w:r>
        <w:rPr>
          <w:rFonts w:hint="eastAsia"/>
        </w:rPr>
        <w:t xml:space="preserve">57. </w:t>
      </w:r>
      <w:r>
        <w:rPr>
          <w:rFonts w:hint="eastAsia"/>
        </w:rPr>
        <w:tab/>
      </w:r>
      <w:r>
        <w:rPr>
          <w:rFonts w:hint="eastAsia"/>
        </w:rPr>
        <w:t>许多就业妇女事实上并没有充分就业，而且其就业率还有所下降；</w:t>
      </w:r>
      <w:r>
        <w:rPr>
          <w:rFonts w:hint="eastAsia"/>
        </w:rPr>
        <w:t>1995</w:t>
      </w:r>
      <w:r>
        <w:rPr>
          <w:rFonts w:hint="eastAsia"/>
        </w:rPr>
        <w:t>年，</w:t>
      </w:r>
      <w:r>
        <w:rPr>
          <w:rFonts w:hint="eastAsia"/>
        </w:rPr>
        <w:t>40%</w:t>
      </w:r>
      <w:r>
        <w:rPr>
          <w:rFonts w:hint="eastAsia"/>
        </w:rPr>
        <w:t>的就业妇女从事的是兼职工作（每周少于</w:t>
      </w:r>
      <w:r>
        <w:rPr>
          <w:rFonts w:hint="eastAsia"/>
        </w:rPr>
        <w:t>35</w:t>
      </w:r>
      <w:r>
        <w:rPr>
          <w:rFonts w:hint="eastAsia"/>
        </w:rPr>
        <w:t>小时），但是今天她们中只有</w:t>
      </w:r>
      <w:r>
        <w:rPr>
          <w:rFonts w:hint="eastAsia"/>
        </w:rPr>
        <w:t>34.4%</w:t>
      </w:r>
      <w:r>
        <w:rPr>
          <w:rFonts w:hint="eastAsia"/>
        </w:rPr>
        <w:t>的人还从事这种类型的工作。此外，在过去</w:t>
      </w:r>
      <w:r>
        <w:rPr>
          <w:rFonts w:hint="eastAsia"/>
        </w:rPr>
        <w:t>10</w:t>
      </w:r>
      <w:r>
        <w:rPr>
          <w:rFonts w:hint="eastAsia"/>
        </w:rPr>
        <w:t>年中，妇女平均失业登记率为</w:t>
      </w:r>
      <w:r>
        <w:rPr>
          <w:rFonts w:hint="eastAsia"/>
        </w:rPr>
        <w:t>2.9%</w:t>
      </w:r>
      <w:r>
        <w:rPr>
          <w:rFonts w:hint="eastAsia"/>
        </w:rPr>
        <w:t>，而男性为</w:t>
      </w:r>
      <w:r>
        <w:rPr>
          <w:rFonts w:hint="eastAsia"/>
        </w:rPr>
        <w:t>2.4%</w:t>
      </w:r>
      <w:r>
        <w:rPr>
          <w:rFonts w:hint="eastAsia"/>
        </w:rPr>
        <w:t>。</w:t>
      </w:r>
    </w:p>
    <w:p w:rsidR="00000000" w:rsidRDefault="00457650">
      <w:pPr>
        <w:widowControl/>
        <w:tabs>
          <w:tab w:val="left" w:pos="630"/>
        </w:tabs>
        <w:spacing w:after="240" w:line="360" w:lineRule="exact"/>
        <w:rPr>
          <w:rFonts w:hint="eastAsia"/>
        </w:rPr>
      </w:pPr>
      <w:r>
        <w:rPr>
          <w:rFonts w:hint="eastAsia"/>
        </w:rPr>
        <w:t>58.</w:t>
      </w:r>
      <w:r>
        <w:rPr>
          <w:rFonts w:hint="eastAsia"/>
        </w:rPr>
        <w:tab/>
      </w:r>
      <w:r>
        <w:rPr>
          <w:rFonts w:hint="eastAsia"/>
        </w:rPr>
        <w:t>年轻人（</w:t>
      </w:r>
      <w:r>
        <w:rPr>
          <w:rFonts w:hint="eastAsia"/>
        </w:rPr>
        <w:t>12</w:t>
      </w:r>
      <w:r>
        <w:rPr>
          <w:rFonts w:hint="eastAsia"/>
        </w:rPr>
        <w:t>至</w:t>
      </w:r>
      <w:r>
        <w:rPr>
          <w:rFonts w:hint="eastAsia"/>
        </w:rPr>
        <w:t>24</w:t>
      </w:r>
      <w:r>
        <w:rPr>
          <w:rFonts w:hint="eastAsia"/>
        </w:rPr>
        <w:t>岁）就业率在过去</w:t>
      </w:r>
      <w:r>
        <w:rPr>
          <w:rFonts w:hint="eastAsia"/>
        </w:rPr>
        <w:t>10</w:t>
      </w:r>
      <w:r>
        <w:rPr>
          <w:rFonts w:hint="eastAsia"/>
        </w:rPr>
        <w:t>年间已经下降，这部分是由于在将义务教育延长至中学开始之后，大部分年轻人倾向于在学校停留更长时间。不过这部分人口仍然保持最高水平的失业率（</w:t>
      </w:r>
      <w:r>
        <w:rPr>
          <w:rFonts w:hint="eastAsia"/>
        </w:rPr>
        <w:t>在过去</w:t>
      </w:r>
      <w:r>
        <w:rPr>
          <w:rFonts w:hint="eastAsia"/>
        </w:rPr>
        <w:t>10</w:t>
      </w:r>
      <w:r>
        <w:rPr>
          <w:rFonts w:hint="eastAsia"/>
        </w:rPr>
        <w:t>年中平均为</w:t>
      </w:r>
      <w:r>
        <w:rPr>
          <w:rFonts w:hint="eastAsia"/>
        </w:rPr>
        <w:t>4.5%</w:t>
      </w:r>
      <w:r>
        <w:rPr>
          <w:rFonts w:hint="eastAsia"/>
        </w:rPr>
        <w:t>），这是成年人失业率的两倍多（</w:t>
      </w:r>
      <w:r>
        <w:rPr>
          <w:rFonts w:hint="eastAsia"/>
        </w:rPr>
        <w:t>1.9%</w:t>
      </w:r>
      <w:r>
        <w:rPr>
          <w:rFonts w:hint="eastAsia"/>
        </w:rPr>
        <w:t>）。</w:t>
      </w:r>
    </w:p>
    <w:p w:rsidR="00000000" w:rsidRDefault="00457650">
      <w:pPr>
        <w:widowControl/>
        <w:tabs>
          <w:tab w:val="left" w:pos="630"/>
        </w:tabs>
        <w:spacing w:after="240" w:line="360" w:lineRule="exact"/>
        <w:rPr>
          <w:rFonts w:hint="eastAsia"/>
        </w:rPr>
      </w:pPr>
      <w:r>
        <w:rPr>
          <w:rFonts w:hint="eastAsia"/>
        </w:rPr>
        <w:t>59.</w:t>
      </w:r>
      <w:r>
        <w:rPr>
          <w:rFonts w:hint="eastAsia"/>
        </w:rPr>
        <w:tab/>
      </w:r>
      <w:r>
        <w:rPr>
          <w:rFonts w:hint="eastAsia"/>
        </w:rPr>
        <w:t>老年人（</w:t>
      </w:r>
      <w:r>
        <w:rPr>
          <w:rFonts w:hint="eastAsia"/>
        </w:rPr>
        <w:t>60</w:t>
      </w:r>
      <w:r>
        <w:rPr>
          <w:rFonts w:hint="eastAsia"/>
        </w:rPr>
        <w:t>岁或以上）的就业率显示出稳定的增长：在过去</w:t>
      </w:r>
      <w:r>
        <w:rPr>
          <w:rFonts w:hint="eastAsia"/>
        </w:rPr>
        <w:t>10</w:t>
      </w:r>
      <w:r>
        <w:rPr>
          <w:rFonts w:hint="eastAsia"/>
        </w:rPr>
        <w:t>年中，平均年增长率为</w:t>
      </w:r>
      <w:r>
        <w:rPr>
          <w:rFonts w:hint="eastAsia"/>
        </w:rPr>
        <w:t>3.3%</w:t>
      </w:r>
      <w:r>
        <w:rPr>
          <w:rFonts w:hint="eastAsia"/>
        </w:rPr>
        <w:t>——略低于成年人就业增长率（</w:t>
      </w:r>
      <w:r>
        <w:rPr>
          <w:rFonts w:hint="eastAsia"/>
        </w:rPr>
        <w:t>3.5%</w:t>
      </w:r>
      <w:r>
        <w:rPr>
          <w:rFonts w:hint="eastAsia"/>
        </w:rPr>
        <w:t>）。近三分之一就业的老年人没有充分就业。</w:t>
      </w:r>
    </w:p>
    <w:p w:rsidR="00000000" w:rsidRDefault="00457650">
      <w:pPr>
        <w:widowControl/>
        <w:tabs>
          <w:tab w:val="left" w:pos="630"/>
        </w:tabs>
        <w:spacing w:after="240" w:line="360" w:lineRule="exact"/>
        <w:rPr>
          <w:rFonts w:hint="eastAsia"/>
        </w:rPr>
      </w:pPr>
      <w:r>
        <w:rPr>
          <w:rFonts w:hint="eastAsia"/>
        </w:rPr>
        <w:t xml:space="preserve">60. </w:t>
      </w:r>
      <w:r>
        <w:rPr>
          <w:rFonts w:hint="eastAsia"/>
        </w:rPr>
        <w:tab/>
      </w:r>
      <w:r>
        <w:rPr>
          <w:rFonts w:hint="eastAsia"/>
        </w:rPr>
        <w:t>来自全国就业普查的其他统计资料按性别和年龄列示了各个季节地区就业人口的部分情况，还有一个表格简要显示了就业趋势（附件二）。</w:t>
      </w:r>
    </w:p>
    <w:p w:rsidR="00000000" w:rsidRDefault="00457650">
      <w:pPr>
        <w:widowControl/>
        <w:tabs>
          <w:tab w:val="left" w:pos="630"/>
        </w:tabs>
        <w:spacing w:after="240" w:line="360" w:lineRule="exact"/>
      </w:pPr>
      <w:r>
        <w:rPr>
          <w:noProof/>
          <w:sz w:val="20"/>
        </w:rPr>
        <w:pict>
          <v:shapetype id="_x0000_t202" coordsize="21600,21600" o:spt="202" path="m,l,21600r21600,l21600,xe">
            <v:stroke joinstyle="miter"/>
            <v:path gradientshapeok="t" o:connecttype="rect"/>
          </v:shapetype>
          <v:shape id="_x0000_s1151" type="#_x0000_t202" style="position:absolute;left:0;text-align:left;margin-left:0;margin-top:10pt;width:491.75pt;height:291.2pt;z-index:1">
            <v:textbox>
              <w:txbxContent>
                <w:p w:rsidR="00000000" w:rsidRDefault="00457650">
                  <w:pPr>
                    <w:tabs>
                      <w:tab w:val="left" w:pos="630"/>
                    </w:tabs>
                    <w:spacing w:after="240" w:line="360" w:lineRule="exact"/>
                    <w:jc w:val="center"/>
                    <w:rPr>
                      <w:rFonts w:ascii="SimHei" w:eastAsia="SimHei" w:hint="eastAsia"/>
                    </w:rPr>
                  </w:pPr>
                  <w:r>
                    <w:rPr>
                      <w:rFonts w:ascii="SimHei" w:eastAsia="SimHei" w:hint="eastAsia"/>
                    </w:rPr>
                    <w:t>2003</w:t>
                  </w:r>
                  <w:r>
                    <w:rPr>
                      <w:rFonts w:ascii="SimHei" w:eastAsia="SimHei" w:hint="eastAsia"/>
                    </w:rPr>
                    <w:t>年底制造业和边境加工出口业</w:t>
                  </w:r>
                  <w:r>
                    <w:rPr>
                      <w:rFonts w:ascii="SimHei" w:eastAsia="SimHei"/>
                    </w:rPr>
                    <w:br/>
                  </w:r>
                  <w:r>
                    <w:rPr>
                      <w:rFonts w:ascii="SimHei" w:eastAsia="SimHei" w:hint="eastAsia"/>
                    </w:rPr>
                    <w:t>就业人数略有回升</w:t>
                  </w:r>
                </w:p>
                <w:p w:rsidR="00000000" w:rsidRDefault="00457650">
                  <w:pPr>
                    <w:pStyle w:val="Header"/>
                    <w:pBdr>
                      <w:bottom w:val="none" w:sz="0" w:space="0" w:color="auto"/>
                    </w:pBdr>
                    <w:tabs>
                      <w:tab w:val="clear" w:pos="4320"/>
                      <w:tab w:val="clear" w:pos="8640"/>
                    </w:tabs>
                    <w:spacing w:line="312" w:lineRule="atLeast"/>
                    <w:rPr>
                      <w:rFonts w:eastAsia="SimHei"/>
                    </w:rPr>
                  </w:pPr>
                  <w:r>
                    <w:rPr>
                      <w:rFonts w:eastAsia="SimHei" w:hint="eastAsia"/>
                    </w:rPr>
                    <w:t>就业人口数量逐年变化情况</w:t>
                  </w:r>
                </w:p>
                <w:p w:rsidR="00000000" w:rsidRDefault="00457650"/>
                <w:p w:rsidR="00000000" w:rsidRDefault="0045765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476.25pt;height:177.75pt">
                        <v:imagedata r:id="rId14" o:title=""/>
                      </v:shape>
                    </w:pict>
                  </w:r>
                </w:p>
                <w:p w:rsidR="00000000" w:rsidRDefault="00457650">
                  <w:pPr>
                    <w:pStyle w:val="Date"/>
                  </w:pPr>
                </w:p>
              </w:txbxContent>
            </v:textbox>
          </v:shape>
        </w:pict>
      </w: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r>
        <w:rPr>
          <w:noProof/>
          <w:sz w:val="20"/>
        </w:rPr>
        <w:pict>
          <v:shape id="_x0000_s1152" type="#_x0000_t202" style="position:absolute;left:0;text-align:left;margin-left:192pt;margin-top:24pt;width:114pt;height:26pt;z-index:2" filled="f" stroked="f">
            <v:textbox>
              <w:txbxContent>
                <w:p w:rsidR="00000000" w:rsidRDefault="00457650">
                  <w:pPr>
                    <w:jc w:val="center"/>
                  </w:pPr>
                  <w:r>
                    <w:rPr>
                      <w:rFonts w:eastAsia="SimHei" w:hint="eastAsia"/>
                      <w:sz w:val="18"/>
                    </w:rPr>
                    <w:t>边境加工业</w:t>
                  </w:r>
                </w:p>
              </w:txbxContent>
            </v:textbox>
          </v:shape>
        </w:pict>
      </w: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r>
        <w:rPr>
          <w:noProof/>
          <w:sz w:val="20"/>
        </w:rPr>
        <w:pict>
          <v:shape id="_x0000_s1153" type="#_x0000_t202" style="position:absolute;left:0;text-align:left;margin-left:114pt;margin-top:22.4pt;width:114pt;height:26pt;z-index:3" filled="f" stroked="f">
            <v:textbox>
              <w:txbxContent>
                <w:p w:rsidR="00000000" w:rsidRDefault="00457650">
                  <w:r>
                    <w:rPr>
                      <w:rFonts w:eastAsia="SimHei" w:hint="eastAsia"/>
                      <w:sz w:val="18"/>
                    </w:rPr>
                    <w:t>制造业</w:t>
                  </w:r>
                </w:p>
              </w:txbxContent>
            </v:textbox>
          </v:shape>
        </w:pict>
      </w: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pStyle w:val="Date"/>
        <w:widowControl/>
        <w:tabs>
          <w:tab w:val="left" w:pos="630"/>
        </w:tabs>
        <w:spacing w:after="360" w:line="360" w:lineRule="exact"/>
      </w:pPr>
    </w:p>
    <w:p w:rsidR="00000000" w:rsidRDefault="00457650">
      <w:pPr>
        <w:widowControl/>
        <w:tabs>
          <w:tab w:val="left" w:pos="630"/>
        </w:tabs>
        <w:spacing w:after="240" w:line="360" w:lineRule="exact"/>
        <w:rPr>
          <w:sz w:val="18"/>
        </w:rPr>
      </w:pPr>
      <w:r>
        <w:rPr>
          <w:rFonts w:eastAsia="方正楷体_GBK" w:hint="eastAsia"/>
          <w:sz w:val="18"/>
        </w:rPr>
        <w:t>资料来源</w:t>
      </w:r>
      <w:r>
        <w:rPr>
          <w:rFonts w:hint="eastAsia"/>
          <w:sz w:val="18"/>
        </w:rPr>
        <w:t>：劳工和社会福利部。</w:t>
      </w:r>
    </w:p>
    <w:p w:rsidR="00000000" w:rsidRDefault="00457650">
      <w:pPr>
        <w:widowControl/>
        <w:tabs>
          <w:tab w:val="left" w:pos="630"/>
        </w:tabs>
        <w:spacing w:after="240" w:line="360" w:lineRule="exact"/>
      </w:pPr>
      <w:r>
        <w:br w:type="page"/>
      </w:r>
      <w:r>
        <w:rPr>
          <w:noProof/>
          <w:sz w:val="20"/>
        </w:rPr>
        <w:pict>
          <v:shape id="_x0000_s1154" type="#_x0000_t202" style="position:absolute;left:0;text-align:left;margin-left:0;margin-top:5.2pt;width:491.85pt;height:291.2pt;z-index:4">
            <v:textbox>
              <w:txbxContent>
                <w:p w:rsidR="00000000" w:rsidRDefault="00457650">
                  <w:pPr>
                    <w:tabs>
                      <w:tab w:val="left" w:pos="630"/>
                    </w:tabs>
                    <w:spacing w:after="120" w:line="360" w:lineRule="exact"/>
                    <w:jc w:val="center"/>
                    <w:rPr>
                      <w:rFonts w:ascii="SimHei" w:eastAsia="SimHei" w:hint="eastAsia"/>
                    </w:rPr>
                  </w:pPr>
                  <w:r>
                    <w:rPr>
                      <w:rFonts w:ascii="SimHei" w:eastAsia="SimHei" w:hint="eastAsia"/>
                    </w:rPr>
                    <w:t>2003</w:t>
                  </w:r>
                  <w:r>
                    <w:rPr>
                      <w:rFonts w:ascii="SimHei" w:eastAsia="SimHei" w:hint="eastAsia"/>
                    </w:rPr>
                    <w:t>年第四季度全</w:t>
                  </w:r>
                  <w:r>
                    <w:rPr>
                      <w:rFonts w:ascii="SimHei" w:eastAsia="SimHei" w:hint="eastAsia"/>
                    </w:rPr>
                    <w:t>国过度失业率达到</w:t>
                  </w:r>
                  <w:r>
                    <w:rPr>
                      <w:rFonts w:ascii="SimHei" w:eastAsia="SimHei" w:hint="eastAsia"/>
                    </w:rPr>
                    <w:t>2.5%</w:t>
                  </w:r>
                  <w:r>
                    <w:rPr>
                      <w:rFonts w:ascii="SimHei" w:eastAsia="SimHei"/>
                    </w:rPr>
                    <w:br/>
                  </w:r>
                  <w:r>
                    <w:rPr>
                      <w:rFonts w:ascii="SimHei" w:eastAsia="SimHei" w:hint="eastAsia"/>
                    </w:rPr>
                    <w:t>（失业人口</w:t>
                  </w:r>
                  <w:r>
                    <w:rPr>
                      <w:rFonts w:ascii="SimHei" w:eastAsia="SimHei" w:hint="eastAsia"/>
                    </w:rPr>
                    <w:t>1 044 701</w:t>
                  </w:r>
                  <w:r>
                    <w:rPr>
                      <w:rFonts w:ascii="SimHei" w:eastAsia="SimHei" w:hint="eastAsia"/>
                    </w:rPr>
                    <w:t>人）</w:t>
                  </w:r>
                </w:p>
                <w:p w:rsidR="00000000" w:rsidRDefault="00457650">
                  <w:pPr>
                    <w:pStyle w:val="Header"/>
                    <w:pBdr>
                      <w:bottom w:val="none" w:sz="0" w:space="0" w:color="auto"/>
                    </w:pBdr>
                    <w:tabs>
                      <w:tab w:val="clear" w:pos="4320"/>
                      <w:tab w:val="clear" w:pos="8640"/>
                    </w:tabs>
                    <w:spacing w:line="312" w:lineRule="atLeast"/>
                    <w:rPr>
                      <w:rFonts w:eastAsia="SimHei"/>
                    </w:rPr>
                  </w:pPr>
                  <w:r>
                    <w:rPr>
                      <w:rFonts w:eastAsia="SimHei" w:hint="eastAsia"/>
                    </w:rPr>
                    <w:t>全国过度失业率占全国参加经济活动人口百分比的趋势</w:t>
                  </w:r>
                </w:p>
                <w:p w:rsidR="00000000" w:rsidRDefault="00457650">
                  <w:pPr>
                    <w:jc w:val="center"/>
                  </w:pPr>
                  <w:r>
                    <w:pict>
                      <v:shape id="_x0000_i1034" type="#_x0000_t75" style="width:453.75pt;height:204pt">
                        <v:imagedata r:id="rId15" o:title=""/>
                      </v:shape>
                    </w:pict>
                  </w:r>
                </w:p>
                <w:p w:rsidR="00000000" w:rsidRDefault="00457650">
                  <w:r>
                    <w:rPr>
                      <w:rFonts w:eastAsia="KaiTi_GB2312" w:hint="eastAsia"/>
                      <w:sz w:val="18"/>
                    </w:rPr>
                    <w:t>资料来源</w:t>
                  </w:r>
                  <w:r>
                    <w:rPr>
                      <w:rFonts w:hint="eastAsia"/>
                      <w:sz w:val="18"/>
                    </w:rPr>
                    <w:t>：社会发展部，根据全国就业普查，劳工和社会福利部</w:t>
                  </w:r>
                  <w:r>
                    <w:rPr>
                      <w:rFonts w:hint="eastAsia"/>
                      <w:sz w:val="18"/>
                    </w:rPr>
                    <w:t>-</w:t>
                  </w:r>
                  <w:r>
                    <w:rPr>
                      <w:rFonts w:hint="eastAsia"/>
                      <w:sz w:val="18"/>
                    </w:rPr>
                    <w:t>国家统计、地理和信息技术研究所资料。</w:t>
                  </w:r>
                </w:p>
                <w:p w:rsidR="00000000" w:rsidRDefault="00457650"/>
              </w:txbxContent>
            </v:textbox>
          </v:shape>
        </w:pict>
      </w:r>
    </w:p>
    <w:p w:rsidR="00000000" w:rsidRDefault="00457650">
      <w:pPr>
        <w:pStyle w:val="a3"/>
        <w:widowControl/>
        <w:tabs>
          <w:tab w:val="left" w:pos="630"/>
        </w:tabs>
        <w:adjustRightInd w:val="0"/>
        <w:spacing w:after="240" w:line="360" w:lineRule="exact"/>
        <w:textAlignment w:val="baseline"/>
        <w:rPr>
          <w:kern w:val="0"/>
          <w:szCs w:val="20"/>
        </w:rPr>
      </w:pPr>
    </w:p>
    <w:p w:rsidR="00000000" w:rsidRDefault="00457650">
      <w:pPr>
        <w:pStyle w:val="a3"/>
        <w:widowControl/>
        <w:tabs>
          <w:tab w:val="left" w:pos="630"/>
        </w:tabs>
        <w:adjustRightInd w:val="0"/>
        <w:spacing w:after="240" w:line="360" w:lineRule="exact"/>
        <w:textAlignment w:val="baseline"/>
        <w:rPr>
          <w:kern w:val="0"/>
          <w:szCs w:val="20"/>
        </w:rPr>
      </w:pPr>
    </w:p>
    <w:p w:rsidR="00000000" w:rsidRDefault="00457650">
      <w:pPr>
        <w:pStyle w:val="a3"/>
        <w:widowControl/>
        <w:tabs>
          <w:tab w:val="left" w:pos="630"/>
        </w:tabs>
        <w:adjustRightInd w:val="0"/>
        <w:spacing w:after="240" w:line="360" w:lineRule="exact"/>
        <w:textAlignment w:val="baseline"/>
        <w:rPr>
          <w:kern w:val="0"/>
          <w:szCs w:val="20"/>
        </w:rPr>
      </w:pPr>
    </w:p>
    <w:p w:rsidR="00000000" w:rsidRDefault="00457650">
      <w:pPr>
        <w:pStyle w:val="a3"/>
        <w:widowControl/>
        <w:tabs>
          <w:tab w:val="left" w:pos="630"/>
        </w:tabs>
        <w:adjustRightInd w:val="0"/>
        <w:spacing w:after="240" w:line="360" w:lineRule="exact"/>
        <w:textAlignment w:val="baseline"/>
        <w:rPr>
          <w:kern w:val="0"/>
          <w:szCs w:val="20"/>
        </w:rPr>
      </w:pPr>
      <w:r>
        <w:rPr>
          <w:noProof/>
          <w:kern w:val="0"/>
          <w:sz w:val="20"/>
          <w:szCs w:val="20"/>
        </w:rPr>
        <w:pict>
          <v:shape id="_x0000_s1155" type="#_x0000_t202" style="position:absolute;left:0;text-align:left;margin-left:180pt;margin-top:15.2pt;width:1in;height:31.2pt;z-index:5" filled="f" stroked="f">
            <v:textbox>
              <w:txbxContent>
                <w:p w:rsidR="00000000" w:rsidRDefault="00457650">
                  <w:r>
                    <w:rPr>
                      <w:rFonts w:hint="eastAsia"/>
                      <w:sz w:val="18"/>
                    </w:rPr>
                    <w:t>年平均率</w:t>
                  </w:r>
                  <w:r>
                    <w:rPr>
                      <w:rFonts w:hint="eastAsia"/>
                      <w:sz w:val="18"/>
                    </w:rPr>
                    <w:t>2.5%</w:t>
                  </w:r>
                </w:p>
              </w:txbxContent>
            </v:textbox>
          </v:shape>
        </w:pict>
      </w:r>
    </w:p>
    <w:p w:rsidR="00000000" w:rsidRDefault="00457650">
      <w:pPr>
        <w:pStyle w:val="a3"/>
        <w:widowControl/>
        <w:tabs>
          <w:tab w:val="left" w:pos="630"/>
        </w:tabs>
        <w:adjustRightInd w:val="0"/>
        <w:spacing w:after="240" w:line="360" w:lineRule="exact"/>
        <w:textAlignment w:val="baseline"/>
        <w:rPr>
          <w:kern w:val="0"/>
          <w:szCs w:val="20"/>
        </w:rPr>
      </w:pPr>
    </w:p>
    <w:p w:rsidR="00000000" w:rsidRDefault="00457650">
      <w:pPr>
        <w:pStyle w:val="a3"/>
        <w:widowControl/>
        <w:tabs>
          <w:tab w:val="left" w:pos="630"/>
        </w:tabs>
        <w:adjustRightInd w:val="0"/>
        <w:spacing w:after="240" w:line="360" w:lineRule="exact"/>
        <w:textAlignment w:val="baseline"/>
        <w:rPr>
          <w:kern w:val="0"/>
          <w:szCs w:val="20"/>
        </w:rPr>
      </w:pPr>
    </w:p>
    <w:p w:rsidR="00000000" w:rsidRDefault="00457650">
      <w:pPr>
        <w:pStyle w:val="a3"/>
        <w:widowControl/>
        <w:tabs>
          <w:tab w:val="left" w:pos="630"/>
        </w:tabs>
        <w:adjustRightInd w:val="0"/>
        <w:spacing w:after="240" w:line="360" w:lineRule="exact"/>
        <w:textAlignment w:val="baseline"/>
        <w:rPr>
          <w:kern w:val="0"/>
          <w:szCs w:val="20"/>
        </w:rPr>
      </w:pPr>
    </w:p>
    <w:p w:rsidR="00000000" w:rsidRDefault="00457650">
      <w:pPr>
        <w:pStyle w:val="a3"/>
        <w:widowControl/>
        <w:tabs>
          <w:tab w:val="left" w:pos="630"/>
        </w:tabs>
        <w:adjustRightInd w:val="0"/>
        <w:spacing w:after="240" w:line="360" w:lineRule="exact"/>
        <w:textAlignment w:val="baseline"/>
        <w:rPr>
          <w:kern w:val="0"/>
          <w:szCs w:val="20"/>
        </w:rPr>
      </w:pPr>
    </w:p>
    <w:p w:rsidR="00000000" w:rsidRDefault="00457650">
      <w:pPr>
        <w:pStyle w:val="a3"/>
        <w:widowControl/>
        <w:tabs>
          <w:tab w:val="left" w:pos="630"/>
        </w:tabs>
        <w:adjustRightInd w:val="0"/>
        <w:spacing w:after="240" w:line="360" w:lineRule="exact"/>
        <w:textAlignment w:val="baseline"/>
        <w:rPr>
          <w:kern w:val="0"/>
          <w:szCs w:val="20"/>
        </w:rPr>
      </w:pPr>
    </w:p>
    <w:p w:rsidR="00000000" w:rsidRDefault="00457650">
      <w:pPr>
        <w:widowControl/>
        <w:tabs>
          <w:tab w:val="left" w:pos="630"/>
        </w:tabs>
        <w:spacing w:after="240" w:line="360" w:lineRule="exact"/>
        <w:rPr>
          <w:sz w:val="18"/>
        </w:rPr>
      </w:pPr>
      <w:r>
        <w:rPr>
          <w:noProof/>
          <w:sz w:val="20"/>
        </w:rPr>
        <w:pict>
          <v:shape id="_x0000_s1156" type="#_x0000_t202" style="position:absolute;left:0;text-align:left;margin-left:0;margin-top:27.6pt;width:491.85pt;height:249.6pt;z-index:6">
            <v:textbox>
              <w:txbxContent>
                <w:p w:rsidR="00000000" w:rsidRDefault="00457650">
                  <w:pPr>
                    <w:tabs>
                      <w:tab w:val="left" w:pos="630"/>
                    </w:tabs>
                    <w:spacing w:after="120" w:line="360" w:lineRule="exact"/>
                    <w:jc w:val="center"/>
                    <w:rPr>
                      <w:rFonts w:ascii="SimHei" w:eastAsia="SimHei" w:hint="eastAsia"/>
                    </w:rPr>
                  </w:pPr>
                  <w:r>
                    <w:rPr>
                      <w:rFonts w:ascii="SimHei" w:eastAsia="SimHei" w:hint="eastAsia"/>
                    </w:rPr>
                    <w:t>福克斯总统就任期间公开的城市平均失业率（</w:t>
                  </w:r>
                  <w:r>
                    <w:rPr>
                      <w:rFonts w:ascii="SimHei" w:eastAsia="SimHei" w:hint="eastAsia"/>
                    </w:rPr>
                    <w:t>2.8%</w:t>
                  </w:r>
                  <w:r>
                    <w:rPr>
                      <w:rFonts w:ascii="SimHei" w:eastAsia="SimHei" w:hint="eastAsia"/>
                    </w:rPr>
                    <w:t>）</w:t>
                  </w:r>
                  <w:r>
                    <w:rPr>
                      <w:rFonts w:ascii="SimHei" w:eastAsia="SimHei"/>
                    </w:rPr>
                    <w:br/>
                  </w:r>
                  <w:r>
                    <w:rPr>
                      <w:rFonts w:ascii="SimHei" w:eastAsia="SimHei" w:hint="eastAsia"/>
                    </w:rPr>
                    <w:t>始终低于历史平均线</w:t>
                  </w:r>
                </w:p>
                <w:p w:rsidR="00000000" w:rsidRDefault="00457650">
                  <w:pPr>
                    <w:pStyle w:val="Header"/>
                    <w:pBdr>
                      <w:bottom w:val="none" w:sz="0" w:space="0" w:color="auto"/>
                    </w:pBdr>
                    <w:tabs>
                      <w:tab w:val="clear" w:pos="4320"/>
                      <w:tab w:val="clear" w:pos="8640"/>
                    </w:tabs>
                    <w:spacing w:line="312" w:lineRule="atLeast"/>
                    <w:rPr>
                      <w:rFonts w:eastAsia="SimHei"/>
                    </w:rPr>
                  </w:pPr>
                  <w:r>
                    <w:rPr>
                      <w:rFonts w:eastAsia="SimHei" w:hint="eastAsia"/>
                    </w:rPr>
                    <w:t>公开的城市失业率趋势</w:t>
                  </w:r>
                </w:p>
                <w:p w:rsidR="00000000" w:rsidRDefault="00457650">
                  <w:pPr>
                    <w:jc w:val="center"/>
                  </w:pPr>
                  <w:r>
                    <w:pict>
                      <v:shape id="_x0000_i1033" type="#_x0000_t75" style="width:338.25pt;height:160.5pt">
                        <v:imagedata r:id="rId16" o:title=""/>
                      </v:shape>
                    </w:pict>
                  </w:r>
                </w:p>
                <w:p w:rsidR="00000000" w:rsidRDefault="00457650">
                  <w:pPr>
                    <w:pStyle w:val="Date"/>
                  </w:pPr>
                  <w:r>
                    <w:rPr>
                      <w:rFonts w:eastAsia="KaiTi_GB2312" w:hint="eastAsia"/>
                      <w:sz w:val="18"/>
                    </w:rPr>
                    <w:t>资料来源</w:t>
                  </w:r>
                  <w:r>
                    <w:rPr>
                      <w:rFonts w:hint="eastAsia"/>
                      <w:sz w:val="18"/>
                    </w:rPr>
                    <w:t>：社会发展部，根据全国就业普查，国家统计、地理和信息技术研究所资料。</w:t>
                  </w:r>
                </w:p>
              </w:txbxContent>
            </v:textbox>
          </v:shape>
        </w:pict>
      </w:r>
      <w:r>
        <w:rPr>
          <w:rFonts w:eastAsia="方正楷体_GBK" w:hint="eastAsia"/>
          <w:sz w:val="18"/>
        </w:rPr>
        <w:t>资料来源</w:t>
      </w:r>
      <w:r>
        <w:rPr>
          <w:rFonts w:hint="eastAsia"/>
          <w:sz w:val="18"/>
        </w:rPr>
        <w:t>：劳工和社会福利部。</w:t>
      </w: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r>
        <w:rPr>
          <w:noProof/>
          <w:sz w:val="20"/>
        </w:rPr>
        <w:pict>
          <v:shape id="_x0000_s1157" type="#_x0000_t202" style="position:absolute;left:0;text-align:left;margin-left:174pt;margin-top:12.6pt;width:96pt;height:46.8pt;z-index:7" filled="f" stroked="f">
            <v:textbox>
              <w:txbxContent>
                <w:p w:rsidR="00000000" w:rsidRDefault="00457650">
                  <w:pPr>
                    <w:jc w:val="center"/>
                    <w:rPr>
                      <w:sz w:val="18"/>
                    </w:rPr>
                  </w:pPr>
                  <w:r>
                    <w:rPr>
                      <w:rFonts w:hint="eastAsia"/>
                      <w:sz w:val="18"/>
                    </w:rPr>
                    <w:t>21</w:t>
                  </w:r>
                  <w:r>
                    <w:rPr>
                      <w:rFonts w:hint="eastAsia"/>
                      <w:sz w:val="18"/>
                    </w:rPr>
                    <w:t>年的平均失业率</w:t>
                  </w:r>
                </w:p>
                <w:p w:rsidR="00000000" w:rsidRDefault="00457650">
                  <w:pPr>
                    <w:jc w:val="center"/>
                  </w:pPr>
                  <w:r>
                    <w:rPr>
                      <w:sz w:val="18"/>
                    </w:rPr>
                    <w:t>3.9%</w:t>
                  </w:r>
                </w:p>
              </w:txbxContent>
            </v:textbox>
          </v:shape>
        </w:pict>
      </w: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rPr>
          <w:rFonts w:hint="eastAsia"/>
        </w:rPr>
      </w:pPr>
    </w:p>
    <w:p w:rsidR="00000000" w:rsidRDefault="00457650">
      <w:pPr>
        <w:pStyle w:val="Date"/>
        <w:widowControl/>
        <w:tabs>
          <w:tab w:val="left" w:pos="630"/>
        </w:tabs>
        <w:spacing w:line="360" w:lineRule="exact"/>
        <w:rPr>
          <w:rFonts w:hint="eastAsia"/>
        </w:rPr>
      </w:pPr>
    </w:p>
    <w:p w:rsidR="00000000" w:rsidRDefault="00457650">
      <w:pPr>
        <w:widowControl/>
        <w:tabs>
          <w:tab w:val="left" w:pos="630"/>
        </w:tabs>
        <w:spacing w:after="240" w:line="360" w:lineRule="exact"/>
        <w:rPr>
          <w:sz w:val="18"/>
        </w:rPr>
      </w:pPr>
      <w:r>
        <w:rPr>
          <w:rFonts w:eastAsia="方正楷体_GBK" w:hint="eastAsia"/>
          <w:sz w:val="18"/>
        </w:rPr>
        <w:t>资料来源：</w:t>
      </w:r>
      <w:r>
        <w:rPr>
          <w:rFonts w:hint="eastAsia"/>
          <w:sz w:val="18"/>
        </w:rPr>
        <w:t>劳工和社会福利部。</w:t>
      </w:r>
    </w:p>
    <w:p w:rsidR="00000000" w:rsidRDefault="00457650">
      <w:pPr>
        <w:widowControl/>
        <w:tabs>
          <w:tab w:val="left" w:pos="630"/>
        </w:tabs>
        <w:spacing w:after="240" w:line="360" w:lineRule="exact"/>
        <w:rPr>
          <w:sz w:val="18"/>
        </w:rPr>
      </w:pPr>
      <w:r>
        <w:rPr>
          <w:sz w:val="18"/>
        </w:rPr>
        <w:br w:type="page"/>
      </w:r>
    </w:p>
    <w:p w:rsidR="00000000" w:rsidRDefault="00457650">
      <w:pPr>
        <w:widowControl/>
        <w:tabs>
          <w:tab w:val="left" w:pos="630"/>
        </w:tabs>
        <w:spacing w:after="240" w:line="360" w:lineRule="exact"/>
        <w:rPr>
          <w:rFonts w:hint="eastAsia"/>
        </w:rPr>
      </w:pPr>
      <w:r>
        <w:rPr>
          <w:noProof/>
          <w:sz w:val="20"/>
        </w:rPr>
        <w:pict>
          <v:shape id="_x0000_s1159" type="#_x0000_t202" style="position:absolute;left:0;text-align:left;margin-left:0;margin-top:22.65pt;width:66pt;height:208pt;z-index:9" filled="f" stroked="f">
            <v:textbox>
              <w:txbxContent>
                <w:p w:rsidR="00000000" w:rsidRDefault="00457650">
                  <w:pPr>
                    <w:tabs>
                      <w:tab w:val="left" w:pos="630"/>
                    </w:tabs>
                    <w:spacing w:line="220" w:lineRule="exact"/>
                    <w:jc w:val="center"/>
                    <w:rPr>
                      <w:sz w:val="18"/>
                    </w:rPr>
                  </w:pPr>
                  <w:r>
                    <w:rPr>
                      <w:rFonts w:hint="eastAsia"/>
                      <w:sz w:val="18"/>
                    </w:rPr>
                    <w:t>超出</w:t>
                  </w:r>
                  <w:r>
                    <w:rPr>
                      <w:rFonts w:hint="eastAsia"/>
                      <w:sz w:val="18"/>
                    </w:rPr>
                    <w:t>最低工资</w:t>
                  </w:r>
                  <w:r>
                    <w:rPr>
                      <w:rFonts w:hint="eastAsia"/>
                      <w:sz w:val="18"/>
                    </w:rPr>
                    <w:t>5</w:t>
                  </w:r>
                  <w:r>
                    <w:rPr>
                      <w:rFonts w:hint="eastAsia"/>
                      <w:sz w:val="18"/>
                    </w:rPr>
                    <w:t>倍</w:t>
                  </w:r>
                </w:p>
                <w:p w:rsidR="00000000" w:rsidRDefault="00457650">
                  <w:pPr>
                    <w:tabs>
                      <w:tab w:val="left" w:pos="630"/>
                    </w:tabs>
                    <w:spacing w:line="220" w:lineRule="exact"/>
                    <w:jc w:val="center"/>
                    <w:rPr>
                      <w:sz w:val="18"/>
                    </w:rPr>
                  </w:pPr>
                </w:p>
                <w:p w:rsidR="00000000" w:rsidRDefault="00457650">
                  <w:pPr>
                    <w:tabs>
                      <w:tab w:val="left" w:pos="630"/>
                    </w:tabs>
                    <w:spacing w:line="220" w:lineRule="exact"/>
                    <w:jc w:val="center"/>
                    <w:rPr>
                      <w:sz w:val="18"/>
                    </w:rPr>
                  </w:pPr>
                  <w:r>
                    <w:rPr>
                      <w:rFonts w:hint="eastAsia"/>
                      <w:sz w:val="18"/>
                    </w:rPr>
                    <w:t>最低工资的</w:t>
                  </w:r>
                  <w:r>
                    <w:rPr>
                      <w:rFonts w:hint="eastAsia"/>
                      <w:sz w:val="18"/>
                    </w:rPr>
                    <w:t>2-5</w:t>
                  </w:r>
                  <w:r>
                    <w:rPr>
                      <w:rFonts w:hint="eastAsia"/>
                      <w:sz w:val="18"/>
                    </w:rPr>
                    <w:t>倍</w:t>
                  </w:r>
                </w:p>
                <w:p w:rsidR="00000000" w:rsidRDefault="00457650">
                  <w:pPr>
                    <w:tabs>
                      <w:tab w:val="left" w:pos="630"/>
                    </w:tabs>
                    <w:spacing w:line="220" w:lineRule="exact"/>
                    <w:jc w:val="center"/>
                    <w:rPr>
                      <w:sz w:val="18"/>
                    </w:rPr>
                  </w:pPr>
                </w:p>
                <w:p w:rsidR="00000000" w:rsidRDefault="00457650">
                  <w:pPr>
                    <w:tabs>
                      <w:tab w:val="left" w:pos="630"/>
                    </w:tabs>
                    <w:spacing w:line="220" w:lineRule="exact"/>
                    <w:jc w:val="center"/>
                    <w:rPr>
                      <w:sz w:val="18"/>
                    </w:rPr>
                  </w:pPr>
                </w:p>
                <w:p w:rsidR="00000000" w:rsidRDefault="00457650">
                  <w:pPr>
                    <w:tabs>
                      <w:tab w:val="left" w:pos="630"/>
                    </w:tabs>
                    <w:spacing w:line="220" w:lineRule="exact"/>
                    <w:jc w:val="center"/>
                    <w:rPr>
                      <w:sz w:val="18"/>
                    </w:rPr>
                  </w:pPr>
                </w:p>
                <w:p w:rsidR="00000000" w:rsidRDefault="00457650">
                  <w:pPr>
                    <w:tabs>
                      <w:tab w:val="left" w:pos="630"/>
                    </w:tabs>
                    <w:spacing w:line="220" w:lineRule="exact"/>
                    <w:jc w:val="center"/>
                    <w:rPr>
                      <w:sz w:val="18"/>
                    </w:rPr>
                  </w:pPr>
                  <w:r>
                    <w:rPr>
                      <w:rFonts w:hint="eastAsia"/>
                      <w:sz w:val="18"/>
                    </w:rPr>
                    <w:t>最低工资的</w:t>
                  </w:r>
                  <w:r>
                    <w:rPr>
                      <w:sz w:val="18"/>
                    </w:rPr>
                    <w:br/>
                  </w:r>
                  <w:r>
                    <w:rPr>
                      <w:rFonts w:hint="eastAsia"/>
                      <w:sz w:val="18"/>
                    </w:rPr>
                    <w:t>2</w:t>
                  </w:r>
                  <w:r>
                    <w:rPr>
                      <w:rFonts w:hint="eastAsia"/>
                      <w:sz w:val="18"/>
                    </w:rPr>
                    <w:t>倍或不到</w:t>
                  </w:r>
                  <w:r>
                    <w:rPr>
                      <w:sz w:val="18"/>
                    </w:rPr>
                    <w:br/>
                  </w:r>
                  <w:r>
                    <w:rPr>
                      <w:rFonts w:hint="eastAsia"/>
                      <w:sz w:val="18"/>
                    </w:rPr>
                    <w:t>2</w:t>
                  </w:r>
                  <w:r>
                    <w:rPr>
                      <w:rFonts w:hint="eastAsia"/>
                      <w:sz w:val="18"/>
                    </w:rPr>
                    <w:t>倍</w:t>
                  </w:r>
                </w:p>
                <w:p w:rsidR="00000000" w:rsidRDefault="00457650">
                  <w:pPr>
                    <w:tabs>
                      <w:tab w:val="left" w:pos="630"/>
                    </w:tabs>
                    <w:spacing w:line="220" w:lineRule="exact"/>
                    <w:jc w:val="center"/>
                    <w:rPr>
                      <w:sz w:val="18"/>
                    </w:rPr>
                  </w:pPr>
                </w:p>
                <w:p w:rsidR="00000000" w:rsidRDefault="00457650">
                  <w:pPr>
                    <w:tabs>
                      <w:tab w:val="left" w:pos="630"/>
                    </w:tabs>
                    <w:spacing w:line="220" w:lineRule="exact"/>
                    <w:jc w:val="center"/>
                    <w:rPr>
                      <w:sz w:val="18"/>
                    </w:rPr>
                  </w:pPr>
                </w:p>
                <w:p w:rsidR="00000000" w:rsidRDefault="00457650">
                  <w:pPr>
                    <w:tabs>
                      <w:tab w:val="left" w:pos="630"/>
                    </w:tabs>
                    <w:spacing w:line="220" w:lineRule="exact"/>
                    <w:jc w:val="center"/>
                    <w:rPr>
                      <w:sz w:val="18"/>
                    </w:rPr>
                  </w:pPr>
                </w:p>
                <w:p w:rsidR="00000000" w:rsidRDefault="00457650">
                  <w:pPr>
                    <w:tabs>
                      <w:tab w:val="left" w:pos="630"/>
                    </w:tabs>
                    <w:spacing w:line="220" w:lineRule="exact"/>
                    <w:jc w:val="center"/>
                    <w:rPr>
                      <w:rFonts w:hint="eastAsia"/>
                      <w:sz w:val="18"/>
                    </w:rPr>
                  </w:pPr>
                  <w:r>
                    <w:rPr>
                      <w:rFonts w:hint="eastAsia"/>
                      <w:sz w:val="18"/>
                    </w:rPr>
                    <w:t>无收入</w:t>
                  </w:r>
                </w:p>
                <w:p w:rsidR="00000000" w:rsidRDefault="00457650">
                  <w:pPr>
                    <w:pStyle w:val="Header"/>
                    <w:pBdr>
                      <w:bottom w:val="none" w:sz="0" w:space="0" w:color="auto"/>
                    </w:pBdr>
                    <w:tabs>
                      <w:tab w:val="clear" w:pos="4320"/>
                      <w:tab w:val="clear" w:pos="8640"/>
                    </w:tabs>
                    <w:spacing w:line="120" w:lineRule="exact"/>
                  </w:pPr>
                </w:p>
                <w:p w:rsidR="00000000" w:rsidRDefault="00457650">
                  <w:pPr>
                    <w:spacing w:line="220" w:lineRule="exact"/>
                    <w:jc w:val="center"/>
                  </w:pPr>
                  <w:r>
                    <w:rPr>
                      <w:rFonts w:hint="eastAsia"/>
                      <w:sz w:val="18"/>
                    </w:rPr>
                    <w:t>无信息</w:t>
                  </w:r>
                </w:p>
              </w:txbxContent>
            </v:textbox>
          </v:shape>
        </w:pict>
      </w:r>
      <w:r>
        <w:rPr>
          <w:noProof/>
          <w:sz w:val="20"/>
        </w:rPr>
        <w:pict>
          <v:shape id="_x0000_s1158" type="#_x0000_t202" style="position:absolute;left:0;text-align:left;margin-left:0;margin-top:-29.35pt;width:491.65pt;height:280.8pt;z-index:8">
            <v:textbox style="mso-next-textbox:#_x0000_s1158">
              <w:txbxContent>
                <w:p w:rsidR="00000000" w:rsidRDefault="00457650">
                  <w:pPr>
                    <w:tabs>
                      <w:tab w:val="left" w:pos="630"/>
                    </w:tabs>
                    <w:spacing w:after="120" w:line="360" w:lineRule="exact"/>
                    <w:jc w:val="center"/>
                    <w:rPr>
                      <w:rFonts w:ascii="SimHei" w:eastAsia="SimHei" w:hAnsi="SimSun" w:hint="eastAsia"/>
                    </w:rPr>
                  </w:pPr>
                  <w:r>
                    <w:rPr>
                      <w:rFonts w:ascii="SimHei" w:eastAsia="SimHei" w:hAnsi="SimSun" w:hint="eastAsia"/>
                    </w:rPr>
                    <w:t>劳动者的情况开始好转</w:t>
                  </w:r>
                  <w:r>
                    <w:rPr>
                      <w:rFonts w:ascii="SimHei" w:eastAsia="SimHei" w:hAnsi="SimSun" w:hint="eastAsia"/>
                    </w:rPr>
                    <w:t xml:space="preserve"> </w:t>
                  </w:r>
                  <w:r>
                    <w:rPr>
                      <w:rFonts w:ascii="SimSun" w:eastAsia="SimHei" w:hAnsi="SimSun"/>
                    </w:rPr>
                    <w:t>……</w:t>
                  </w:r>
                </w:p>
                <w:p w:rsidR="00000000" w:rsidRDefault="00457650">
                  <w:pPr>
                    <w:pStyle w:val="Header"/>
                    <w:pBdr>
                      <w:bottom w:val="none" w:sz="0" w:space="0" w:color="auto"/>
                    </w:pBdr>
                    <w:tabs>
                      <w:tab w:val="clear" w:pos="4320"/>
                      <w:tab w:val="clear" w:pos="8640"/>
                      <w:tab w:val="left" w:pos="630"/>
                    </w:tabs>
                    <w:spacing w:after="120" w:line="360" w:lineRule="exact"/>
                    <w:rPr>
                      <w:rFonts w:eastAsia="SimHei" w:hint="eastAsia"/>
                      <w:sz w:val="21"/>
                    </w:rPr>
                  </w:pPr>
                  <w:r>
                    <w:rPr>
                      <w:rFonts w:eastAsia="SimHei" w:hint="eastAsia"/>
                      <w:sz w:val="21"/>
                    </w:rPr>
                    <w:t>按收入水平划分的就业人口</w:t>
                  </w:r>
                </w:p>
                <w:p w:rsidR="00000000" w:rsidRDefault="00457650">
                  <w:pPr>
                    <w:jc w:val="center"/>
                    <w:rPr>
                      <w:rFonts w:hint="eastAsia"/>
                    </w:rPr>
                  </w:pPr>
                  <w:r>
                    <w:rPr>
                      <w:rFonts w:hint="eastAsia"/>
                    </w:rPr>
                    <w:t xml:space="preserve">       </w:t>
                  </w:r>
                  <w:r>
                    <w:pict>
                      <v:shape id="_x0000_i1032" type="#_x0000_t75" style="width:423pt;height:201pt">
                        <v:imagedata r:id="rId17" o:title=""/>
                      </v:shape>
                    </w:pict>
                  </w:r>
                </w:p>
                <w:p w:rsidR="00000000" w:rsidRDefault="00457650" w:rsidP="00457650">
                  <w:pPr>
                    <w:ind w:firstLineChars="500" w:firstLine="31680"/>
                    <w:rPr>
                      <w:rFonts w:ascii="SimHei" w:eastAsia="SimHei" w:hint="eastAsia"/>
                    </w:rPr>
                  </w:pPr>
                  <w:r>
                    <w:rPr>
                      <w:rFonts w:ascii="SimHei" w:eastAsia="SimHei" w:hint="eastAsia"/>
                    </w:rPr>
                    <w:t>2003</w:t>
                  </w:r>
                  <w:r>
                    <w:rPr>
                      <w:rFonts w:ascii="SimHei" w:eastAsia="SimHei" w:hint="eastAsia"/>
                    </w:rPr>
                    <w:t>年</w:t>
                  </w:r>
                  <w:r>
                    <w:rPr>
                      <w:rFonts w:ascii="SimHei" w:eastAsia="SimHei" w:hint="eastAsia"/>
                    </w:rPr>
                    <w:t>5%</w:t>
                  </w:r>
                  <w:r>
                    <w:rPr>
                      <w:rFonts w:ascii="SimHei" w:eastAsia="SimHei" w:hint="eastAsia"/>
                    </w:rPr>
                    <w:t>以上劳动者的工资比</w:t>
                  </w:r>
                  <w:r>
                    <w:rPr>
                      <w:rFonts w:ascii="SimHei" w:eastAsia="SimHei" w:hint="eastAsia"/>
                    </w:rPr>
                    <w:t>2000</w:t>
                  </w:r>
                  <w:r>
                    <w:rPr>
                      <w:rFonts w:ascii="SimHei" w:eastAsia="SimHei" w:hint="eastAsia"/>
                    </w:rPr>
                    <w:t>年最低工资高出</w:t>
                  </w:r>
                  <w:r>
                    <w:rPr>
                      <w:rFonts w:ascii="SimHei" w:eastAsia="SimHei" w:hint="eastAsia"/>
                    </w:rPr>
                    <w:t>2-5</w:t>
                  </w:r>
                  <w:r>
                    <w:rPr>
                      <w:rFonts w:ascii="SimHei" w:eastAsia="SimHei" w:hint="eastAsia"/>
                    </w:rPr>
                    <w:t>倍，比</w:t>
                  </w:r>
                  <w:r>
                    <w:rPr>
                      <w:rFonts w:ascii="SimHei" w:eastAsia="SimHei" w:hint="eastAsia"/>
                    </w:rPr>
                    <w:t>1995</w:t>
                  </w:r>
                  <w:r>
                    <w:rPr>
                      <w:rFonts w:ascii="SimHei" w:eastAsia="SimHei" w:hint="eastAsia"/>
                    </w:rPr>
                    <w:t>年多</w:t>
                  </w:r>
                  <w:r>
                    <w:rPr>
                      <w:rFonts w:ascii="SimHei" w:eastAsia="SimHei" w:hint="eastAsia"/>
                    </w:rPr>
                    <w:t>12%</w:t>
                  </w:r>
                  <w:r>
                    <w:rPr>
                      <w:rFonts w:ascii="SimHei" w:eastAsia="SimHei" w:hint="eastAsia"/>
                    </w:rPr>
                    <w:t>。</w:t>
                  </w:r>
                </w:p>
                <w:p w:rsidR="00000000" w:rsidRDefault="00457650">
                  <w:pPr>
                    <w:rPr>
                      <w:rFonts w:hint="eastAsia"/>
                    </w:rPr>
                  </w:pPr>
                </w:p>
              </w:txbxContent>
            </v:textbox>
          </v:shape>
        </w:pict>
      </w:r>
    </w:p>
    <w:p w:rsidR="00000000" w:rsidRDefault="00457650">
      <w:pPr>
        <w:widowControl/>
        <w:tabs>
          <w:tab w:val="left" w:pos="630"/>
        </w:tabs>
        <w:spacing w:after="240" w:line="360" w:lineRule="exact"/>
        <w:rPr>
          <w:rFonts w:hint="eastAsia"/>
        </w:rPr>
      </w:pPr>
    </w:p>
    <w:p w:rsidR="00000000" w:rsidRDefault="00457650">
      <w:pPr>
        <w:widowControl/>
        <w:tabs>
          <w:tab w:val="left" w:pos="630"/>
        </w:tabs>
        <w:spacing w:after="240" w:line="360" w:lineRule="exact"/>
        <w:rPr>
          <w:rFonts w:hint="eastAsia"/>
        </w:rPr>
      </w:pPr>
    </w:p>
    <w:p w:rsidR="00000000" w:rsidRDefault="00457650">
      <w:pPr>
        <w:widowControl/>
        <w:tabs>
          <w:tab w:val="left" w:pos="630"/>
        </w:tabs>
        <w:spacing w:after="240" w:line="360" w:lineRule="exact"/>
        <w:rPr>
          <w:rFonts w:hint="eastAsia"/>
        </w:rPr>
      </w:pPr>
    </w:p>
    <w:p w:rsidR="00000000" w:rsidRDefault="00457650">
      <w:pPr>
        <w:widowControl/>
        <w:tabs>
          <w:tab w:val="left" w:pos="630"/>
        </w:tabs>
        <w:spacing w:after="240" w:line="360" w:lineRule="exact"/>
        <w:rPr>
          <w:rFonts w:hint="eastAsia"/>
        </w:rPr>
      </w:pPr>
    </w:p>
    <w:p w:rsidR="00000000" w:rsidRDefault="00457650">
      <w:pPr>
        <w:widowControl/>
        <w:tabs>
          <w:tab w:val="left" w:pos="630"/>
        </w:tabs>
        <w:spacing w:after="240" w:line="360" w:lineRule="exact"/>
        <w:rPr>
          <w:rFonts w:hint="eastAsia"/>
        </w:rPr>
      </w:pPr>
    </w:p>
    <w:p w:rsidR="00000000" w:rsidRDefault="00457650">
      <w:pPr>
        <w:widowControl/>
        <w:tabs>
          <w:tab w:val="left" w:pos="630"/>
        </w:tabs>
        <w:spacing w:after="240" w:line="360" w:lineRule="exact"/>
        <w:rPr>
          <w:rFonts w:hint="eastAsia"/>
        </w:rPr>
      </w:pPr>
    </w:p>
    <w:p w:rsidR="00000000" w:rsidRDefault="00457650">
      <w:pPr>
        <w:widowControl/>
        <w:tabs>
          <w:tab w:val="left" w:pos="630"/>
        </w:tabs>
        <w:spacing w:after="240" w:line="360" w:lineRule="exact"/>
        <w:rPr>
          <w:rFonts w:hint="eastAsia"/>
        </w:rPr>
      </w:pPr>
    </w:p>
    <w:p w:rsidR="00000000" w:rsidRDefault="00457650">
      <w:pPr>
        <w:widowControl/>
        <w:tabs>
          <w:tab w:val="left" w:pos="630"/>
        </w:tabs>
        <w:spacing w:before="240" w:after="240" w:line="360" w:lineRule="exact"/>
        <w:rPr>
          <w:sz w:val="18"/>
        </w:rPr>
      </w:pPr>
      <w:r>
        <w:rPr>
          <w:rFonts w:eastAsia="方正楷体_GBK" w:hint="eastAsia"/>
          <w:sz w:val="18"/>
        </w:rPr>
        <w:t>资料来源：</w:t>
      </w:r>
      <w:r>
        <w:rPr>
          <w:rFonts w:hint="eastAsia"/>
          <w:sz w:val="18"/>
        </w:rPr>
        <w:t>劳工和社会福利部。</w:t>
      </w:r>
    </w:p>
    <w:p w:rsidR="00000000" w:rsidRDefault="00457650">
      <w:pPr>
        <w:widowControl/>
        <w:tabs>
          <w:tab w:val="left" w:pos="630"/>
        </w:tabs>
        <w:spacing w:after="240" w:line="360" w:lineRule="exact"/>
      </w:pPr>
      <w:r>
        <w:rPr>
          <w:rFonts w:eastAsia="方正楷体_GBK"/>
          <w:noProof/>
          <w:sz w:val="20"/>
        </w:rPr>
        <w:pict>
          <v:shape id="_x0000_s1160" type="#_x0000_t202" style="position:absolute;left:0;text-align:left;margin-left:0;margin-top:21.05pt;width:491.85pt;height:271.6pt;z-index:10">
            <v:textbox style="mso-next-textbox:#_x0000_s1160">
              <w:txbxContent>
                <w:p w:rsidR="00000000" w:rsidRDefault="00457650">
                  <w:pPr>
                    <w:jc w:val="center"/>
                    <w:rPr>
                      <w:rFonts w:ascii="SimHei" w:eastAsia="SimHei"/>
                    </w:rPr>
                  </w:pPr>
                  <w:r>
                    <w:rPr>
                      <w:rFonts w:ascii="SimHei" w:eastAsia="SimHei" w:hint="eastAsia"/>
                    </w:rPr>
                    <w:t>本届政府执政前</w:t>
                  </w:r>
                  <w:r>
                    <w:rPr>
                      <w:rFonts w:ascii="SimHei" w:eastAsia="SimHei" w:hint="eastAsia"/>
                    </w:rPr>
                    <w:t>3</w:t>
                  </w:r>
                  <w:r>
                    <w:rPr>
                      <w:rFonts w:ascii="SimHei" w:eastAsia="SimHei" w:hint="eastAsia"/>
                    </w:rPr>
                    <w:t>年，在</w:t>
                  </w:r>
                  <w:r>
                    <w:rPr>
                      <w:rFonts w:ascii="SimHei" w:eastAsia="SimHei" w:hint="eastAsia"/>
                    </w:rPr>
                    <w:t>25</w:t>
                  </w:r>
                  <w:r>
                    <w:rPr>
                      <w:rFonts w:ascii="SimHei" w:eastAsia="SimHei" w:hint="eastAsia"/>
                    </w:rPr>
                    <w:t>个州创造了</w:t>
                  </w:r>
                  <w:r>
                    <w:rPr>
                      <w:rFonts w:ascii="SimHei" w:eastAsia="SimHei" w:hint="eastAsia"/>
                    </w:rPr>
                    <w:t>169.6</w:t>
                  </w:r>
                  <w:r>
                    <w:rPr>
                      <w:rFonts w:ascii="SimHei" w:eastAsia="SimHei" w:hint="eastAsia"/>
                    </w:rPr>
                    <w:t>万个工作机会</w:t>
                  </w:r>
                </w:p>
                <w:p w:rsidR="00000000" w:rsidRDefault="00457650">
                  <w:pPr>
                    <w:jc w:val="center"/>
                    <w:rPr>
                      <w:rFonts w:ascii="SimHei" w:eastAsia="SimHei"/>
                    </w:rPr>
                  </w:pPr>
                </w:p>
                <w:p w:rsidR="00000000" w:rsidRDefault="00457650">
                  <w:r>
                    <w:pict>
                      <v:shape id="_x0000_i1031" type="#_x0000_t75" style="width:381.75pt;height:231pt">
                        <v:imagedata r:id="rId18" o:title=""/>
                      </v:shape>
                    </w:pict>
                  </w:r>
                </w:p>
                <w:p w:rsidR="00000000" w:rsidRDefault="00457650"/>
              </w:txbxContent>
            </v:textbox>
          </v:shape>
        </w:pict>
      </w: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r>
        <w:rPr>
          <w:noProof/>
          <w:sz w:val="20"/>
        </w:rPr>
        <w:pict>
          <v:shape id="_x0000_s1162" type="#_x0000_t202" style="position:absolute;left:0;text-align:left;margin-left:42pt;margin-top:27.95pt;width:102pt;height:52pt;z-index:11" filled="f" stroked="f">
            <v:textbox>
              <w:txbxContent>
                <w:p w:rsidR="00000000" w:rsidRDefault="00457650">
                  <w:pPr>
                    <w:tabs>
                      <w:tab w:val="left" w:pos="630"/>
                    </w:tabs>
                    <w:spacing w:line="360" w:lineRule="exact"/>
                    <w:rPr>
                      <w:rFonts w:hint="eastAsia"/>
                      <w:sz w:val="18"/>
                    </w:rPr>
                  </w:pPr>
                  <w:r>
                    <w:rPr>
                      <w:rFonts w:hint="eastAsia"/>
                      <w:sz w:val="18"/>
                    </w:rPr>
                    <w:t>缺少工作机会</w:t>
                  </w:r>
                </w:p>
                <w:p w:rsidR="00000000" w:rsidRDefault="00457650">
                  <w:pPr>
                    <w:spacing w:line="360" w:lineRule="exact"/>
                  </w:pPr>
                  <w:r>
                    <w:rPr>
                      <w:rFonts w:hint="eastAsia"/>
                      <w:sz w:val="18"/>
                    </w:rPr>
                    <w:t>已创造的工作机会</w:t>
                  </w:r>
                </w:p>
              </w:txbxContent>
            </v:textbox>
          </v:shape>
        </w:pict>
      </w: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rPr>
          <w:rFonts w:eastAsia="方正楷体_GBK"/>
          <w:sz w:val="18"/>
        </w:rPr>
      </w:pPr>
    </w:p>
    <w:p w:rsidR="00000000" w:rsidRDefault="00457650">
      <w:pPr>
        <w:widowControl/>
        <w:tabs>
          <w:tab w:val="left" w:pos="630"/>
        </w:tabs>
        <w:spacing w:after="240" w:line="360" w:lineRule="exact"/>
        <w:rPr>
          <w:rFonts w:eastAsia="方正楷体_GBK"/>
          <w:sz w:val="18"/>
        </w:rPr>
      </w:pPr>
    </w:p>
    <w:p w:rsidR="00000000" w:rsidRDefault="00457650">
      <w:pPr>
        <w:widowControl/>
        <w:tabs>
          <w:tab w:val="left" w:pos="630"/>
        </w:tabs>
        <w:spacing w:after="240" w:line="360" w:lineRule="exact"/>
        <w:rPr>
          <w:rFonts w:eastAsia="方正楷体_GBK"/>
          <w:sz w:val="18"/>
        </w:rPr>
      </w:pPr>
    </w:p>
    <w:p w:rsidR="00000000" w:rsidRDefault="00457650">
      <w:pPr>
        <w:widowControl/>
        <w:tabs>
          <w:tab w:val="left" w:pos="630"/>
        </w:tabs>
        <w:spacing w:after="240" w:line="360" w:lineRule="exact"/>
        <w:rPr>
          <w:rFonts w:hint="eastAsia"/>
          <w:sz w:val="18"/>
        </w:rPr>
      </w:pPr>
      <w:r>
        <w:rPr>
          <w:rFonts w:eastAsia="方正楷体_GBK" w:hint="eastAsia"/>
          <w:sz w:val="18"/>
        </w:rPr>
        <w:t>资料来源：</w:t>
      </w:r>
      <w:r>
        <w:rPr>
          <w:rFonts w:hint="eastAsia"/>
          <w:sz w:val="18"/>
        </w:rPr>
        <w:t>劳工和社会福利部。</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9</w:t>
      </w:r>
      <w:r>
        <w:rPr>
          <w:rFonts w:ascii="SimHei" w:eastAsia="SimHei" w:hint="eastAsia"/>
        </w:rPr>
        <w:t>段（</w:t>
      </w:r>
      <w:r>
        <w:rPr>
          <w:rFonts w:ascii="SimHei" w:eastAsia="SimHei" w:hint="eastAsia"/>
        </w:rPr>
        <w:t>b</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61.</w:t>
      </w:r>
      <w:r>
        <w:rPr>
          <w:rFonts w:hint="eastAsia"/>
        </w:rPr>
        <w:tab/>
      </w:r>
      <w:r>
        <w:rPr>
          <w:rFonts w:hint="eastAsia"/>
        </w:rPr>
        <w:t>政府的劳工政策规定为五点战略：</w:t>
      </w:r>
    </w:p>
    <w:p w:rsidR="00000000" w:rsidRDefault="00457650" w:rsidP="00457650">
      <w:pPr>
        <w:widowControl/>
        <w:tabs>
          <w:tab w:val="left" w:pos="1200"/>
        </w:tabs>
        <w:spacing w:after="240" w:line="360" w:lineRule="exact"/>
        <w:ind w:leftChars="249" w:left="31680" w:hangingChars="322" w:firstLine="31680"/>
        <w:rPr>
          <w:rFonts w:hint="eastAsia"/>
        </w:rPr>
      </w:pPr>
      <w:r>
        <w:rPr>
          <w:rFonts w:hint="eastAsia"/>
        </w:rPr>
        <w:t>（</w:t>
      </w:r>
      <w:r>
        <w:rPr>
          <w:rFonts w:hint="eastAsia"/>
        </w:rPr>
        <w:t>1</w:t>
      </w:r>
      <w:r>
        <w:rPr>
          <w:rFonts w:hint="eastAsia"/>
        </w:rPr>
        <w:t>）</w:t>
      </w:r>
      <w:r>
        <w:rPr>
          <w:rFonts w:hint="eastAsia"/>
        </w:rPr>
        <w:tab/>
      </w:r>
      <w:r>
        <w:rPr>
          <w:rFonts w:hint="eastAsia"/>
        </w:rPr>
        <w:t>采取包容的做法，因为在工作层面要实现变革，就必须让所有工会、所有雇员组织和所有个人参与发展进程；</w:t>
      </w:r>
    </w:p>
    <w:p w:rsidR="00000000" w:rsidRDefault="00457650" w:rsidP="00457650">
      <w:pPr>
        <w:widowControl/>
        <w:tabs>
          <w:tab w:val="left" w:pos="1200"/>
        </w:tabs>
        <w:spacing w:after="240" w:line="360" w:lineRule="exact"/>
        <w:ind w:leftChars="249" w:left="31680" w:hangingChars="322" w:firstLine="31680"/>
        <w:rPr>
          <w:rFonts w:hint="eastAsia"/>
        </w:rPr>
      </w:pPr>
      <w:r>
        <w:rPr>
          <w:rFonts w:hint="eastAsia"/>
        </w:rPr>
        <w:t>（</w:t>
      </w:r>
      <w:r>
        <w:rPr>
          <w:rFonts w:hint="eastAsia"/>
        </w:rPr>
        <w:t>2</w:t>
      </w:r>
      <w:r>
        <w:rPr>
          <w:rFonts w:hint="eastAsia"/>
        </w:rPr>
        <w:t>）</w:t>
      </w:r>
      <w:r>
        <w:rPr>
          <w:rFonts w:hint="eastAsia"/>
        </w:rPr>
        <w:tab/>
      </w:r>
      <w:r>
        <w:rPr>
          <w:rFonts w:hint="eastAsia"/>
        </w:rPr>
        <w:t>循序渐进地推行必要的变革；</w:t>
      </w:r>
    </w:p>
    <w:p w:rsidR="00000000" w:rsidRDefault="00457650" w:rsidP="00457650">
      <w:pPr>
        <w:widowControl/>
        <w:tabs>
          <w:tab w:val="left" w:pos="1200"/>
        </w:tabs>
        <w:spacing w:after="240" w:line="360" w:lineRule="exact"/>
        <w:ind w:leftChars="249" w:left="31680" w:hangingChars="322" w:firstLine="31680"/>
        <w:rPr>
          <w:rFonts w:hint="eastAsia"/>
        </w:rPr>
      </w:pPr>
      <w:r>
        <w:rPr>
          <w:rFonts w:hint="eastAsia"/>
        </w:rPr>
        <w:t>（</w:t>
      </w:r>
      <w:r>
        <w:rPr>
          <w:rFonts w:hint="eastAsia"/>
        </w:rPr>
        <w:t>3</w:t>
      </w:r>
      <w:r>
        <w:rPr>
          <w:rFonts w:hint="eastAsia"/>
        </w:rPr>
        <w:t>）</w:t>
      </w:r>
      <w:r>
        <w:rPr>
          <w:rFonts w:hint="eastAsia"/>
        </w:rPr>
        <w:tab/>
      </w:r>
      <w:r>
        <w:rPr>
          <w:rFonts w:hint="eastAsia"/>
        </w:rPr>
        <w:t>将对话作为变革和决策的一种手段；</w:t>
      </w:r>
    </w:p>
    <w:p w:rsidR="00000000" w:rsidRDefault="00457650" w:rsidP="00457650">
      <w:pPr>
        <w:widowControl/>
        <w:tabs>
          <w:tab w:val="left" w:pos="1200"/>
        </w:tabs>
        <w:spacing w:after="240" w:line="360" w:lineRule="exact"/>
        <w:ind w:leftChars="249" w:left="31680" w:hangingChars="322" w:firstLine="31680"/>
        <w:rPr>
          <w:rFonts w:hint="eastAsia"/>
        </w:rPr>
      </w:pPr>
      <w:r>
        <w:rPr>
          <w:rFonts w:hint="eastAsia"/>
        </w:rPr>
        <w:t>（</w:t>
      </w:r>
      <w:r>
        <w:rPr>
          <w:rFonts w:hint="eastAsia"/>
        </w:rPr>
        <w:t>4</w:t>
      </w:r>
      <w:r>
        <w:rPr>
          <w:rFonts w:hint="eastAsia"/>
        </w:rPr>
        <w:t>）</w:t>
      </w:r>
      <w:r>
        <w:rPr>
          <w:rFonts w:hint="eastAsia"/>
        </w:rPr>
        <w:tab/>
      </w:r>
      <w:r>
        <w:rPr>
          <w:rFonts w:hint="eastAsia"/>
        </w:rPr>
        <w:t>推行法制，为投资者和劳动者提供法律保障；</w:t>
      </w:r>
    </w:p>
    <w:p w:rsidR="00000000" w:rsidRDefault="00457650" w:rsidP="00457650">
      <w:pPr>
        <w:widowControl/>
        <w:tabs>
          <w:tab w:val="left" w:pos="1200"/>
        </w:tabs>
        <w:spacing w:after="240" w:line="360" w:lineRule="exact"/>
        <w:ind w:leftChars="249" w:left="31680" w:hangingChars="322" w:firstLine="31680"/>
        <w:rPr>
          <w:rFonts w:hint="eastAsia"/>
        </w:rPr>
      </w:pPr>
      <w:r>
        <w:rPr>
          <w:rFonts w:hint="eastAsia"/>
        </w:rPr>
        <w:t>（</w:t>
      </w:r>
      <w:r>
        <w:rPr>
          <w:rFonts w:hint="eastAsia"/>
        </w:rPr>
        <w:t>5</w:t>
      </w:r>
      <w:r>
        <w:rPr>
          <w:rFonts w:hint="eastAsia"/>
        </w:rPr>
        <w:t>）</w:t>
      </w:r>
      <w:r>
        <w:rPr>
          <w:rFonts w:hint="eastAsia"/>
        </w:rPr>
        <w:tab/>
      </w:r>
      <w:r>
        <w:rPr>
          <w:rFonts w:hint="eastAsia"/>
        </w:rPr>
        <w:t>协调劳资关系，为投资和发展营造适宜的环境。</w:t>
      </w:r>
    </w:p>
    <w:p w:rsidR="00000000" w:rsidRDefault="00457650">
      <w:pPr>
        <w:widowControl/>
        <w:tabs>
          <w:tab w:val="left" w:pos="630"/>
        </w:tabs>
        <w:spacing w:after="240" w:line="360" w:lineRule="exact"/>
        <w:rPr>
          <w:rFonts w:hint="eastAsia"/>
        </w:rPr>
      </w:pPr>
      <w:r>
        <w:rPr>
          <w:rFonts w:hint="eastAsia"/>
        </w:rPr>
        <w:t>62.</w:t>
      </w:r>
      <w:r>
        <w:rPr>
          <w:rFonts w:hint="eastAsia"/>
        </w:rPr>
        <w:tab/>
      </w:r>
      <w:r>
        <w:rPr>
          <w:rFonts w:hint="eastAsia"/>
        </w:rPr>
        <w:t>根据这五点战略，在参与变革</w:t>
      </w:r>
      <w:r>
        <w:rPr>
          <w:rFonts w:hint="eastAsia"/>
        </w:rPr>
        <w:t>进程的所有角色——也就是这个国家的劳动者和雇佣者——中提倡一种“新型劳动文化”，以便为就业、培训、生产、竞争和提高劳动者的生活水平创造良好的条件。</w:t>
      </w:r>
    </w:p>
    <w:p w:rsidR="00000000" w:rsidRDefault="00457650">
      <w:pPr>
        <w:widowControl/>
        <w:tabs>
          <w:tab w:val="left" w:pos="630"/>
        </w:tabs>
        <w:spacing w:after="240" w:line="360" w:lineRule="exact"/>
        <w:rPr>
          <w:rFonts w:hint="eastAsia"/>
        </w:rPr>
      </w:pPr>
      <w:r>
        <w:rPr>
          <w:rFonts w:hint="eastAsia"/>
        </w:rPr>
        <w:t xml:space="preserve">63. </w:t>
      </w:r>
      <w:r>
        <w:rPr>
          <w:rFonts w:hint="eastAsia"/>
        </w:rPr>
        <w:tab/>
      </w:r>
      <w:r>
        <w:rPr>
          <w:rFonts w:hint="eastAsia"/>
        </w:rPr>
        <w:t>劳工和社会福利部通过国家就业、培训和技能发展机构，在信息、联系、协调和培训领域提供了一些工具，为确保诸如妇女、青年、弱势群体、土著社区等特殊群体的就业和生产活动提供了具体的支助、并促进实现所有人机会平等。</w:t>
      </w:r>
    </w:p>
    <w:p w:rsidR="00000000" w:rsidRDefault="00457650">
      <w:pPr>
        <w:widowControl/>
        <w:tabs>
          <w:tab w:val="left" w:pos="630"/>
        </w:tabs>
        <w:spacing w:after="240" w:line="360" w:lineRule="exact"/>
        <w:rPr>
          <w:rFonts w:hint="eastAsia"/>
        </w:rPr>
      </w:pPr>
      <w:r>
        <w:rPr>
          <w:rFonts w:hint="eastAsia"/>
        </w:rPr>
        <w:t>64.</w:t>
      </w:r>
      <w:r>
        <w:rPr>
          <w:rFonts w:hint="eastAsia"/>
        </w:rPr>
        <w:tab/>
      </w:r>
      <w:r>
        <w:rPr>
          <w:rFonts w:hint="eastAsia"/>
        </w:rPr>
        <w:t>国家就业、培训和技能发展机构采取一种协调的方式与各州政府和联邦特区合作，以便通过国家就业机构，使全体人民都能够获得作为就业支助方案一部分的各</w:t>
      </w:r>
      <w:r>
        <w:rPr>
          <w:rFonts w:hint="eastAsia"/>
        </w:rPr>
        <w:t>种服务，并落实积极的劳动市场政策支助措施。就业支助方案的目标，是通过提供职业指导、技术支持、提供信息，以及在一些情况下提供培训、财政和物质支持，来增强失业者和未充分就业群体的受雇能力。</w:t>
      </w:r>
    </w:p>
    <w:p w:rsidR="00000000" w:rsidRDefault="00457650">
      <w:pPr>
        <w:widowControl/>
        <w:tabs>
          <w:tab w:val="left" w:pos="630"/>
        </w:tabs>
        <w:spacing w:after="240" w:line="360" w:lineRule="exact"/>
        <w:rPr>
          <w:rFonts w:hint="eastAsia"/>
        </w:rPr>
      </w:pPr>
      <w:r>
        <w:rPr>
          <w:rFonts w:hint="eastAsia"/>
        </w:rPr>
        <w:t>65.</w:t>
      </w:r>
      <w:r>
        <w:rPr>
          <w:rFonts w:hint="eastAsia"/>
        </w:rPr>
        <w:tab/>
      </w:r>
      <w:r>
        <w:rPr>
          <w:rFonts w:hint="eastAsia"/>
        </w:rPr>
        <w:t>国家培训和就业委员会作为国家就业机构的咨询机构，为策划和执行各项措施提供支持。</w:t>
      </w:r>
    </w:p>
    <w:p w:rsidR="00000000" w:rsidRDefault="00457650">
      <w:pPr>
        <w:widowControl/>
        <w:tabs>
          <w:tab w:val="left" w:pos="630"/>
        </w:tabs>
        <w:spacing w:after="240" w:line="360" w:lineRule="exact"/>
        <w:rPr>
          <w:rFonts w:hint="eastAsia"/>
        </w:rPr>
      </w:pPr>
      <w:r>
        <w:rPr>
          <w:rFonts w:hint="eastAsia"/>
        </w:rPr>
        <w:t>66.</w:t>
      </w:r>
      <w:r>
        <w:rPr>
          <w:rFonts w:hint="eastAsia"/>
        </w:rPr>
        <w:tab/>
      </w:r>
      <w:r>
        <w:rPr>
          <w:rFonts w:hint="eastAsia"/>
        </w:rPr>
        <w:t>国家培训和就业委员会能够帮助提高就业支助方案针对企业部门和就业者规定的支助措施的质量标准和相关性。它们也允许通过在每个地区以及时更新并分析劳动力市场信息的形式，为国家就业机构的次级方案提供反馈。教育和培训机构通过参与国家培训和就业</w:t>
      </w:r>
      <w:r>
        <w:rPr>
          <w:rFonts w:hint="eastAsia"/>
        </w:rPr>
        <w:t>委员会的活动受益匪浅，他们从生产层面了解到了就业情况，并对其培训大纲做了相应的调整，从而使毕业生在劳动力市场的受雇率进一步上升。</w:t>
      </w:r>
    </w:p>
    <w:p w:rsidR="00000000" w:rsidRDefault="00457650">
      <w:pPr>
        <w:widowControl/>
        <w:tabs>
          <w:tab w:val="left" w:pos="630"/>
        </w:tabs>
        <w:spacing w:after="240" w:line="360" w:lineRule="exact"/>
        <w:rPr>
          <w:rFonts w:hint="eastAsia"/>
        </w:rPr>
      </w:pPr>
      <w:r>
        <w:rPr>
          <w:rFonts w:hint="eastAsia"/>
        </w:rPr>
        <w:t>67.</w:t>
      </w:r>
      <w:r>
        <w:rPr>
          <w:rFonts w:hint="eastAsia"/>
        </w:rPr>
        <w:tab/>
      </w:r>
      <w:r>
        <w:rPr>
          <w:rFonts w:hint="eastAsia"/>
        </w:rPr>
        <w:t>此外，利用电子系统提供信息，并以一种简单且对用户有利的方式将各方联系到一起，给予应聘人员足够的选择余地，使其能找到适合自己需要的工作，通过这种信息配置减少安置找工作人员以及企业招工所需的时间和成本，将招工方和应聘方有效地联系到一起。</w:t>
      </w:r>
    </w:p>
    <w:p w:rsidR="00000000" w:rsidRDefault="00457650">
      <w:pPr>
        <w:widowControl/>
        <w:tabs>
          <w:tab w:val="left" w:pos="630"/>
        </w:tabs>
        <w:spacing w:after="240" w:line="360" w:lineRule="exact"/>
        <w:rPr>
          <w:rFonts w:hint="eastAsia"/>
        </w:rPr>
      </w:pPr>
      <w:r>
        <w:rPr>
          <w:rFonts w:hint="eastAsia"/>
        </w:rPr>
        <w:t xml:space="preserve">68. </w:t>
      </w:r>
      <w:r>
        <w:rPr>
          <w:rFonts w:hint="eastAsia"/>
        </w:rPr>
        <w:tab/>
      </w:r>
      <w:r>
        <w:rPr>
          <w:rFonts w:hint="eastAsia"/>
        </w:rPr>
        <w:t>培训支助方案是劳工和社会福利部的另一项工作内容，其目的是与州政府、企业、就业者和劳动力市场其他部门合作，在发展技能和不断提高培训水</w:t>
      </w:r>
      <w:r>
        <w:rPr>
          <w:rFonts w:hint="eastAsia"/>
        </w:rPr>
        <w:t>平方面采取措施，促进微型、小型或中型企业就业者的发展，同时着眼于提高他们的生活质量和生产力水平，由此增强他们所在企业的竞争力。</w:t>
      </w:r>
    </w:p>
    <w:p w:rsidR="00000000" w:rsidRDefault="00457650">
      <w:pPr>
        <w:widowControl/>
        <w:tabs>
          <w:tab w:val="left" w:pos="630"/>
        </w:tabs>
        <w:spacing w:after="240" w:line="360" w:lineRule="exact"/>
        <w:rPr>
          <w:rFonts w:hint="eastAsia"/>
        </w:rPr>
      </w:pPr>
      <w:r>
        <w:rPr>
          <w:rFonts w:hint="eastAsia"/>
        </w:rPr>
        <w:t xml:space="preserve">69. </w:t>
      </w:r>
      <w:r>
        <w:rPr>
          <w:rFonts w:hint="eastAsia"/>
        </w:rPr>
        <w:tab/>
      </w:r>
      <w:r>
        <w:rPr>
          <w:rFonts w:hint="eastAsia"/>
        </w:rPr>
        <w:t>通过与公共教育部的合作，职业技能标准化和检验系统正促进在企业部门的参与，对不同活动领域的工作技能进行界定、确认、评估和检验。该系统取得了如下成效：</w:t>
      </w:r>
    </w:p>
    <w:p w:rsidR="00000000" w:rsidRDefault="00457650" w:rsidP="00457650">
      <w:pPr>
        <w:widowControl/>
        <w:numPr>
          <w:ilvl w:val="0"/>
          <w:numId w:val="1896"/>
        </w:numPr>
        <w:tabs>
          <w:tab w:val="clear" w:pos="900"/>
          <w:tab w:val="left" w:pos="1050"/>
        </w:tabs>
        <w:spacing w:after="180" w:line="360" w:lineRule="exact"/>
        <w:ind w:leftChars="300" w:left="31680" w:hangingChars="200" w:firstLine="31680"/>
        <w:rPr>
          <w:rFonts w:hint="eastAsia"/>
        </w:rPr>
      </w:pPr>
      <w:r>
        <w:rPr>
          <w:rFonts w:hint="eastAsia"/>
        </w:rPr>
        <w:t>内部和外部劳动力市场的透明度提高，招聘和调动程序更加快捷；</w:t>
      </w:r>
    </w:p>
    <w:p w:rsidR="00000000" w:rsidRDefault="00457650" w:rsidP="00457650">
      <w:pPr>
        <w:widowControl/>
        <w:numPr>
          <w:ilvl w:val="0"/>
          <w:numId w:val="1896"/>
        </w:numPr>
        <w:tabs>
          <w:tab w:val="clear" w:pos="900"/>
          <w:tab w:val="left" w:pos="1050"/>
        </w:tabs>
        <w:spacing w:after="180" w:line="360" w:lineRule="exact"/>
        <w:ind w:leftChars="300" w:left="31680" w:hangingChars="200" w:firstLine="31680"/>
        <w:rPr>
          <w:rFonts w:hint="eastAsia"/>
        </w:rPr>
      </w:pPr>
      <w:r>
        <w:rPr>
          <w:rFonts w:hint="eastAsia"/>
        </w:rPr>
        <w:t>认可知识和技能并发展多种技能；</w:t>
      </w:r>
    </w:p>
    <w:p w:rsidR="00000000" w:rsidRDefault="00457650" w:rsidP="00457650">
      <w:pPr>
        <w:widowControl/>
        <w:numPr>
          <w:ilvl w:val="0"/>
          <w:numId w:val="1896"/>
        </w:numPr>
        <w:tabs>
          <w:tab w:val="clear" w:pos="900"/>
          <w:tab w:val="left" w:pos="1050"/>
        </w:tabs>
        <w:spacing w:after="180" w:line="360" w:lineRule="exact"/>
        <w:ind w:leftChars="300" w:left="31680" w:hangingChars="200" w:firstLine="31680"/>
        <w:rPr>
          <w:rFonts w:hint="eastAsia"/>
        </w:rPr>
      </w:pPr>
      <w:r>
        <w:rPr>
          <w:rFonts w:hint="eastAsia"/>
        </w:rPr>
        <w:t>促进了技能发展和提倡终身的持续培训；</w:t>
      </w:r>
    </w:p>
    <w:p w:rsidR="00000000" w:rsidRDefault="00457650" w:rsidP="00457650">
      <w:pPr>
        <w:widowControl/>
        <w:numPr>
          <w:ilvl w:val="0"/>
          <w:numId w:val="1896"/>
        </w:numPr>
        <w:tabs>
          <w:tab w:val="clear" w:pos="900"/>
          <w:tab w:val="left" w:pos="1050"/>
        </w:tabs>
        <w:spacing w:after="180" w:line="360" w:lineRule="exact"/>
        <w:ind w:leftChars="300" w:left="31680" w:hangingChars="200" w:firstLine="31680"/>
        <w:rPr>
          <w:rFonts w:hint="eastAsia"/>
        </w:rPr>
      </w:pPr>
      <w:r>
        <w:rPr>
          <w:rFonts w:hint="eastAsia"/>
        </w:rPr>
        <w:t>增强了劳动力市场的流动性和透明度，并能及时提供信息；</w:t>
      </w:r>
    </w:p>
    <w:p w:rsidR="00000000" w:rsidRDefault="00457650" w:rsidP="00457650">
      <w:pPr>
        <w:widowControl/>
        <w:numPr>
          <w:ilvl w:val="0"/>
          <w:numId w:val="1896"/>
        </w:numPr>
        <w:tabs>
          <w:tab w:val="clear" w:pos="900"/>
          <w:tab w:val="left" w:pos="1050"/>
        </w:tabs>
        <w:spacing w:after="180" w:line="360" w:lineRule="exact"/>
        <w:ind w:leftChars="300" w:left="31680" w:hangingChars="200" w:firstLine="31680"/>
        <w:rPr>
          <w:rFonts w:hint="eastAsia"/>
        </w:rPr>
      </w:pPr>
      <w:r>
        <w:rPr>
          <w:rFonts w:hint="eastAsia"/>
        </w:rPr>
        <w:t>为发展技能和人力资源管理提供指导；</w:t>
      </w:r>
    </w:p>
    <w:p w:rsidR="00000000" w:rsidRDefault="00457650" w:rsidP="00457650">
      <w:pPr>
        <w:widowControl/>
        <w:numPr>
          <w:ilvl w:val="0"/>
          <w:numId w:val="1896"/>
        </w:numPr>
        <w:tabs>
          <w:tab w:val="clear" w:pos="900"/>
          <w:tab w:val="left" w:pos="1050"/>
        </w:tabs>
        <w:spacing w:after="240" w:line="360" w:lineRule="exact"/>
        <w:ind w:leftChars="300" w:left="31680" w:hangingChars="200" w:firstLine="31680"/>
        <w:rPr>
          <w:rFonts w:hint="eastAsia"/>
        </w:rPr>
      </w:pPr>
      <w:r>
        <w:rPr>
          <w:rFonts w:hint="eastAsia"/>
        </w:rPr>
        <w:t>提高了</w:t>
      </w:r>
      <w:r>
        <w:rPr>
          <w:rFonts w:hint="eastAsia"/>
        </w:rPr>
        <w:t>企业竞争力。</w:t>
      </w:r>
    </w:p>
    <w:p w:rsidR="00000000" w:rsidRDefault="00457650">
      <w:pPr>
        <w:widowControl/>
        <w:tabs>
          <w:tab w:val="left" w:pos="630"/>
        </w:tabs>
        <w:spacing w:after="240" w:line="360" w:lineRule="exact"/>
        <w:rPr>
          <w:rFonts w:hint="eastAsia"/>
        </w:rPr>
      </w:pPr>
      <w:r>
        <w:rPr>
          <w:rFonts w:hint="eastAsia"/>
        </w:rPr>
        <w:t>70.</w:t>
      </w:r>
      <w:r>
        <w:rPr>
          <w:rFonts w:hint="eastAsia"/>
        </w:rPr>
        <w:tab/>
      </w:r>
      <w:r>
        <w:rPr>
          <w:rFonts w:hint="eastAsia"/>
        </w:rPr>
        <w:t>上述举措和其他工具反映出对工作的新看法和对生产力、质量和竞争力的新概念。</w:t>
      </w:r>
    </w:p>
    <w:p w:rsidR="00000000" w:rsidRDefault="00457650">
      <w:pPr>
        <w:widowControl/>
        <w:tabs>
          <w:tab w:val="left" w:pos="630"/>
        </w:tabs>
        <w:spacing w:after="240" w:line="360" w:lineRule="exact"/>
        <w:rPr>
          <w:rFonts w:hint="eastAsia"/>
        </w:rPr>
      </w:pPr>
      <w:r>
        <w:rPr>
          <w:rFonts w:hint="eastAsia"/>
        </w:rPr>
        <w:t>71.</w:t>
      </w:r>
      <w:r>
        <w:rPr>
          <w:rFonts w:hint="eastAsia"/>
        </w:rPr>
        <w:tab/>
      </w:r>
      <w:r>
        <w:rPr>
          <w:rFonts w:hint="eastAsia"/>
        </w:rPr>
        <w:t>劳工和社会福利部的目标是让所有人（特别是年轻人、老年人、残疾人、艾滋病毒</w:t>
      </w:r>
      <w:r>
        <w:rPr>
          <w:rFonts w:hint="eastAsia"/>
        </w:rPr>
        <w:t>/</w:t>
      </w:r>
      <w:r>
        <w:rPr>
          <w:rFonts w:hint="eastAsia"/>
        </w:rPr>
        <w:t>艾滋病患者、临时工、土著群体成员、被剥夺了自由的人以及其他群体）都能得到平等的就业和在业机会，同时制定并执行包括社会性别观点在内的积极措施，打击使用童工现象。</w:t>
      </w:r>
    </w:p>
    <w:p w:rsidR="00000000" w:rsidRDefault="00457650">
      <w:pPr>
        <w:widowControl/>
        <w:tabs>
          <w:tab w:val="left" w:pos="630"/>
        </w:tabs>
        <w:spacing w:after="240" w:line="360" w:lineRule="exact"/>
        <w:rPr>
          <w:rFonts w:hint="eastAsia"/>
        </w:rPr>
      </w:pPr>
      <w:r>
        <w:rPr>
          <w:rFonts w:hint="eastAsia"/>
        </w:rPr>
        <w:t xml:space="preserve">72. </w:t>
      </w:r>
      <w:r>
        <w:rPr>
          <w:rFonts w:hint="eastAsia"/>
        </w:rPr>
        <w:tab/>
      </w:r>
      <w:r>
        <w:rPr>
          <w:rFonts w:hint="eastAsia"/>
        </w:rPr>
        <w:t>为残疾人和老年人提供就业机会，这是</w:t>
      </w:r>
      <w:r>
        <w:rPr>
          <w:rFonts w:hint="eastAsia"/>
        </w:rPr>
        <w:t>Chamba Par</w:t>
      </w:r>
      <w:r>
        <w:rPr>
          <w:rFonts w:hint="eastAsia"/>
        </w:rPr>
        <w:t>计划的一项内容，其中包括为这些弱势群体设立一个职业介绍所，帮助寻找工作的残疾人和老年人与那些可以为这类就业者提</w:t>
      </w:r>
      <w:r>
        <w:rPr>
          <w:rFonts w:hint="eastAsia"/>
        </w:rPr>
        <w:t>供工作的企业达成雇用合同。众多申请者主要包括已经在工业领域就业培训中心和国家职业技术教育学院接受过完整培训的残疾人，以及向国家家庭综合发展系统所属机构申请工作的人。</w:t>
      </w:r>
    </w:p>
    <w:p w:rsidR="00000000" w:rsidRDefault="00457650">
      <w:pPr>
        <w:widowControl/>
        <w:tabs>
          <w:tab w:val="left" w:pos="630"/>
        </w:tabs>
        <w:spacing w:after="240" w:line="360" w:lineRule="exact"/>
        <w:rPr>
          <w:rFonts w:hint="eastAsia"/>
        </w:rPr>
      </w:pPr>
      <w:r>
        <w:rPr>
          <w:rFonts w:hint="eastAsia"/>
        </w:rPr>
        <w:t>73.</w:t>
      </w:r>
      <w:r>
        <w:rPr>
          <w:rFonts w:hint="eastAsia"/>
        </w:rPr>
        <w:tab/>
      </w:r>
      <w:r>
        <w:rPr>
          <w:rFonts w:hint="eastAsia"/>
        </w:rPr>
        <w:t>残疾人和老年人评估中心同样也采取一些办法对残疾人和老年人的技能、能力、资质、态度和对就业培训的需求进行评估，据此了解招工情况，以便将他们纳入培训和就业措施的范围。</w:t>
      </w:r>
    </w:p>
    <w:p w:rsidR="00000000" w:rsidRDefault="00457650">
      <w:pPr>
        <w:widowControl/>
        <w:tabs>
          <w:tab w:val="left" w:pos="630"/>
        </w:tabs>
        <w:spacing w:after="240" w:line="360" w:lineRule="exact"/>
      </w:pPr>
      <w:r>
        <w:rPr>
          <w:rFonts w:hint="eastAsia"/>
        </w:rPr>
        <w:t>74.</w:t>
      </w:r>
      <w:r>
        <w:rPr>
          <w:rFonts w:hint="eastAsia"/>
        </w:rPr>
        <w:tab/>
      </w:r>
      <w:r>
        <w:rPr>
          <w:rFonts w:hint="eastAsia"/>
        </w:rPr>
        <w:t>在恰帕斯、墨西哥、</w:t>
      </w:r>
      <w:r>
        <w:t>瓜纳华托</w:t>
      </w:r>
      <w:r>
        <w:rPr>
          <w:rFonts w:hint="eastAsia"/>
        </w:rPr>
        <w:t>、哈利斯科、克雷塔罗、圣路易斯波托亚、阿瓜斯卡连特斯、特拉斯卡拉、锡那罗亚、索诺拉、伊达尔戈各州和联邦区建立了残疾人和老年人就业专用联系网，</w:t>
      </w:r>
      <w:r>
        <w:rPr>
          <w:rFonts w:hint="eastAsia"/>
        </w:rPr>
        <w:t>以便在公共机构、私人机构和社会机构之间形成一个网络，在全国范围内将求职者和招聘方联系起来。</w:t>
      </w:r>
    </w:p>
    <w:p w:rsidR="00000000" w:rsidRDefault="00457650">
      <w:pPr>
        <w:widowControl/>
        <w:tabs>
          <w:tab w:val="left" w:pos="630"/>
        </w:tabs>
        <w:spacing w:after="240" w:line="360" w:lineRule="exact"/>
        <w:rPr>
          <w:rFonts w:hint="eastAsia"/>
        </w:rPr>
      </w:pPr>
      <w:r>
        <w:rPr>
          <w:rFonts w:hint="eastAsia"/>
        </w:rPr>
        <w:t>75.</w:t>
      </w:r>
      <w:r>
        <w:rPr>
          <w:rFonts w:hint="eastAsia"/>
        </w:rPr>
        <w:tab/>
      </w:r>
      <w:r>
        <w:rPr>
          <w:rFonts w:hint="eastAsia"/>
        </w:rPr>
        <w:t>劳工和社会福利部的个别培训和就业方案主要针对人力资源开发，这方面的信息在报告后面有介绍。</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9</w:t>
      </w:r>
      <w:r>
        <w:rPr>
          <w:rFonts w:ascii="SimHei" w:eastAsia="SimHei" w:hint="eastAsia"/>
        </w:rPr>
        <w:t>段（</w:t>
      </w:r>
      <w:r>
        <w:rPr>
          <w:rFonts w:ascii="SimHei" w:eastAsia="SimHei" w:hint="eastAsia"/>
        </w:rPr>
        <w:t>c</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76.</w:t>
      </w:r>
      <w:r>
        <w:rPr>
          <w:rFonts w:hint="eastAsia"/>
        </w:rPr>
        <w:tab/>
      </w:r>
      <w:r>
        <w:rPr>
          <w:rFonts w:hint="eastAsia"/>
        </w:rPr>
        <w:t>劳工和社会福利部的任务是公平合理地执行促进共同福利的国家劳动政策，这项任务源自国家发展计划，其中规定墨西哥政府的任务是“提高机会均等”，并根据承认社会差异和不公平的标准构建旨在为墨西哥所有男女人口扩大和提供平等机会性的社会方针战略。</w:t>
      </w:r>
    </w:p>
    <w:p w:rsidR="00000000" w:rsidRDefault="00457650">
      <w:pPr>
        <w:widowControl/>
        <w:tabs>
          <w:tab w:val="left" w:pos="630"/>
        </w:tabs>
        <w:spacing w:after="240" w:line="360" w:lineRule="exact"/>
        <w:rPr>
          <w:rFonts w:hint="eastAsia"/>
        </w:rPr>
      </w:pPr>
      <w:r>
        <w:rPr>
          <w:rFonts w:hint="eastAsia"/>
        </w:rPr>
        <w:t>77.</w:t>
      </w:r>
      <w:r>
        <w:rPr>
          <w:rFonts w:hint="eastAsia"/>
        </w:rPr>
        <w:tab/>
      </w:r>
      <w:r>
        <w:rPr>
          <w:rFonts w:hint="eastAsia"/>
        </w:rPr>
        <w:t>《</w:t>
      </w:r>
      <w:r>
        <w:rPr>
          <w:rFonts w:hint="eastAsia"/>
        </w:rPr>
        <w:t>2001-2005</w:t>
      </w:r>
      <w:r>
        <w:rPr>
          <w:rFonts w:hint="eastAsia"/>
        </w:rPr>
        <w:t>年国家劳动政策计划》的主要目标之一，是</w:t>
      </w:r>
      <w:r>
        <w:rPr>
          <w:rFonts w:hint="eastAsia"/>
        </w:rPr>
        <w:t>要加强新型劳动文化，使工作进一步成为人类为了充分发挥自身潜能，提高自己及家人的生活水平，实现自身尊严的一种表现形式。该计划刺激了新型劳动文化，使社会全体成员都能获得适宜的且收入不错的工作。</w:t>
      </w:r>
    </w:p>
    <w:p w:rsidR="00000000" w:rsidRDefault="00457650">
      <w:pPr>
        <w:widowControl/>
        <w:tabs>
          <w:tab w:val="left" w:pos="630"/>
        </w:tabs>
        <w:spacing w:after="240" w:line="360" w:lineRule="exact"/>
        <w:rPr>
          <w:rFonts w:hint="eastAsia"/>
        </w:rPr>
      </w:pPr>
      <w:r>
        <w:rPr>
          <w:rFonts w:hint="eastAsia"/>
        </w:rPr>
        <w:t>78.</w:t>
      </w:r>
      <w:r>
        <w:rPr>
          <w:rFonts w:hint="eastAsia"/>
        </w:rPr>
        <w:tab/>
      </w:r>
      <w:r>
        <w:rPr>
          <w:rFonts w:hint="eastAsia"/>
        </w:rPr>
        <w:t>劳工和社会福利部建立了一些对劳动力供求进行协调的机制，以提高失业者和未充分就业者的求职能力，它根据项目和劳动力市场的特点，提供职业指导、技术支持和信息，并酌情提供培训和财政或物质支持（给生产性投资项目提供机械和设备）。</w:t>
      </w:r>
    </w:p>
    <w:p w:rsidR="00000000" w:rsidRDefault="00457650">
      <w:pPr>
        <w:widowControl/>
        <w:tabs>
          <w:tab w:val="left" w:pos="630"/>
        </w:tabs>
        <w:spacing w:after="240" w:line="360" w:lineRule="exact"/>
        <w:rPr>
          <w:rFonts w:hint="eastAsia"/>
        </w:rPr>
      </w:pPr>
      <w:r>
        <w:rPr>
          <w:rFonts w:hint="eastAsia"/>
        </w:rPr>
        <w:t>79.</w:t>
      </w:r>
      <w:r>
        <w:rPr>
          <w:rFonts w:hint="eastAsia"/>
        </w:rPr>
        <w:tab/>
      </w:r>
      <w:r>
        <w:rPr>
          <w:rFonts w:hint="eastAsia"/>
        </w:rPr>
        <w:t>劳工和社会福利部与联邦各州政府合作，在州就业机构的参与下，进行了若干直接配套项目，下文</w:t>
      </w:r>
      <w:r>
        <w:rPr>
          <w:rFonts w:hint="eastAsia"/>
        </w:rPr>
        <w:t>对此作了介绍。</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w:t>
      </w:r>
      <w:r>
        <w:rPr>
          <w:rFonts w:ascii="SimHei" w:eastAsia="SimHei" w:hint="eastAsia"/>
        </w:rPr>
        <w:t>a</w:t>
      </w:r>
      <w:r>
        <w:rPr>
          <w:rFonts w:ascii="SimHei" w:eastAsia="SimHei" w:hint="eastAsia"/>
        </w:rPr>
        <w:t>）直接配套活动（职业介绍所）</w:t>
      </w:r>
    </w:p>
    <w:p w:rsidR="00000000" w:rsidRDefault="00457650">
      <w:pPr>
        <w:widowControl/>
        <w:tabs>
          <w:tab w:val="left" w:pos="630"/>
        </w:tabs>
        <w:spacing w:after="240" w:line="360" w:lineRule="exact"/>
        <w:rPr>
          <w:rFonts w:hint="eastAsia"/>
        </w:rPr>
      </w:pPr>
      <w:r>
        <w:rPr>
          <w:rFonts w:hint="eastAsia"/>
        </w:rPr>
        <w:t>80.</w:t>
      </w:r>
      <w:r>
        <w:rPr>
          <w:rFonts w:hint="eastAsia"/>
        </w:rPr>
        <w:tab/>
      </w:r>
      <w:r>
        <w:rPr>
          <w:rFonts w:hint="eastAsia"/>
        </w:rPr>
        <w:t>职业介绍所的工作主要关注于个人；其目标是以敏捷、有效和及时的方式，在应聘人员和企业提供的就业机会之间建立联系。这项服务由合众国和联邦区内的所有州就业机构，通过当地就业机构的协调提供给目标人群。在每位应聘人员与就业顾问面谈后确定其工作概况，然后按企业部门的职位空缺进行适当安排。这一过程允许在最可能短的时间内，根据企业要求的特征确定合适的人选。</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w:t>
      </w:r>
      <w:r>
        <w:rPr>
          <w:rFonts w:ascii="SimHei" w:eastAsia="SimHei" w:hint="eastAsia"/>
        </w:rPr>
        <w:t>b</w:t>
      </w:r>
      <w:r>
        <w:rPr>
          <w:rFonts w:ascii="SimHei" w:eastAsia="SimHei" w:hint="eastAsia"/>
        </w:rPr>
        <w:t>）就业招聘会</w:t>
      </w:r>
    </w:p>
    <w:p w:rsidR="00000000" w:rsidRDefault="00457650">
      <w:pPr>
        <w:widowControl/>
        <w:tabs>
          <w:tab w:val="left" w:pos="630"/>
        </w:tabs>
        <w:spacing w:after="240" w:line="360" w:lineRule="exact"/>
        <w:rPr>
          <w:rFonts w:hint="eastAsia"/>
        </w:rPr>
      </w:pPr>
      <w:r>
        <w:rPr>
          <w:rFonts w:hint="eastAsia"/>
        </w:rPr>
        <w:t>81.</w:t>
      </w:r>
      <w:r>
        <w:rPr>
          <w:rFonts w:hint="eastAsia"/>
        </w:rPr>
        <w:tab/>
      </w:r>
      <w:r>
        <w:rPr>
          <w:rFonts w:hint="eastAsia"/>
        </w:rPr>
        <w:t>就业招聘会的目的是将应聘方和招工方聚集到同一个地方进行洽谈，并让双方（企业和应聘</w:t>
      </w:r>
      <w:r>
        <w:rPr>
          <w:rFonts w:hint="eastAsia"/>
        </w:rPr>
        <w:t>人员）直接选择符合期望的个人（或者工作，依各自情况而定）。就业招聘会由就业机构在联邦各州和联邦区内组织进行。</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w:t>
      </w:r>
      <w:r>
        <w:rPr>
          <w:rFonts w:ascii="SimHei" w:eastAsia="SimHei" w:hint="eastAsia"/>
        </w:rPr>
        <w:t>c</w:t>
      </w:r>
      <w:r>
        <w:rPr>
          <w:rFonts w:ascii="SimHei" w:eastAsia="SimHei" w:hint="eastAsia"/>
        </w:rPr>
        <w:t>）求职人员讲习班</w:t>
      </w:r>
    </w:p>
    <w:p w:rsidR="00000000" w:rsidRDefault="00457650">
      <w:pPr>
        <w:widowControl/>
        <w:tabs>
          <w:tab w:val="left" w:pos="630"/>
        </w:tabs>
        <w:spacing w:after="240" w:line="360" w:lineRule="exact"/>
        <w:rPr>
          <w:rFonts w:hint="eastAsia"/>
        </w:rPr>
      </w:pPr>
      <w:r>
        <w:rPr>
          <w:rFonts w:hint="eastAsia"/>
        </w:rPr>
        <w:t>82.</w:t>
      </w:r>
      <w:r>
        <w:rPr>
          <w:rFonts w:hint="eastAsia"/>
        </w:rPr>
        <w:tab/>
      </w:r>
      <w:r>
        <w:rPr>
          <w:rFonts w:hint="eastAsia"/>
        </w:rPr>
        <w:t>为求职人员举行的讲习班是为了提供信息和建议，使求职人员能够迅速进入劳动力市场。这些讲习班由就业机构的官员主持，旨在帮助找工作有些困难的人们。</w:t>
      </w:r>
    </w:p>
    <w:p w:rsidR="00000000" w:rsidRDefault="00457650">
      <w:pPr>
        <w:widowControl/>
        <w:tabs>
          <w:tab w:val="left" w:pos="630"/>
        </w:tabs>
        <w:spacing w:after="240" w:line="360" w:lineRule="exact"/>
        <w:rPr>
          <w:rFonts w:hint="eastAsia"/>
        </w:rPr>
      </w:pPr>
      <w:r>
        <w:rPr>
          <w:rFonts w:hint="eastAsia"/>
        </w:rPr>
        <w:t>83.</w:t>
      </w:r>
      <w:r>
        <w:rPr>
          <w:rFonts w:hint="eastAsia"/>
        </w:rPr>
        <w:tab/>
      </w:r>
      <w:r>
        <w:rPr>
          <w:rFonts w:hint="eastAsia"/>
        </w:rPr>
        <w:t>这一制度允许对希望参加讲习班的人员进行选择，他们根据教育和其他方面的级别被分成多个组别，例如特殊技能讲习班。所讨论的主题也根据各组的特点加以选择。这一操作方法可以借助灵活方式满足各组的特殊需要，由此为使各类群体都能参加讲</w:t>
      </w:r>
      <w:r>
        <w:rPr>
          <w:rFonts w:hint="eastAsia"/>
        </w:rPr>
        <w:t>习班。</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w:t>
      </w:r>
      <w:r>
        <w:rPr>
          <w:rFonts w:ascii="SimHei" w:eastAsia="SimHei" w:hint="eastAsia"/>
        </w:rPr>
        <w:t>d</w:t>
      </w:r>
      <w:r>
        <w:rPr>
          <w:rFonts w:ascii="SimHei" w:eastAsia="SimHei" w:hint="eastAsia"/>
        </w:rPr>
        <w:t>）国家培训和就业委员会</w:t>
      </w:r>
    </w:p>
    <w:p w:rsidR="00000000" w:rsidRDefault="00457650">
      <w:pPr>
        <w:keepNext/>
        <w:widowControl/>
        <w:tabs>
          <w:tab w:val="left" w:pos="630"/>
        </w:tabs>
        <w:spacing w:after="240" w:line="360" w:lineRule="exact"/>
        <w:rPr>
          <w:rFonts w:hint="eastAsia"/>
        </w:rPr>
      </w:pPr>
      <w:r>
        <w:rPr>
          <w:rFonts w:hint="eastAsia"/>
        </w:rPr>
        <w:t>84.</w:t>
      </w:r>
      <w:r>
        <w:rPr>
          <w:rFonts w:hint="eastAsia"/>
        </w:rPr>
        <w:tab/>
      </w:r>
      <w:r>
        <w:rPr>
          <w:rFonts w:hint="eastAsia"/>
        </w:rPr>
        <w:t>国家培训和就业委员会的主要基本功能之一，就建立各种机制，以加强与企业部门的关系，了解其对人力培训需求，以及所需的劳动力市场信息、要求优先匹配和培训的地区和职业。</w:t>
      </w:r>
    </w:p>
    <w:p w:rsidR="00000000" w:rsidRDefault="00457650">
      <w:pPr>
        <w:widowControl/>
        <w:tabs>
          <w:tab w:val="left" w:pos="630"/>
        </w:tabs>
        <w:spacing w:after="240" w:line="360" w:lineRule="exact"/>
        <w:rPr>
          <w:rFonts w:hint="eastAsia"/>
        </w:rPr>
      </w:pPr>
      <w:r>
        <w:rPr>
          <w:rFonts w:hint="eastAsia"/>
        </w:rPr>
        <w:t>85.</w:t>
      </w:r>
      <w:r>
        <w:rPr>
          <w:rFonts w:hint="eastAsia"/>
        </w:rPr>
        <w:tab/>
      </w:r>
      <w:r>
        <w:rPr>
          <w:rFonts w:hint="eastAsia"/>
        </w:rPr>
        <w:t>国家培训和就业委员会负责协助提高质量标准，为企业部门提供相应的培训和联系方法。它们还为州就业机构提供反馈，包括每个地区劳动力市场的最新信息和情况分析。教育和培训机构在参加国家培训和就业委员会活动的过程中也有所收获，因为他们获得了生产机构所需要的就业安置信息，在此基础上可以调整其提供的培训课程内容</w:t>
      </w:r>
      <w:r>
        <w:rPr>
          <w:rFonts w:hint="eastAsia"/>
        </w:rPr>
        <w:t>；最终提高其毕业学员在劳动力市场上找到工作的比率。安置机构和职业介绍所也可以从其行动范围的扩大中获益。</w:t>
      </w:r>
    </w:p>
    <w:p w:rsidR="00000000" w:rsidRDefault="00457650">
      <w:pPr>
        <w:widowControl/>
        <w:tabs>
          <w:tab w:val="left" w:pos="630"/>
        </w:tabs>
        <w:spacing w:after="240" w:line="360" w:lineRule="exact"/>
        <w:rPr>
          <w:rFonts w:hint="eastAsia"/>
        </w:rPr>
      </w:pPr>
      <w:r>
        <w:rPr>
          <w:rFonts w:hint="eastAsia"/>
        </w:rPr>
        <w:t>86.</w:t>
      </w:r>
      <w:r>
        <w:rPr>
          <w:rFonts w:hint="eastAsia"/>
        </w:rPr>
        <w:tab/>
      </w:r>
      <w:r>
        <w:rPr>
          <w:rFonts w:hint="eastAsia"/>
        </w:rPr>
        <w:t>以这种方式，国家培训和就业委员会发挥了一个论坛的作用，劳动力市场的主要成员在其间寻找并彼此配合，展示他们对信息、培训和安置的需求。州就业机构通过这个途径，从主要行动者的行为中了解到劳动力市场的需求，并通过各国培训和就业委员会在其权限范围内协助实施的措施，更加有效地直接投入为达到劳动力供求平衡所做的努力。</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w:t>
      </w:r>
      <w:r>
        <w:rPr>
          <w:rFonts w:ascii="SimHei" w:eastAsia="SimHei" w:hint="eastAsia"/>
        </w:rPr>
        <w:t>e</w:t>
      </w:r>
      <w:r>
        <w:rPr>
          <w:rFonts w:ascii="SimHei" w:eastAsia="SimHei" w:hint="eastAsia"/>
        </w:rPr>
        <w:t>）国家就业体系</w:t>
      </w:r>
    </w:p>
    <w:p w:rsidR="00000000" w:rsidRDefault="00457650">
      <w:pPr>
        <w:widowControl/>
        <w:tabs>
          <w:tab w:val="left" w:pos="630"/>
        </w:tabs>
        <w:spacing w:after="240" w:line="360" w:lineRule="exact"/>
        <w:rPr>
          <w:rFonts w:hint="eastAsia"/>
        </w:rPr>
      </w:pPr>
      <w:r>
        <w:rPr>
          <w:rFonts w:hint="eastAsia"/>
        </w:rPr>
        <w:t xml:space="preserve">87. </w:t>
      </w:r>
      <w:r>
        <w:rPr>
          <w:rFonts w:hint="eastAsia"/>
        </w:rPr>
        <w:tab/>
      </w:r>
      <w:r>
        <w:rPr>
          <w:rFonts w:hint="eastAsia"/>
        </w:rPr>
        <w:t>国家就业体系是国家就业机构发挥作用的一种工具，其主要任务是保持</w:t>
      </w:r>
      <w:r>
        <w:rPr>
          <w:rFonts w:hint="eastAsia"/>
        </w:rPr>
        <w:t>与招工领域的联系，通过定期举行劳动力供求定性与定量分析交流工作会议，在各州生产机构中进行人员的挑选与雇用，由此帮助企业以充足及时的方法满足自己在人员上的需求。国家就业体系负责确保更多的求职人员获得工作，同时促进做出联合战略决策，以提高劳动力市场的机能。</w:t>
      </w:r>
    </w:p>
    <w:p w:rsidR="00000000" w:rsidRDefault="00457650">
      <w:pPr>
        <w:widowControl/>
        <w:tabs>
          <w:tab w:val="left" w:pos="630"/>
        </w:tabs>
        <w:spacing w:after="240" w:line="360" w:lineRule="exact"/>
        <w:rPr>
          <w:rFonts w:hint="eastAsia"/>
        </w:rPr>
      </w:pPr>
      <w:r>
        <w:rPr>
          <w:rFonts w:hint="eastAsia"/>
        </w:rPr>
        <w:t>88.</w:t>
      </w:r>
      <w:r>
        <w:rPr>
          <w:rFonts w:hint="eastAsia"/>
        </w:rPr>
        <w:tab/>
      </w:r>
      <w:r>
        <w:rPr>
          <w:rFonts w:hint="eastAsia"/>
        </w:rPr>
        <w:t>因此国家就业体系的核心目标是增加求职人员在劳动力市场得到安置的数量，并为此进行关于空职和求职人员的信息交流。</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w:t>
      </w:r>
      <w:r>
        <w:rPr>
          <w:rFonts w:ascii="SimHei" w:eastAsia="SimHei" w:hint="eastAsia"/>
        </w:rPr>
        <w:t>f</w:t>
      </w:r>
      <w:r>
        <w:rPr>
          <w:rFonts w:ascii="SimHei" w:eastAsia="SimHei" w:hint="eastAsia"/>
        </w:rPr>
        <w:t>）</w:t>
      </w:r>
      <w:r>
        <w:rPr>
          <w:rFonts w:ascii="SimHei" w:eastAsia="SimHei" w:hint="eastAsia"/>
        </w:rPr>
        <w:t>Chambatel</w:t>
      </w:r>
      <w:r>
        <w:rPr>
          <w:rFonts w:ascii="SimHei" w:eastAsia="SimHei" w:hint="eastAsia"/>
        </w:rPr>
        <w:t>和</w:t>
      </w:r>
      <w:r>
        <w:rPr>
          <w:rFonts w:ascii="SimHei" w:eastAsia="SimHei" w:hint="eastAsia"/>
        </w:rPr>
        <w:t>Chambanet</w:t>
      </w:r>
      <w:r>
        <w:rPr>
          <w:rFonts w:ascii="SimHei" w:eastAsia="SimHei" w:hint="eastAsia"/>
        </w:rPr>
        <w:t>匹配系统</w:t>
      </w:r>
    </w:p>
    <w:p w:rsidR="00000000" w:rsidRDefault="00457650">
      <w:pPr>
        <w:widowControl/>
        <w:tabs>
          <w:tab w:val="left" w:pos="630"/>
        </w:tabs>
        <w:spacing w:after="240" w:line="360" w:lineRule="exact"/>
        <w:rPr>
          <w:rFonts w:hint="eastAsia"/>
        </w:rPr>
      </w:pPr>
      <w:r>
        <w:rPr>
          <w:rFonts w:hint="eastAsia"/>
        </w:rPr>
        <w:t>89.</w:t>
      </w:r>
      <w:r>
        <w:rPr>
          <w:rFonts w:hint="eastAsia"/>
        </w:rPr>
        <w:tab/>
        <w:t>2000</w:t>
      </w:r>
      <w:r>
        <w:rPr>
          <w:rFonts w:hint="eastAsia"/>
        </w:rPr>
        <w:t>年，为了在服务机构中实行更大的多样性，并使其更加贴近招工方和应聘方这</w:t>
      </w:r>
      <w:r>
        <w:rPr>
          <w:rFonts w:hint="eastAsia"/>
        </w:rPr>
        <w:t>二者的需求，墨西哥建立了</w:t>
      </w:r>
      <w:r>
        <w:rPr>
          <w:rFonts w:hint="eastAsia"/>
        </w:rPr>
        <w:t>Chambatel</w:t>
      </w:r>
      <w:r>
        <w:rPr>
          <w:rFonts w:hint="eastAsia"/>
        </w:rPr>
        <w:t>匹配系统，利用该系统，求职人员可以打电话获得招聘信息，由此方便了招工方和应聘方的相互匹配。</w:t>
      </w:r>
    </w:p>
    <w:p w:rsidR="00000000" w:rsidRDefault="00457650">
      <w:pPr>
        <w:widowControl/>
        <w:tabs>
          <w:tab w:val="left" w:pos="630"/>
        </w:tabs>
        <w:spacing w:after="240" w:line="360" w:lineRule="exact"/>
        <w:rPr>
          <w:rFonts w:hint="eastAsia"/>
        </w:rPr>
      </w:pPr>
      <w:r>
        <w:rPr>
          <w:rFonts w:hint="eastAsia"/>
        </w:rPr>
        <w:t>90.</w:t>
      </w:r>
      <w:r>
        <w:rPr>
          <w:rFonts w:hint="eastAsia"/>
        </w:rPr>
        <w:tab/>
      </w:r>
      <w:r>
        <w:rPr>
          <w:rFonts w:hint="eastAsia"/>
        </w:rPr>
        <w:t>通过同样的方式，一个被称为</w:t>
      </w:r>
      <w:r>
        <w:rPr>
          <w:rFonts w:hint="eastAsia"/>
        </w:rPr>
        <w:t>Chambanet</w:t>
      </w:r>
      <w:r>
        <w:rPr>
          <w:rFonts w:hint="eastAsia"/>
        </w:rPr>
        <w:t>的电子应聘办公室得以设计、开发并投入运营。它能满足企业部门对技术人员和那些可以使用互联网的求职者的需求。这两项服务是新型的匹配手段，也是国家就业、培训和技能发展部努力扩大其活动范围所采用的又一种工具。</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lang w:val="en-GB"/>
        </w:rPr>
        <w:t>（</w:t>
      </w:r>
      <w:r>
        <w:rPr>
          <w:rFonts w:ascii="SimHei" w:eastAsia="SimHei" w:hint="eastAsia"/>
        </w:rPr>
        <w:t>g</w:t>
      </w:r>
      <w:r>
        <w:rPr>
          <w:rFonts w:ascii="SimHei" w:eastAsia="SimHei" w:hint="eastAsia"/>
          <w:lang w:val="en-GB"/>
        </w:rPr>
        <w:t>）“</w:t>
      </w:r>
      <w:r>
        <w:rPr>
          <w:rFonts w:ascii="SimHei" w:eastAsia="SimHei" w:hint="eastAsia"/>
        </w:rPr>
        <w:t>Mi Chamba</w:t>
      </w:r>
      <w:r>
        <w:rPr>
          <w:rFonts w:ascii="SimHei" w:eastAsia="SimHei" w:hint="eastAsia"/>
          <w:lang w:val="en-GB"/>
        </w:rPr>
        <w:t>”</w:t>
      </w:r>
      <w:r>
        <w:rPr>
          <w:rFonts w:ascii="SimHei" w:eastAsia="SimHei" w:hint="eastAsia"/>
        </w:rPr>
        <w:t>期刊</w:t>
      </w:r>
    </w:p>
    <w:p w:rsidR="00000000" w:rsidRDefault="00457650">
      <w:pPr>
        <w:keepNext/>
        <w:widowControl/>
        <w:tabs>
          <w:tab w:val="left" w:pos="630"/>
        </w:tabs>
        <w:spacing w:after="240" w:line="360" w:lineRule="exact"/>
        <w:rPr>
          <w:rFonts w:hint="eastAsia"/>
        </w:rPr>
      </w:pPr>
      <w:r>
        <w:rPr>
          <w:rFonts w:hint="eastAsia"/>
        </w:rPr>
        <w:t>91.</w:t>
      </w:r>
      <w:r>
        <w:rPr>
          <w:rFonts w:hint="eastAsia"/>
        </w:rPr>
        <w:tab/>
      </w:r>
      <w:r>
        <w:rPr>
          <w:rFonts w:hint="eastAsia"/>
        </w:rPr>
        <w:t>“</w:t>
      </w:r>
      <w:r>
        <w:rPr>
          <w:rFonts w:hint="eastAsia"/>
        </w:rPr>
        <w:t>Mi Chamba</w:t>
      </w:r>
      <w:r>
        <w:rPr>
          <w:rFonts w:hint="eastAsia"/>
        </w:rPr>
        <w:t>”期刊是劳动力领域信息交流和匹配的另一种新方式，其设计和发刊</w:t>
      </w:r>
      <w:r>
        <w:rPr>
          <w:rFonts w:hint="eastAsia"/>
        </w:rPr>
        <w:t>旨在根据需要使有关服务现代化和更加快捷，该方式最初源于信息和电讯技术的使用和开发。</w:t>
      </w:r>
    </w:p>
    <w:p w:rsidR="00000000" w:rsidRDefault="00457650">
      <w:pPr>
        <w:widowControl/>
        <w:tabs>
          <w:tab w:val="left" w:pos="630"/>
        </w:tabs>
        <w:spacing w:after="240" w:line="360" w:lineRule="exact"/>
        <w:rPr>
          <w:rFonts w:hint="eastAsia"/>
        </w:rPr>
      </w:pPr>
      <w:r>
        <w:rPr>
          <w:rFonts w:hint="eastAsia"/>
        </w:rPr>
        <w:t>92.</w:t>
      </w:r>
      <w:r>
        <w:rPr>
          <w:rFonts w:hint="eastAsia"/>
        </w:rPr>
        <w:tab/>
      </w:r>
      <w:r>
        <w:rPr>
          <w:rFonts w:hint="eastAsia"/>
        </w:rPr>
        <w:t>“</w:t>
      </w:r>
      <w:r>
        <w:rPr>
          <w:rFonts w:hint="eastAsia"/>
        </w:rPr>
        <w:t>Mi Chamba</w:t>
      </w:r>
      <w:r>
        <w:rPr>
          <w:rFonts w:hint="eastAsia"/>
        </w:rPr>
        <w:t>”是一个自由出版物，旨在为公民提供招聘方面的快捷信息，该刊物</w:t>
      </w:r>
      <w:r>
        <w:rPr>
          <w:rFonts w:hint="eastAsia"/>
        </w:rPr>
        <w:t>16</w:t>
      </w:r>
      <w:r>
        <w:rPr>
          <w:rFonts w:hint="eastAsia"/>
        </w:rPr>
        <w:t>页篇幅，隔周发行，引人入胜，通俗易懂；其内容包括工作空缺、国家就业、培训和技能发展部以及劳工和社会福利部方案等。在联邦区发行量为</w:t>
      </w:r>
      <w:r>
        <w:rPr>
          <w:rFonts w:hint="eastAsia"/>
        </w:rPr>
        <w:t>65 000</w:t>
      </w:r>
      <w:r>
        <w:rPr>
          <w:rFonts w:hint="eastAsia"/>
        </w:rPr>
        <w:t>本，并在汽车加油站、政府办公室和非政府组织发行，也在公共场合分发。</w:t>
      </w:r>
    </w:p>
    <w:p w:rsidR="00000000" w:rsidRDefault="00457650">
      <w:pPr>
        <w:widowControl/>
        <w:tabs>
          <w:tab w:val="left" w:pos="630"/>
        </w:tabs>
        <w:spacing w:after="240" w:line="360" w:lineRule="exact"/>
        <w:rPr>
          <w:rFonts w:hint="eastAsia"/>
        </w:rPr>
      </w:pPr>
      <w:r>
        <w:rPr>
          <w:rFonts w:hint="eastAsia"/>
        </w:rPr>
        <w:t>93.</w:t>
      </w:r>
      <w:r>
        <w:rPr>
          <w:rFonts w:hint="eastAsia"/>
        </w:rPr>
        <w:tab/>
      </w:r>
      <w:r>
        <w:rPr>
          <w:rFonts w:hint="eastAsia"/>
        </w:rPr>
        <w:t>该刊相对求职人员的主要好处是能向他们及时提供工作空缺方面的信息，这减少了他们寻找空职所需的时间和花费。</w:t>
      </w:r>
    </w:p>
    <w:p w:rsidR="00000000" w:rsidRDefault="00457650">
      <w:pPr>
        <w:widowControl/>
        <w:tabs>
          <w:tab w:val="left" w:pos="630"/>
        </w:tabs>
        <w:spacing w:after="240" w:line="360" w:lineRule="exact"/>
        <w:rPr>
          <w:rFonts w:hint="eastAsia"/>
        </w:rPr>
      </w:pPr>
      <w:r>
        <w:rPr>
          <w:rFonts w:hint="eastAsia"/>
        </w:rPr>
        <w:t>94.</w:t>
      </w:r>
      <w:r>
        <w:rPr>
          <w:rFonts w:hint="eastAsia"/>
        </w:rPr>
        <w:tab/>
      </w:r>
      <w:r>
        <w:rPr>
          <w:rFonts w:hint="eastAsia"/>
        </w:rPr>
        <w:t>对企业来</w:t>
      </w:r>
      <w:r>
        <w:rPr>
          <w:rFonts w:hint="eastAsia"/>
        </w:rPr>
        <w:t>说，这是一个获得更多申请空职人员的方法，节省了招聘和选择雇员所需要的时间和花费。</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w:t>
      </w:r>
      <w:r>
        <w:rPr>
          <w:rFonts w:ascii="SimHei" w:eastAsia="SimHei" w:hint="eastAsia"/>
        </w:rPr>
        <w:t>h</w:t>
      </w:r>
      <w:r>
        <w:rPr>
          <w:rFonts w:ascii="SimHei" w:eastAsia="SimHei" w:hint="eastAsia"/>
        </w:rPr>
        <w:t>）墨西哥农民在加拿大临时就业项目</w:t>
      </w:r>
    </w:p>
    <w:p w:rsidR="00000000" w:rsidRDefault="00457650">
      <w:pPr>
        <w:widowControl/>
        <w:tabs>
          <w:tab w:val="left" w:pos="630"/>
        </w:tabs>
        <w:spacing w:after="240" w:line="360" w:lineRule="exact"/>
        <w:rPr>
          <w:rFonts w:hint="eastAsia"/>
        </w:rPr>
      </w:pPr>
      <w:r>
        <w:rPr>
          <w:rFonts w:hint="eastAsia"/>
        </w:rPr>
        <w:t>95.</w:t>
      </w:r>
      <w:r>
        <w:rPr>
          <w:rFonts w:hint="eastAsia"/>
        </w:rPr>
        <w:tab/>
      </w:r>
      <w:r>
        <w:rPr>
          <w:rFonts w:hint="eastAsia"/>
        </w:rPr>
        <w:t>劳工和社会福利部除了在当地、州内和地区级负责直接提供匹配服务外，还协助实施一项将国民送往国外从事空职的项目，被称为墨西哥</w:t>
      </w:r>
      <w:r>
        <w:rPr>
          <w:rFonts w:ascii="SimSun" w:hAnsi="SimSun" w:hint="eastAsia"/>
        </w:rPr>
        <w:t>-</w:t>
      </w:r>
      <w:r>
        <w:rPr>
          <w:rFonts w:hint="eastAsia"/>
        </w:rPr>
        <w:t>加拿大农民临时就业项目。</w:t>
      </w:r>
    </w:p>
    <w:p w:rsidR="00000000" w:rsidRDefault="00457650">
      <w:pPr>
        <w:widowControl/>
        <w:tabs>
          <w:tab w:val="left" w:pos="630"/>
        </w:tabs>
        <w:spacing w:after="240" w:line="360" w:lineRule="exact"/>
        <w:rPr>
          <w:rFonts w:hint="eastAsia"/>
        </w:rPr>
      </w:pPr>
      <w:r>
        <w:rPr>
          <w:rFonts w:hint="eastAsia"/>
        </w:rPr>
        <w:t>96.</w:t>
      </w:r>
      <w:r>
        <w:rPr>
          <w:rFonts w:hint="eastAsia"/>
        </w:rPr>
        <w:tab/>
      </w:r>
      <w:r>
        <w:rPr>
          <w:rFonts w:hint="eastAsia"/>
        </w:rPr>
        <w:t>该项目的目的是向因农村地区特殊情况而致使其失业的墨西哥农民提供可靠的、报酬较高的工作选择，这样农民就可以将工作收入汇给家里。为此，墨西哥政府于</w:t>
      </w:r>
      <w:r>
        <w:rPr>
          <w:rFonts w:hint="eastAsia"/>
        </w:rPr>
        <w:t>1974</w:t>
      </w:r>
      <w:r>
        <w:rPr>
          <w:rFonts w:hint="eastAsia"/>
        </w:rPr>
        <w:t>年对加拿大政府的请求做了回应，两国间签署了一份谅解备忘录，墨西哥据此承诺为加</w:t>
      </w:r>
      <w:r>
        <w:rPr>
          <w:rFonts w:hint="eastAsia"/>
        </w:rPr>
        <w:t>拿大农场招募、选择并派送有丰富农场工作经验而且不准备在加拿大定居的农民，根据临时合同在加拿大农场工作。</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w:t>
      </w:r>
      <w:r>
        <w:rPr>
          <w:rFonts w:ascii="SimHei" w:eastAsia="SimHei" w:hint="eastAsia"/>
        </w:rPr>
        <w:t>i</w:t>
      </w:r>
      <w:r>
        <w:rPr>
          <w:rFonts w:ascii="SimHei" w:eastAsia="SimHei" w:hint="eastAsia"/>
        </w:rPr>
        <w:t>）“开放空间”项目</w:t>
      </w:r>
    </w:p>
    <w:p w:rsidR="00000000" w:rsidRDefault="00457650">
      <w:pPr>
        <w:widowControl/>
        <w:tabs>
          <w:tab w:val="left" w:pos="630"/>
        </w:tabs>
        <w:spacing w:after="240" w:line="360" w:lineRule="exact"/>
        <w:rPr>
          <w:rFonts w:hint="eastAsia"/>
        </w:rPr>
      </w:pPr>
      <w:r>
        <w:rPr>
          <w:rFonts w:hint="eastAsia"/>
        </w:rPr>
        <w:t>97.</w:t>
      </w:r>
      <w:r>
        <w:rPr>
          <w:rFonts w:hint="eastAsia"/>
        </w:rPr>
        <w:tab/>
      </w:r>
      <w:r>
        <w:rPr>
          <w:rFonts w:hint="eastAsia"/>
        </w:rPr>
        <w:t>劳工和社会福利部还提出一系列方法来帮助残疾人和老年人，在人权、政治和社会权利受到充分尊重和履行的情况下进入劳动力市场。在这种大环境下，“开放空间”项目是一个专家匹配网络，旨在协调公众和私有机构间的努力，促进这些群体就业，或者参与就业培训计划。</w:t>
      </w:r>
    </w:p>
    <w:p w:rsidR="00000000" w:rsidRDefault="00457650">
      <w:pPr>
        <w:widowControl/>
        <w:tabs>
          <w:tab w:val="left" w:pos="630"/>
        </w:tabs>
        <w:spacing w:after="240" w:line="360" w:lineRule="exact"/>
        <w:rPr>
          <w:rFonts w:hint="eastAsia"/>
        </w:rPr>
      </w:pPr>
      <w:r>
        <w:rPr>
          <w:rFonts w:hint="eastAsia"/>
        </w:rPr>
        <w:t>98.</w:t>
      </w:r>
      <w:r>
        <w:rPr>
          <w:rFonts w:hint="eastAsia"/>
        </w:rPr>
        <w:tab/>
      </w:r>
      <w:r>
        <w:rPr>
          <w:rFonts w:hint="eastAsia"/>
        </w:rPr>
        <w:t>“开放空间”项目由劳工和社会福利部负责协调，国家家庭综合发展系统、康复机构、非政府组织和企业部门参与执行。</w:t>
      </w:r>
    </w:p>
    <w:p w:rsidR="00000000" w:rsidRDefault="00457650">
      <w:pPr>
        <w:widowControl/>
        <w:tabs>
          <w:tab w:val="left" w:pos="630"/>
        </w:tabs>
        <w:spacing w:after="240" w:line="360" w:lineRule="exact"/>
        <w:rPr>
          <w:rFonts w:hint="eastAsia"/>
        </w:rPr>
      </w:pPr>
      <w:r>
        <w:rPr>
          <w:rFonts w:hint="eastAsia"/>
        </w:rPr>
        <w:t>99.</w:t>
      </w:r>
      <w:r>
        <w:rPr>
          <w:rFonts w:hint="eastAsia"/>
        </w:rPr>
        <w:tab/>
      </w:r>
      <w:r>
        <w:rPr>
          <w:rFonts w:hint="eastAsia"/>
        </w:rPr>
        <w:t>该项目</w:t>
      </w:r>
      <w:r>
        <w:rPr>
          <w:rFonts w:hint="eastAsia"/>
        </w:rPr>
        <w:t>的目标是在一个单一的框架中，纳入所有以残疾人和老年人为对象的劳动力管理手段，优化他们的安置和培训机会，确保他们不仅参与劳动力市场，而且在其中得以发展和被保护。</w:t>
      </w:r>
    </w:p>
    <w:p w:rsidR="00000000" w:rsidRDefault="00457650">
      <w:pPr>
        <w:widowControl/>
        <w:tabs>
          <w:tab w:val="left" w:pos="630"/>
        </w:tabs>
        <w:spacing w:after="240" w:line="360" w:lineRule="exact"/>
        <w:rPr>
          <w:rFonts w:hint="eastAsia"/>
        </w:rPr>
      </w:pPr>
      <w:r>
        <w:rPr>
          <w:rFonts w:hint="eastAsia"/>
        </w:rPr>
        <w:t>100.</w:t>
      </w:r>
      <w:r>
        <w:tab/>
      </w:r>
      <w:r>
        <w:rPr>
          <w:rFonts w:hint="eastAsia"/>
        </w:rPr>
        <w:t>该项目的主要活动集中在</w:t>
      </w:r>
      <w:r>
        <w:rPr>
          <w:rFonts w:hint="eastAsia"/>
        </w:rPr>
        <w:t>Chamba-Par</w:t>
      </w:r>
      <w:r>
        <w:rPr>
          <w:rFonts w:hint="eastAsia"/>
        </w:rPr>
        <w:t>及残疾人和老年工作者评估中心进行。</w:t>
      </w:r>
    </w:p>
    <w:p w:rsidR="00000000" w:rsidRDefault="00457650">
      <w:pPr>
        <w:widowControl/>
        <w:tabs>
          <w:tab w:val="left" w:pos="630"/>
        </w:tabs>
        <w:spacing w:after="240" w:line="360" w:lineRule="exact"/>
        <w:rPr>
          <w:rFonts w:hint="eastAsia"/>
        </w:rPr>
      </w:pPr>
      <w:r>
        <w:rPr>
          <w:rFonts w:hint="eastAsia"/>
        </w:rPr>
        <w:t>101.</w:t>
      </w:r>
      <w:r>
        <w:rPr>
          <w:rFonts w:hint="eastAsia"/>
        </w:rPr>
        <w:tab/>
      </w:r>
      <w:r>
        <w:rPr>
          <w:rFonts w:ascii="SimHei" w:hint="eastAsia"/>
        </w:rPr>
        <w:t>Chamba-Par</w:t>
      </w:r>
      <w:r>
        <w:rPr>
          <w:rFonts w:hint="eastAsia"/>
        </w:rPr>
        <w:t>。</w:t>
      </w:r>
      <w:r>
        <w:rPr>
          <w:rFonts w:hint="eastAsia"/>
        </w:rPr>
        <w:t>Chamba-Par</w:t>
      </w:r>
      <w:r>
        <w:rPr>
          <w:rFonts w:hint="eastAsia"/>
        </w:rPr>
        <w:t>的目标是将寻找工作的残疾人和老年人介绍给有适合这些群体的工作空缺的企业。这种做法旨在为这些群体提供与其他群体平等的支持。</w:t>
      </w:r>
    </w:p>
    <w:p w:rsidR="00000000" w:rsidRDefault="00457650">
      <w:pPr>
        <w:widowControl/>
        <w:tabs>
          <w:tab w:val="left" w:pos="630"/>
        </w:tabs>
        <w:spacing w:after="240" w:line="360" w:lineRule="exact"/>
        <w:rPr>
          <w:rFonts w:hint="eastAsia"/>
        </w:rPr>
      </w:pPr>
      <w:r>
        <w:rPr>
          <w:rFonts w:hint="eastAsia"/>
        </w:rPr>
        <w:t>102.</w:t>
      </w:r>
      <w:r>
        <w:rPr>
          <w:rFonts w:hint="eastAsia"/>
        </w:rPr>
        <w:tab/>
      </w:r>
      <w:r>
        <w:rPr>
          <w:rFonts w:eastAsia="SimHei" w:hint="eastAsia"/>
        </w:rPr>
        <w:t>残疾人和老年人评估中心</w:t>
      </w:r>
      <w:r>
        <w:rPr>
          <w:rFonts w:hint="eastAsia"/>
        </w:rPr>
        <w:t>。该中心能够采取各种办法对残疾人和老年人的就业进行技能、能</w:t>
      </w:r>
      <w:r>
        <w:rPr>
          <w:rFonts w:hint="eastAsia"/>
        </w:rPr>
        <w:t>力、适应性、观念和培训需求评价，由此获得有助于他们参与培训计划和选择性安置的职业情况。</w:t>
      </w:r>
    </w:p>
    <w:p w:rsidR="00000000" w:rsidRDefault="00457650">
      <w:pPr>
        <w:widowControl/>
        <w:tabs>
          <w:tab w:val="left" w:pos="630"/>
        </w:tabs>
        <w:spacing w:after="240" w:line="360" w:lineRule="exact"/>
        <w:rPr>
          <w:rFonts w:hint="eastAsia"/>
        </w:rPr>
      </w:pPr>
      <w:r>
        <w:rPr>
          <w:rFonts w:hint="eastAsia"/>
        </w:rPr>
        <w:t>103.</w:t>
      </w:r>
      <w:r>
        <w:rPr>
          <w:rFonts w:hint="eastAsia"/>
        </w:rPr>
        <w:tab/>
      </w:r>
      <w:r>
        <w:rPr>
          <w:rFonts w:hint="eastAsia"/>
        </w:rPr>
        <w:t>可以利用上述评估工俱，根据生产部门不同的职业需求，快速有效地确定残疾人和老年人的能力、行动灵活性和潜力。</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w:t>
      </w:r>
      <w:r>
        <w:rPr>
          <w:rFonts w:ascii="SimHei" w:eastAsia="SimHei" w:hint="eastAsia"/>
        </w:rPr>
        <w:t>j</w:t>
      </w:r>
      <w:r>
        <w:rPr>
          <w:rFonts w:ascii="SimHei" w:eastAsia="SimHei" w:hint="eastAsia"/>
        </w:rPr>
        <w:t>）</w:t>
      </w:r>
      <w:r>
        <w:rPr>
          <w:rFonts w:ascii="SimHei" w:eastAsia="SimHei" w:hint="eastAsia"/>
        </w:rPr>
        <w:tab/>
      </w:r>
      <w:r>
        <w:rPr>
          <w:rFonts w:ascii="SimHei" w:eastAsia="SimHei" w:hint="eastAsia"/>
        </w:rPr>
        <w:t>弱势群体的过渡性工作中心</w:t>
      </w:r>
    </w:p>
    <w:p w:rsidR="00000000" w:rsidRDefault="00457650">
      <w:pPr>
        <w:widowControl/>
        <w:tabs>
          <w:tab w:val="left" w:pos="630"/>
        </w:tabs>
        <w:spacing w:after="240" w:line="360" w:lineRule="exact"/>
        <w:rPr>
          <w:rFonts w:hint="eastAsia"/>
        </w:rPr>
      </w:pPr>
      <w:r>
        <w:rPr>
          <w:rFonts w:hint="eastAsia"/>
        </w:rPr>
        <w:t>104.</w:t>
      </w:r>
      <w:r>
        <w:rPr>
          <w:rFonts w:hint="eastAsia"/>
        </w:rPr>
        <w:tab/>
      </w:r>
      <w:r>
        <w:rPr>
          <w:rFonts w:hint="eastAsia"/>
        </w:rPr>
        <w:t>作为支助“开放空间”项目的一个附加措施，劳工和社会福利部致力于建立过渡性工作中心，如生产设施、服务企业、工厂、边境加工中心等，它们的建立是为了使那些没有平等就业机会的人们能够就业。</w:t>
      </w:r>
    </w:p>
    <w:p w:rsidR="00000000" w:rsidRDefault="00457650">
      <w:pPr>
        <w:widowControl/>
        <w:tabs>
          <w:tab w:val="left" w:pos="630"/>
        </w:tabs>
        <w:spacing w:after="240" w:line="360" w:lineRule="exact"/>
        <w:rPr>
          <w:rFonts w:hint="eastAsia"/>
        </w:rPr>
      </w:pPr>
      <w:r>
        <w:rPr>
          <w:rFonts w:hint="eastAsia"/>
        </w:rPr>
        <w:t>105.</w:t>
      </w:r>
      <w:r>
        <w:rPr>
          <w:rFonts w:hint="eastAsia"/>
        </w:rPr>
        <w:tab/>
      </w:r>
      <w:r>
        <w:rPr>
          <w:rFonts w:hint="eastAsia"/>
        </w:rPr>
        <w:t>每个过渡性工作中心都谋求在相关部门建立和所有工厂、边境加工中心或相关的</w:t>
      </w:r>
      <w:r>
        <w:rPr>
          <w:rFonts w:hint="eastAsia"/>
        </w:rPr>
        <w:t>服务单位等同的条件，例如，它将建立管理、生产、会计和市场部门来确保能够赢利的财务状况。</w:t>
      </w:r>
    </w:p>
    <w:p w:rsidR="00000000" w:rsidRDefault="00457650">
      <w:pPr>
        <w:widowControl/>
        <w:tabs>
          <w:tab w:val="left" w:pos="630"/>
        </w:tabs>
        <w:spacing w:after="240" w:line="360" w:lineRule="exact"/>
        <w:rPr>
          <w:rFonts w:hint="eastAsia"/>
        </w:rPr>
      </w:pPr>
      <w:r>
        <w:rPr>
          <w:rFonts w:hint="eastAsia"/>
        </w:rPr>
        <w:t>106.</w:t>
      </w:r>
      <w:r>
        <w:rPr>
          <w:rFonts w:hint="eastAsia"/>
        </w:rPr>
        <w:tab/>
      </w:r>
      <w:r>
        <w:rPr>
          <w:rFonts w:hint="eastAsia"/>
        </w:rPr>
        <w:t>在这些中心，没有平等就业机会的人除能得到劳动报酬之外，具有这方面资质的机构还将对他们进行评估和认证，以便他们随后可以向职业介绍所提出申请，并最终在更好的条件下加入到国内劳动队伍，由此实现首要目标。</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w:t>
      </w:r>
      <w:r>
        <w:rPr>
          <w:rFonts w:ascii="SimHei" w:eastAsia="SimHei" w:hint="eastAsia"/>
        </w:rPr>
        <w:t>k</w:t>
      </w:r>
      <w:r>
        <w:rPr>
          <w:rFonts w:ascii="SimHei" w:eastAsia="SimHei" w:hint="eastAsia"/>
        </w:rPr>
        <w:t>）国内外劳动力流动的财政支持系统</w:t>
      </w:r>
    </w:p>
    <w:p w:rsidR="00000000" w:rsidRDefault="00457650">
      <w:pPr>
        <w:widowControl/>
        <w:tabs>
          <w:tab w:val="left" w:pos="630"/>
        </w:tabs>
        <w:spacing w:after="240" w:line="360" w:lineRule="exact"/>
        <w:rPr>
          <w:rFonts w:hint="eastAsia"/>
        </w:rPr>
      </w:pPr>
      <w:r>
        <w:rPr>
          <w:rFonts w:hint="eastAsia"/>
        </w:rPr>
        <w:t>107.</w:t>
      </w:r>
      <w:r>
        <w:rPr>
          <w:rFonts w:hint="eastAsia"/>
        </w:rPr>
        <w:tab/>
      </w:r>
      <w:r>
        <w:rPr>
          <w:rFonts w:hint="eastAsia"/>
        </w:rPr>
        <w:t>在一些州政府，很多市政机构，生产基础设施及农业和相关活动的基础条件，都不足以满足居住在那些城市中的失业乡村人群的需要。在这种情况下，对劳动力的需求和自营职业的机会都很</w:t>
      </w:r>
      <w:r>
        <w:rPr>
          <w:rFonts w:hint="eastAsia"/>
        </w:rPr>
        <w:t>少或者不存在，因此，居住在这些地方的人们都被迫到国内（或国外）其他经济更加繁荣的地方寻找就业机会。这就促使大量农业劳动力从一个州流向另一个州，甚至其他国家。</w:t>
      </w:r>
    </w:p>
    <w:p w:rsidR="00000000" w:rsidRDefault="00457650">
      <w:pPr>
        <w:widowControl/>
        <w:tabs>
          <w:tab w:val="left" w:pos="630"/>
        </w:tabs>
        <w:spacing w:after="240" w:line="360" w:lineRule="exact"/>
        <w:rPr>
          <w:rFonts w:hint="eastAsia"/>
        </w:rPr>
      </w:pPr>
      <w:r>
        <w:rPr>
          <w:rFonts w:hint="eastAsia"/>
        </w:rPr>
        <w:t>108.</w:t>
      </w:r>
      <w:r>
        <w:rPr>
          <w:rFonts w:hint="eastAsia"/>
        </w:rPr>
        <w:tab/>
      </w:r>
      <w:r>
        <w:rPr>
          <w:rFonts w:hint="eastAsia"/>
        </w:rPr>
        <w:t>这些人口中部分人的流动（或者迁移）发生在不良条件下，比如食物、交通、在到达地方的住宿、教育和基本健康服务，这里提到的仅仅是一些最重要的因素。在这种情况下，这些问题需给以关注，并应致力于改善这些群体在离开和到达地点的活动及安居条件。</w:t>
      </w:r>
    </w:p>
    <w:p w:rsidR="00000000" w:rsidRDefault="00457650">
      <w:pPr>
        <w:widowControl/>
        <w:tabs>
          <w:tab w:val="left" w:pos="630"/>
        </w:tabs>
        <w:spacing w:after="240" w:line="360" w:lineRule="exact"/>
        <w:rPr>
          <w:rFonts w:hint="eastAsia"/>
        </w:rPr>
      </w:pPr>
      <w:r>
        <w:rPr>
          <w:rFonts w:hint="eastAsia"/>
        </w:rPr>
        <w:t>109.</w:t>
      </w:r>
      <w:r>
        <w:tab/>
      </w:r>
      <w:r>
        <w:rPr>
          <w:rFonts w:hint="eastAsia"/>
        </w:rPr>
        <w:t>就农业人口其他部分而言，他们的居住地与各州首府，甚至与墨西哥城之间的距离遥远，多年来使他们无法从墨西哥</w:t>
      </w:r>
      <w:r>
        <w:rPr>
          <w:rFonts w:ascii="SimSun" w:hAnsi="SimSun" w:hint="eastAsia"/>
        </w:rPr>
        <w:t>-</w:t>
      </w:r>
      <w:r>
        <w:rPr>
          <w:rFonts w:hint="eastAsia"/>
        </w:rPr>
        <w:t>加拿大农民临时就业项目中获益。</w:t>
      </w:r>
    </w:p>
    <w:p w:rsidR="00000000" w:rsidRDefault="00457650">
      <w:pPr>
        <w:widowControl/>
        <w:tabs>
          <w:tab w:val="left" w:pos="630"/>
        </w:tabs>
        <w:spacing w:after="240" w:line="360" w:lineRule="exact"/>
        <w:rPr>
          <w:rFonts w:hint="eastAsia"/>
        </w:rPr>
      </w:pPr>
      <w:r>
        <w:rPr>
          <w:rFonts w:hint="eastAsia"/>
        </w:rPr>
        <w:t>110.</w:t>
      </w:r>
      <w:r>
        <w:rPr>
          <w:rFonts w:hint="eastAsia"/>
        </w:rPr>
        <w:tab/>
      </w:r>
      <w:r>
        <w:rPr>
          <w:rFonts w:hint="eastAsia"/>
        </w:rPr>
        <w:t>为了解决这个问题，联邦政府一直在协调各部门和公共机构的行动和资源。在这个大背景下，劳工和社会福利部在其权限范围内，设计并制定了被称为“国内和国外劳动力流动财政支持系统”的财政支助计划。</w:t>
      </w:r>
    </w:p>
    <w:p w:rsidR="00000000" w:rsidRDefault="00457650">
      <w:pPr>
        <w:widowControl/>
        <w:tabs>
          <w:tab w:val="left" w:pos="630"/>
        </w:tabs>
        <w:spacing w:after="240" w:line="360" w:lineRule="exact"/>
        <w:rPr>
          <w:rFonts w:hint="eastAsia"/>
        </w:rPr>
      </w:pPr>
      <w:r>
        <w:rPr>
          <w:rFonts w:hint="eastAsia"/>
        </w:rPr>
        <w:t>111.</w:t>
      </w:r>
      <w:r>
        <w:rPr>
          <w:rFonts w:hint="eastAsia"/>
        </w:rPr>
        <w:tab/>
      </w:r>
      <w:r>
        <w:rPr>
          <w:rFonts w:hint="eastAsia"/>
        </w:rPr>
        <w:t>劳动力流动财政支持系统的总目标是建立一种机制，协助为农业零工提供培训，并帮助将他们从原籍运送到受雇的地区。这些措施能增加这些群体的就业机会，有利于他们向存在雇用机会的地区流动。</w:t>
      </w:r>
    </w:p>
    <w:p w:rsidR="00000000" w:rsidRDefault="00457650">
      <w:pPr>
        <w:widowControl/>
        <w:tabs>
          <w:tab w:val="left" w:pos="630"/>
        </w:tabs>
        <w:spacing w:after="240" w:line="360" w:lineRule="exact"/>
        <w:rPr>
          <w:rFonts w:hint="eastAsia"/>
        </w:rPr>
      </w:pPr>
      <w:r>
        <w:rPr>
          <w:rFonts w:hint="eastAsia"/>
        </w:rPr>
        <w:t>112.</w:t>
      </w:r>
      <w:r>
        <w:rPr>
          <w:rFonts w:hint="eastAsia"/>
        </w:rPr>
        <w:tab/>
      </w:r>
      <w:r>
        <w:rPr>
          <w:rFonts w:hint="eastAsia"/>
        </w:rPr>
        <w:t>对劳动力流动财政支持系统来说，它的作用是使居住在远离联邦区的农业人口能够顺利办理参加</w:t>
      </w:r>
      <w:r>
        <w:rPr>
          <w:rFonts w:hint="eastAsia"/>
        </w:rPr>
        <w:t>临时就业项目的手续，并从该计划中获益。</w:t>
      </w:r>
    </w:p>
    <w:p w:rsidR="00000000" w:rsidRDefault="00457650">
      <w:pPr>
        <w:widowControl/>
        <w:tabs>
          <w:tab w:val="left" w:pos="630"/>
        </w:tabs>
        <w:spacing w:after="240" w:line="360" w:lineRule="exact"/>
        <w:rPr>
          <w:rFonts w:hint="eastAsia"/>
        </w:rPr>
      </w:pPr>
      <w:r>
        <w:rPr>
          <w:rFonts w:hint="eastAsia"/>
        </w:rPr>
        <w:t>113.</w:t>
      </w:r>
      <w:r>
        <w:rPr>
          <w:rFonts w:hint="eastAsia"/>
        </w:rPr>
        <w:tab/>
      </w:r>
      <w:r>
        <w:rPr>
          <w:rFonts w:hint="eastAsia"/>
        </w:rPr>
        <w:t>支助措施基本上针对各州定期往返的农业零工，并且是合众国内任何地方在第一时间提出参加</w:t>
      </w:r>
      <w:r>
        <w:rPr>
          <w:rFonts w:hint="eastAsia"/>
        </w:rPr>
        <w:t>PTAT</w:t>
      </w:r>
      <w:r>
        <w:rPr>
          <w:rFonts w:hint="eastAsia"/>
        </w:rPr>
        <w:t>申请的人群。</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w:t>
      </w:r>
      <w:r>
        <w:rPr>
          <w:rFonts w:ascii="SimHei" w:eastAsia="SimHei" w:hint="eastAsia"/>
        </w:rPr>
        <w:t>l</w:t>
      </w:r>
      <w:r>
        <w:rPr>
          <w:rFonts w:ascii="SimHei" w:eastAsia="SimHei" w:hint="eastAsia"/>
        </w:rPr>
        <w:t>）求职者财政支持系统</w:t>
      </w:r>
    </w:p>
    <w:p w:rsidR="00000000" w:rsidRDefault="00457650">
      <w:pPr>
        <w:widowControl/>
        <w:tabs>
          <w:tab w:val="left" w:pos="630"/>
        </w:tabs>
        <w:spacing w:after="240" w:line="360" w:lineRule="exact"/>
        <w:rPr>
          <w:rFonts w:hint="eastAsia"/>
        </w:rPr>
      </w:pPr>
      <w:r>
        <w:rPr>
          <w:rFonts w:hint="eastAsia"/>
        </w:rPr>
        <w:t>114.</w:t>
      </w:r>
      <w:r>
        <w:rPr>
          <w:rFonts w:hint="eastAsia"/>
        </w:rPr>
        <w:tab/>
        <w:t>2002</w:t>
      </w:r>
      <w:r>
        <w:rPr>
          <w:rFonts w:hint="eastAsia"/>
        </w:rPr>
        <w:t>年，联邦政府通过劳工和社会福利部制定了一个实验性试行计划，规定建立一个被称为求职者财政支持系统的支助机制，其基本目标是为求职的失业人口提供帮助，由此减少该过程中盲目的失业群体的花费。很显然，这不是一项失业保险计划，并非抑制失业群体去寻找就业机会，而是希望为该群体提供一定的帮助，确保他们加入劳动力市场。</w:t>
      </w:r>
    </w:p>
    <w:p w:rsidR="00000000" w:rsidRDefault="00457650">
      <w:pPr>
        <w:widowControl/>
        <w:tabs>
          <w:tab w:val="left" w:pos="630"/>
        </w:tabs>
        <w:spacing w:after="240" w:line="360" w:lineRule="exact"/>
        <w:rPr>
          <w:rFonts w:hint="eastAsia"/>
        </w:rPr>
      </w:pPr>
      <w:r>
        <w:rPr>
          <w:rFonts w:hint="eastAsia"/>
        </w:rPr>
        <w:t>115.</w:t>
      </w:r>
      <w:r>
        <w:rPr>
          <w:rFonts w:hint="eastAsia"/>
        </w:rPr>
        <w:tab/>
      </w:r>
      <w:r>
        <w:rPr>
          <w:rFonts w:hint="eastAsia"/>
        </w:rPr>
        <w:t>失业者为了寻找工作，需要钱打电话进行联系，并奔波于各地之间，最重要的是要养家糊口。没有这些求职者找到就业机会的可能性就会很小。为此，求职者财政支持系统提供资助，承担求职者某些必要的基本花费。这项支助的提供根据对受益者的一些情况调查而定。</w:t>
      </w:r>
    </w:p>
    <w:p w:rsidR="00000000" w:rsidRDefault="00457650">
      <w:pPr>
        <w:widowControl/>
        <w:tabs>
          <w:tab w:val="left" w:pos="630"/>
        </w:tabs>
        <w:spacing w:after="240" w:line="360" w:lineRule="exact"/>
        <w:rPr>
          <w:rFonts w:hint="eastAsia"/>
        </w:rPr>
      </w:pPr>
      <w:r>
        <w:rPr>
          <w:rFonts w:hint="eastAsia"/>
        </w:rPr>
        <w:t>116.</w:t>
      </w:r>
      <w:r>
        <w:rPr>
          <w:rFonts w:hint="eastAsia"/>
        </w:rPr>
        <w:tab/>
      </w:r>
      <w:r>
        <w:rPr>
          <w:rFonts w:hint="eastAsia"/>
        </w:rPr>
        <w:t>求职者财政支持系统主要针对正规经济部门的失业者，即那些向社会保障计划缴费，但却在劳动力市场上失业，而且正在寻找工作的人。</w:t>
      </w:r>
    </w:p>
    <w:p w:rsidR="00000000" w:rsidRDefault="00457650">
      <w:pPr>
        <w:widowControl/>
        <w:tabs>
          <w:tab w:val="left" w:pos="630"/>
        </w:tabs>
        <w:spacing w:after="240" w:line="360" w:lineRule="exact"/>
        <w:rPr>
          <w:rFonts w:hint="eastAsia"/>
        </w:rPr>
      </w:pPr>
      <w:r>
        <w:rPr>
          <w:rFonts w:hint="eastAsia"/>
        </w:rPr>
        <w:t>117.</w:t>
      </w:r>
      <w:r>
        <w:rPr>
          <w:rFonts w:hint="eastAsia"/>
        </w:rPr>
        <w:tab/>
      </w:r>
      <w:r>
        <w:rPr>
          <w:rFonts w:hint="eastAsia"/>
        </w:rPr>
        <w:t>该系统是促进劳动力供求匹配的一种机制，它采取的不是一种消极的劳动力市场政策。支助措施的对象是正规经济部门的失业群体，对此的解释是，</w:t>
      </w:r>
      <w:r>
        <w:rPr>
          <w:rFonts w:hint="eastAsia"/>
        </w:rPr>
        <w:t>这部分群体在近期下岗，相对于那些已经很长时间没有进入劳动力市场的人们，更有可能找到新的工作。</w:t>
      </w:r>
    </w:p>
    <w:p w:rsidR="00000000" w:rsidRDefault="00457650">
      <w:pPr>
        <w:widowControl/>
        <w:tabs>
          <w:tab w:val="left" w:pos="630"/>
        </w:tabs>
        <w:spacing w:after="240" w:line="360" w:lineRule="exact"/>
        <w:rPr>
          <w:rFonts w:hint="eastAsia"/>
        </w:rPr>
      </w:pPr>
      <w:r>
        <w:rPr>
          <w:rFonts w:hint="eastAsia"/>
        </w:rPr>
        <w:t>118.</w:t>
      </w:r>
      <w:r>
        <w:rPr>
          <w:rFonts w:hint="eastAsia"/>
        </w:rPr>
        <w:tab/>
      </w:r>
      <w:r>
        <w:rPr>
          <w:rFonts w:hint="eastAsia"/>
        </w:rPr>
        <w:t>因此，求职者财政支持系统的目标群体形成了正规经济部门中处于明显失业状态，在国家就业机构办公室申请成为本计划受益者的参加经济活动人口的一部分。</w:t>
      </w:r>
    </w:p>
    <w:p w:rsidR="00000000" w:rsidRDefault="00457650">
      <w:pPr>
        <w:widowControl/>
        <w:tabs>
          <w:tab w:val="left" w:pos="630"/>
        </w:tabs>
        <w:spacing w:after="240" w:line="360" w:lineRule="exact"/>
        <w:rPr>
          <w:rFonts w:hint="eastAsia"/>
        </w:rPr>
      </w:pPr>
      <w:r>
        <w:rPr>
          <w:rFonts w:hint="eastAsia"/>
        </w:rPr>
        <w:t>119.</w:t>
      </w:r>
      <w:r>
        <w:rPr>
          <w:rFonts w:hint="eastAsia"/>
        </w:rPr>
        <w:tab/>
      </w:r>
      <w:r>
        <w:rPr>
          <w:rFonts w:hint="eastAsia"/>
        </w:rPr>
        <w:t>为了加入本计划，申请者必须是失业人员，已经在至少三个月的时间里积极地寻找工作，为社会保障计划缴费至少</w:t>
      </w:r>
      <w:r>
        <w:rPr>
          <w:rFonts w:hint="eastAsia"/>
        </w:rPr>
        <w:t>6</w:t>
      </w:r>
      <w:r>
        <w:rPr>
          <w:rFonts w:hint="eastAsia"/>
        </w:rPr>
        <w:t>个月，在经济上要负担别人，而且年满</w:t>
      </w:r>
      <w:r>
        <w:rPr>
          <w:rFonts w:hint="eastAsia"/>
        </w:rPr>
        <w:t>18</w:t>
      </w:r>
      <w:r>
        <w:rPr>
          <w:rFonts w:hint="eastAsia"/>
        </w:rPr>
        <w:t>岁或者更大。</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w:t>
      </w:r>
      <w:r>
        <w:rPr>
          <w:rFonts w:ascii="SimHei" w:eastAsia="SimHei" w:hint="eastAsia"/>
        </w:rPr>
        <w:t>m</w:t>
      </w:r>
      <w:r>
        <w:rPr>
          <w:rFonts w:ascii="SimHei" w:eastAsia="SimHei" w:hint="eastAsia"/>
        </w:rPr>
        <w:t>）劳工和社会福利部创造就业计划</w:t>
      </w:r>
    </w:p>
    <w:p w:rsidR="00000000" w:rsidRDefault="00457650">
      <w:pPr>
        <w:widowControl/>
        <w:tabs>
          <w:tab w:val="left" w:pos="630"/>
        </w:tabs>
        <w:spacing w:after="240" w:line="360" w:lineRule="exact"/>
        <w:rPr>
          <w:rFonts w:hint="eastAsia"/>
        </w:rPr>
      </w:pPr>
      <w:r>
        <w:rPr>
          <w:rFonts w:hint="eastAsia"/>
        </w:rPr>
        <w:t>120.</w:t>
      </w:r>
      <w:r>
        <w:rPr>
          <w:rFonts w:hint="eastAsia"/>
        </w:rPr>
        <w:tab/>
      </w:r>
      <w:r>
        <w:rPr>
          <w:rFonts w:hint="eastAsia"/>
        </w:rPr>
        <w:t>经济弱势群体主动支持启动、加强和保持能创造适当持久的工</w:t>
      </w:r>
      <w:r>
        <w:rPr>
          <w:rFonts w:hint="eastAsia"/>
        </w:rPr>
        <w:t>作的项目，对生产投资项目的支持有助于促进这类群体的活动。不过，这需要进一步实施一种战略，使社会各种群体都能利用自己的经验和方法促进创造就业机会、加强各项计划、推动微型地区的生产循环，并寻求各地区的经济融合。最后两个因素将能确保所启动项目的未来发展。</w:t>
      </w:r>
    </w:p>
    <w:p w:rsidR="00000000" w:rsidRDefault="00457650">
      <w:pPr>
        <w:widowControl/>
        <w:tabs>
          <w:tab w:val="left" w:pos="630"/>
        </w:tabs>
        <w:spacing w:after="240" w:line="360" w:lineRule="exact"/>
        <w:rPr>
          <w:rFonts w:hint="eastAsia"/>
        </w:rPr>
      </w:pPr>
      <w:r>
        <w:rPr>
          <w:rFonts w:hint="eastAsia"/>
        </w:rPr>
        <w:t>121.</w:t>
      </w:r>
      <w:r>
        <w:rPr>
          <w:rFonts w:hint="eastAsia"/>
        </w:rPr>
        <w:tab/>
      </w:r>
      <w:r>
        <w:rPr>
          <w:rFonts w:hint="eastAsia"/>
        </w:rPr>
        <w:t>该项目包括对技术、行政和管理问题等方面的预算储备、培训和持续的咨询服务，还包括其他机构的参与，这些机构制定微型地区发展建议，评估影响，整合人力和物资资源，以便为生产者和企业家在国内不同地区和微型地区的工作确定形式和统一方法，并准备寻求支助机会，以便更好</w:t>
      </w:r>
      <w:r>
        <w:rPr>
          <w:rFonts w:hint="eastAsia"/>
        </w:rPr>
        <w:t>地保持货物和服务供求双方能够进行接洽的微型地区或者某一地点。</w:t>
      </w:r>
    </w:p>
    <w:p w:rsidR="00000000" w:rsidRDefault="00457650">
      <w:pPr>
        <w:widowControl/>
        <w:tabs>
          <w:tab w:val="left" w:pos="630"/>
        </w:tabs>
        <w:spacing w:after="240" w:line="360" w:lineRule="exact"/>
        <w:rPr>
          <w:rFonts w:hint="eastAsia"/>
        </w:rPr>
      </w:pPr>
      <w:r>
        <w:rPr>
          <w:rFonts w:hint="eastAsia"/>
        </w:rPr>
        <w:t>122.</w:t>
      </w:r>
      <w:r>
        <w:rPr>
          <w:rFonts w:hint="eastAsia"/>
        </w:rPr>
        <w:tab/>
      </w:r>
      <w:r>
        <w:rPr>
          <w:rFonts w:hint="eastAsia"/>
        </w:rPr>
        <w:t>该计划可能会考虑愿意创造、巩固或者维持一个生产型项目的个人、或者个人群体的情况。每一个此类计划都将收到各参与者最高</w:t>
      </w:r>
      <w:r>
        <w:rPr>
          <w:rFonts w:hint="eastAsia"/>
        </w:rPr>
        <w:t>2.5</w:t>
      </w:r>
      <w:r>
        <w:rPr>
          <w:rFonts w:hint="eastAsia"/>
        </w:rPr>
        <w:t>万比索（大约</w:t>
      </w:r>
      <w:r>
        <w:rPr>
          <w:rFonts w:hint="eastAsia"/>
        </w:rPr>
        <w:t>2 500</w:t>
      </w:r>
      <w:r>
        <w:rPr>
          <w:rFonts w:hint="eastAsia"/>
        </w:rPr>
        <w:t>美元）的支助，最高</w:t>
      </w:r>
      <w:r>
        <w:rPr>
          <w:rFonts w:hint="eastAsia"/>
        </w:rPr>
        <w:t>12.5</w:t>
      </w:r>
      <w:r>
        <w:rPr>
          <w:rFonts w:hint="eastAsia"/>
        </w:rPr>
        <w:t>万比索（大约</w:t>
      </w:r>
      <w:r>
        <w:rPr>
          <w:rFonts w:hint="eastAsia"/>
        </w:rPr>
        <w:t>1.25</w:t>
      </w:r>
      <w:r>
        <w:rPr>
          <w:rFonts w:hint="eastAsia"/>
        </w:rPr>
        <w:t>万美元），参与者在</w:t>
      </w:r>
      <w:r>
        <w:rPr>
          <w:rFonts w:hint="eastAsia"/>
        </w:rPr>
        <w:t>5</w:t>
      </w:r>
      <w:r>
        <w:rPr>
          <w:rFonts w:hint="eastAsia"/>
        </w:rPr>
        <w:t>人以上。这笔钱只能用来购买工具、设备和机器，可以根据</w:t>
      </w:r>
      <w:r>
        <w:t>c</w:t>
      </w:r>
      <w:r>
        <w:rPr>
          <w:rFonts w:hint="eastAsia"/>
        </w:rPr>
        <w:t>ommodatum</w:t>
      </w:r>
      <w:r>
        <w:rPr>
          <w:rFonts w:hint="eastAsia"/>
        </w:rPr>
        <w:t>计划，通过签署一项送货和收款证明书交付给受益者，必须提及的是，采购的核查要和其他检查同时进行。</w:t>
      </w:r>
    </w:p>
    <w:p w:rsidR="00000000" w:rsidRDefault="00457650">
      <w:pPr>
        <w:widowControl/>
        <w:tabs>
          <w:tab w:val="left" w:pos="630"/>
        </w:tabs>
        <w:spacing w:after="240" w:line="360" w:lineRule="exact"/>
        <w:rPr>
          <w:rFonts w:hint="eastAsia"/>
        </w:rPr>
      </w:pPr>
      <w:r>
        <w:rPr>
          <w:rFonts w:hint="eastAsia"/>
        </w:rPr>
        <w:t>123.</w:t>
      </w:r>
      <w:r>
        <w:rPr>
          <w:rFonts w:hint="eastAsia"/>
        </w:rPr>
        <w:tab/>
      </w:r>
      <w:r>
        <w:rPr>
          <w:rFonts w:hint="eastAsia"/>
        </w:rPr>
        <w:t>此外，墨西哥政府准备更新劳动立法，以加强各种权利，鼓励</w:t>
      </w:r>
      <w:r>
        <w:rPr>
          <w:rFonts w:hint="eastAsia"/>
        </w:rPr>
        <w:t>就业，促进培训，提高生产力和竞争力，由此加强国家能力。社会公正是高效经济的一部分，两者能够同时在整个人文主义层面自行发挥作用。</w:t>
      </w:r>
    </w:p>
    <w:p w:rsidR="00000000" w:rsidRDefault="00457650">
      <w:pPr>
        <w:widowControl/>
        <w:tabs>
          <w:tab w:val="left" w:pos="630"/>
        </w:tabs>
        <w:spacing w:after="240" w:line="360" w:lineRule="exact"/>
        <w:rPr>
          <w:rFonts w:hint="eastAsia"/>
        </w:rPr>
      </w:pPr>
      <w:r>
        <w:rPr>
          <w:rFonts w:hint="eastAsia"/>
        </w:rPr>
        <w:t>124.</w:t>
      </w:r>
      <w:r>
        <w:rPr>
          <w:rFonts w:hint="eastAsia"/>
        </w:rPr>
        <w:tab/>
      </w:r>
      <w:r>
        <w:rPr>
          <w:rFonts w:hint="eastAsia"/>
        </w:rPr>
        <w:t>自</w:t>
      </w:r>
      <w:r>
        <w:rPr>
          <w:rFonts w:hint="eastAsia"/>
        </w:rPr>
        <w:t>1970</w:t>
      </w:r>
      <w:r>
        <w:rPr>
          <w:rFonts w:hint="eastAsia"/>
        </w:rPr>
        <w:t>年以来，《联邦劳动法》一直没有进行过实质性的修改，议定的现代化进程势在必行。为了这个目的，早在</w:t>
      </w:r>
      <w:r>
        <w:rPr>
          <w:rFonts w:hint="eastAsia"/>
        </w:rPr>
        <w:t>2001</w:t>
      </w:r>
      <w:r>
        <w:rPr>
          <w:rFonts w:hint="eastAsia"/>
        </w:rPr>
        <w:t>年</w:t>
      </w:r>
      <w:r>
        <w:rPr>
          <w:rFonts w:hint="eastAsia"/>
        </w:rPr>
        <w:t>4-5</w:t>
      </w:r>
      <w:r>
        <w:rPr>
          <w:rFonts w:hint="eastAsia"/>
        </w:rPr>
        <w:t>月间就已建立了一个中央决策委员会，成员包括来自不同生产部门，享受平等待遇的各类参与人士。已完成的工作包括对全国公众进行了咨询，以及各生产部门的代表于</w:t>
      </w:r>
      <w:r>
        <w:rPr>
          <w:rFonts w:hint="eastAsia"/>
        </w:rPr>
        <w:t>2002</w:t>
      </w:r>
      <w:r>
        <w:rPr>
          <w:rFonts w:hint="eastAsia"/>
        </w:rPr>
        <w:t>年</w:t>
      </w:r>
      <w:r>
        <w:rPr>
          <w:rFonts w:hint="eastAsia"/>
        </w:rPr>
        <w:t>11</w:t>
      </w:r>
      <w:r>
        <w:rPr>
          <w:rFonts w:hint="eastAsia"/>
        </w:rPr>
        <w:t>月</w:t>
      </w:r>
      <w:r>
        <w:rPr>
          <w:rFonts w:hint="eastAsia"/>
        </w:rPr>
        <w:t>26</w:t>
      </w:r>
      <w:r>
        <w:rPr>
          <w:rFonts w:hint="eastAsia"/>
        </w:rPr>
        <w:t>日提交了一份《劳动法》改革提案。</w:t>
      </w:r>
      <w:r>
        <w:rPr>
          <w:rFonts w:hint="eastAsia"/>
        </w:rPr>
        <w:t>2002</w:t>
      </w:r>
      <w:r>
        <w:rPr>
          <w:rFonts w:hint="eastAsia"/>
        </w:rPr>
        <w:t>年</w:t>
      </w:r>
      <w:r>
        <w:rPr>
          <w:rFonts w:hint="eastAsia"/>
        </w:rPr>
        <w:t>12</w:t>
      </w:r>
      <w:r>
        <w:rPr>
          <w:rFonts w:hint="eastAsia"/>
        </w:rPr>
        <w:t>月</w:t>
      </w:r>
      <w:r>
        <w:rPr>
          <w:rFonts w:hint="eastAsia"/>
        </w:rPr>
        <w:t>12</w:t>
      </w:r>
      <w:r>
        <w:rPr>
          <w:rFonts w:hint="eastAsia"/>
        </w:rPr>
        <w:t>日，国家行动党、革命制度党和墨西哥</w:t>
      </w:r>
      <w:r>
        <w:rPr>
          <w:rFonts w:hint="eastAsia"/>
        </w:rPr>
        <w:t>绿色生态党的立法者们对这一揽子协议给予了支持，并向国民议会提交了一项提案，这里必须要说明的是，该提案尚未得到必须的支持以获得批准。</w:t>
      </w:r>
    </w:p>
    <w:p w:rsidR="00000000" w:rsidRDefault="00457650">
      <w:pPr>
        <w:widowControl/>
        <w:tabs>
          <w:tab w:val="left" w:pos="630"/>
        </w:tabs>
        <w:spacing w:after="240" w:line="360" w:lineRule="exact"/>
        <w:rPr>
          <w:rFonts w:hint="eastAsia"/>
        </w:rPr>
      </w:pPr>
      <w:r>
        <w:rPr>
          <w:rFonts w:hint="eastAsia"/>
        </w:rPr>
        <w:t>125.</w:t>
      </w:r>
      <w:r>
        <w:rPr>
          <w:rFonts w:hint="eastAsia"/>
        </w:rPr>
        <w:tab/>
      </w:r>
      <w:r>
        <w:rPr>
          <w:rFonts w:hint="eastAsia"/>
        </w:rPr>
        <w:t>劳动立法改革提案包括以下六个方面：</w:t>
      </w:r>
    </w:p>
    <w:p w:rsidR="00000000" w:rsidRDefault="00457650" w:rsidP="00457650">
      <w:pPr>
        <w:widowControl/>
        <w:numPr>
          <w:ilvl w:val="0"/>
          <w:numId w:val="1896"/>
        </w:numPr>
        <w:tabs>
          <w:tab w:val="clear" w:pos="900"/>
          <w:tab w:val="left" w:pos="1050"/>
        </w:tabs>
        <w:spacing w:after="240" w:line="360" w:lineRule="exact"/>
        <w:ind w:leftChars="300" w:left="31680" w:hangingChars="200" w:firstLine="31680"/>
        <w:rPr>
          <w:rFonts w:hint="eastAsia"/>
        </w:rPr>
      </w:pPr>
      <w:r>
        <w:rPr>
          <w:rFonts w:hint="eastAsia"/>
        </w:rPr>
        <w:t>用“雇主”概念代替“老板”概念，这有助于建立一种更加平衡的关系。尊重个人尊严被视为劳动标准的一项基本目标，因为在任何情况下，都绝不允许以任何借口对工人实行歧视。</w:t>
      </w:r>
    </w:p>
    <w:p w:rsidR="00000000" w:rsidRDefault="00457650" w:rsidP="00457650">
      <w:pPr>
        <w:widowControl/>
        <w:numPr>
          <w:ilvl w:val="0"/>
          <w:numId w:val="1896"/>
        </w:numPr>
        <w:tabs>
          <w:tab w:val="clear" w:pos="900"/>
          <w:tab w:val="left" w:pos="1050"/>
        </w:tabs>
        <w:spacing w:after="240" w:line="360" w:lineRule="exact"/>
        <w:ind w:leftChars="300" w:left="31680" w:hangingChars="200" w:firstLine="31680"/>
        <w:rPr>
          <w:rFonts w:hint="eastAsia"/>
        </w:rPr>
      </w:pPr>
      <w:r>
        <w:rPr>
          <w:rFonts w:hint="eastAsia"/>
        </w:rPr>
        <w:t>此外，禁止性骚扰，并对这种行为进行惩罚。禁止雇主因为女雇员怀孕、婚姻状况改变或者要抚养子女而将其开除，或者直接或间接地强迫其辞职。</w:t>
      </w:r>
    </w:p>
    <w:p w:rsidR="00000000" w:rsidRDefault="00457650" w:rsidP="00457650">
      <w:pPr>
        <w:widowControl/>
        <w:numPr>
          <w:ilvl w:val="0"/>
          <w:numId w:val="1896"/>
        </w:numPr>
        <w:tabs>
          <w:tab w:val="clear" w:pos="900"/>
          <w:tab w:val="left" w:pos="1050"/>
        </w:tabs>
        <w:spacing w:after="240" w:line="360" w:lineRule="exact"/>
        <w:ind w:leftChars="300" w:left="31680" w:hangingChars="200" w:firstLine="31680"/>
        <w:rPr>
          <w:rFonts w:hint="eastAsia"/>
        </w:rPr>
      </w:pPr>
      <w:r>
        <w:rPr>
          <w:rFonts w:hint="eastAsia"/>
        </w:rPr>
        <w:t>关于改革的一章规定了新的合同形式：（</w:t>
      </w:r>
      <w:r>
        <w:rPr>
          <w:rFonts w:hint="eastAsia"/>
        </w:rPr>
        <w:t>a</w:t>
      </w:r>
      <w:r>
        <w:rPr>
          <w:rFonts w:hint="eastAsia"/>
        </w:rPr>
        <w:t>）</w:t>
      </w:r>
      <w:r>
        <w:rPr>
          <w:rFonts w:hint="eastAsia"/>
        </w:rPr>
        <w:t>最初的培训合同拟作为提供工作的一种选择，并打破因为缺乏工作经验而无法获得工作，由此更加缺乏工作经验这样一个恶性循环；（</w:t>
      </w:r>
      <w:r>
        <w:rPr>
          <w:rFonts w:hint="eastAsia"/>
        </w:rPr>
        <w:t>b</w:t>
      </w:r>
      <w:r>
        <w:rPr>
          <w:rFonts w:hint="eastAsia"/>
        </w:rPr>
        <w:t>）就业合同规定，试用期是另一项雇用制度，应该正式纳入立法改革。这些合同的有效期都不超过</w:t>
      </w:r>
      <w:r>
        <w:rPr>
          <w:rFonts w:hint="eastAsia"/>
        </w:rPr>
        <w:t>180</w:t>
      </w:r>
      <w:r>
        <w:rPr>
          <w:rFonts w:hint="eastAsia"/>
        </w:rPr>
        <w:t>天（例如，在管理一级），不得延期；不得适用于连续，或者不止一次还同时签有另一份合同的劳动者。</w:t>
      </w:r>
    </w:p>
    <w:p w:rsidR="00000000" w:rsidRDefault="00457650" w:rsidP="00457650">
      <w:pPr>
        <w:widowControl/>
        <w:numPr>
          <w:ilvl w:val="0"/>
          <w:numId w:val="1896"/>
        </w:numPr>
        <w:tabs>
          <w:tab w:val="clear" w:pos="900"/>
          <w:tab w:val="left" w:pos="1050"/>
        </w:tabs>
        <w:spacing w:after="240" w:line="360" w:lineRule="exact"/>
        <w:ind w:leftChars="300" w:left="31680" w:hangingChars="200" w:firstLine="31680"/>
        <w:rPr>
          <w:rFonts w:hint="eastAsia"/>
        </w:rPr>
      </w:pPr>
      <w:r>
        <w:rPr>
          <w:rFonts w:hint="eastAsia"/>
        </w:rPr>
        <w:t>国家教育系统要参与劳动者培训和技能提高工作，让国家教育系统的教师参与这项工作，能为更多的劳动者提供在职培训的机会。为雇主创造条件，使他们能够派送工人完成初级、中级和预备教育，或任何正式的学习课程。另外，教育</w:t>
      </w:r>
      <w:r>
        <w:rPr>
          <w:rFonts w:hint="eastAsia"/>
        </w:rPr>
        <w:t>的发展也为帮助雇主履行培训责任创造了条件。</w:t>
      </w:r>
    </w:p>
    <w:p w:rsidR="00000000" w:rsidRDefault="00457650" w:rsidP="00457650">
      <w:pPr>
        <w:widowControl/>
        <w:numPr>
          <w:ilvl w:val="0"/>
          <w:numId w:val="1896"/>
        </w:numPr>
        <w:tabs>
          <w:tab w:val="clear" w:pos="900"/>
          <w:tab w:val="left" w:pos="1050"/>
        </w:tabs>
        <w:spacing w:after="240" w:line="360" w:lineRule="exact"/>
        <w:ind w:leftChars="300" w:left="31680" w:hangingChars="200" w:firstLine="31680"/>
        <w:rPr>
          <w:rFonts w:hint="eastAsia"/>
        </w:rPr>
      </w:pPr>
      <w:r>
        <w:rPr>
          <w:rFonts w:hint="eastAsia"/>
        </w:rPr>
        <w:t>雇员少于</w:t>
      </w:r>
      <w:r>
        <w:rPr>
          <w:rFonts w:hint="eastAsia"/>
        </w:rPr>
        <w:t>21</w:t>
      </w:r>
      <w:r>
        <w:rPr>
          <w:rFonts w:hint="eastAsia"/>
        </w:rPr>
        <w:t>人的企业家不用履行建立联合委员会的义务，因为微型和小型企业无法有效地运行这种结构。培训的责任将保持不变，但是在一个人数少于</w:t>
      </w:r>
      <w:r>
        <w:rPr>
          <w:rFonts w:hint="eastAsia"/>
        </w:rPr>
        <w:t>21</w:t>
      </w:r>
      <w:r>
        <w:rPr>
          <w:rFonts w:hint="eastAsia"/>
        </w:rPr>
        <w:t>人的团体中，雇主和雇员之间的交流将会得以加强，通过这种方式可以进行教育和培训。企业家必须在劳工和社会福利部登记其培训计划和项目的要求也将被废止。</w:t>
      </w:r>
    </w:p>
    <w:p w:rsidR="00000000" w:rsidRDefault="00457650" w:rsidP="00457650">
      <w:pPr>
        <w:widowControl/>
        <w:numPr>
          <w:ilvl w:val="0"/>
          <w:numId w:val="1896"/>
        </w:numPr>
        <w:tabs>
          <w:tab w:val="clear" w:pos="900"/>
          <w:tab w:val="left" w:pos="1050"/>
        </w:tabs>
        <w:spacing w:after="240" w:line="360" w:lineRule="exact"/>
        <w:ind w:leftChars="300" w:left="31680" w:hangingChars="200" w:firstLine="31680"/>
        <w:rPr>
          <w:rFonts w:hint="eastAsia"/>
        </w:rPr>
      </w:pPr>
      <w:r>
        <w:rPr>
          <w:rFonts w:hint="eastAsia"/>
          <w:bCs/>
        </w:rPr>
        <w:t>允许</w:t>
      </w:r>
      <w:r>
        <w:rPr>
          <w:rFonts w:hint="eastAsia"/>
        </w:rPr>
        <w:t>积累更多的休息日，这或是因为在与工人的协议中对工作周做了规定，或是与工人达成了如下协议，即将休息日提前或者后移到周末之后的周一，或者之前的周五，以避免休息日与周末“连休”，给生产造</w:t>
      </w:r>
      <w:r>
        <w:rPr>
          <w:rFonts w:hint="eastAsia"/>
        </w:rPr>
        <w:t>成不利影响。</w:t>
      </w:r>
    </w:p>
    <w:p w:rsidR="00000000" w:rsidRDefault="00457650">
      <w:pPr>
        <w:widowControl/>
        <w:tabs>
          <w:tab w:val="left" w:pos="630"/>
        </w:tabs>
        <w:spacing w:after="240" w:line="360" w:lineRule="exact"/>
      </w:pPr>
      <w:r>
        <w:rPr>
          <w:rFonts w:hint="eastAsia"/>
        </w:rPr>
        <w:t>126.</w:t>
      </w:r>
      <w:r>
        <w:rPr>
          <w:rFonts w:hint="eastAsia"/>
        </w:rPr>
        <w:tab/>
      </w:r>
      <w:r>
        <w:rPr>
          <w:rFonts w:hint="eastAsia"/>
        </w:rPr>
        <w:t>在委员会举行的听证会上，三方代表的任务得以专业化，由工人和雇主指定的律师代表也要专业化。</w:t>
      </w:r>
    </w:p>
    <w:p w:rsidR="00000000" w:rsidRDefault="00457650">
      <w:pPr>
        <w:widowControl/>
        <w:tabs>
          <w:tab w:val="left" w:pos="630"/>
        </w:tabs>
        <w:spacing w:after="240" w:line="360" w:lineRule="exact"/>
      </w:pPr>
      <w:r>
        <w:rPr>
          <w:noProof/>
          <w:sz w:val="20"/>
        </w:rPr>
        <w:pict>
          <v:shape id="_x0000_s1163" type="#_x0000_t202" style="position:absolute;left:0;text-align:left;margin-left:.6pt;margin-top:8.8pt;width:479.4pt;height:317.2pt;z-index:12">
            <v:textbox>
              <w:txbxContent>
                <w:p w:rsidR="00000000" w:rsidRDefault="00457650">
                  <w:pPr>
                    <w:jc w:val="center"/>
                  </w:pPr>
                  <w:r>
                    <w:rPr>
                      <w:rFonts w:eastAsia="SimHei" w:hint="eastAsia"/>
                      <w:bCs/>
                    </w:rPr>
                    <w:t>在资源大幅减少的情况下，实现了</w:t>
                  </w:r>
                  <w:r>
                    <w:rPr>
                      <w:rFonts w:eastAsia="SimHei"/>
                      <w:bCs/>
                    </w:rPr>
                    <w:br/>
                  </w:r>
                  <w:r>
                    <w:rPr>
                      <w:rFonts w:eastAsia="SimHei" w:hint="eastAsia"/>
                      <w:bCs/>
                    </w:rPr>
                    <w:t>更多更好的就业匹配</w:t>
                  </w:r>
                </w:p>
                <w:bookmarkStart w:id="3" w:name="_MON_1204964191"/>
                <w:bookmarkEnd w:id="3"/>
                <w:p w:rsidR="00000000" w:rsidRDefault="00457650">
                  <w:r>
                    <w:object w:dxaOrig="9286" w:dyaOrig="4829">
                      <v:shape id="_x0000_i1036" type="#_x0000_t75" style="width:464.25pt;height:241.5pt" o:ole="">
                        <v:imagedata r:id="rId19" o:title=""/>
                      </v:shape>
                      <o:OLEObject Type="Embed" ProgID="Excel.Chart.8" ShapeID="_x0000_i1036" DrawAspect="Content" ObjectID="_1394895083" r:id="rId20">
                        <o:FieldCodes>\s</o:FieldCodes>
                      </o:OLEObject>
                    </w:object>
                  </w:r>
                  <w:r>
                    <w:t xml:space="preserve">       </w:t>
                  </w:r>
                  <w:r>
                    <w:rPr>
                      <w:rFonts w:hint="eastAsia"/>
                      <w:bCs/>
                      <w:sz w:val="18"/>
                    </w:rPr>
                    <w:t>在比前行政期资源减少</w:t>
                  </w:r>
                  <w:r>
                    <w:rPr>
                      <w:rFonts w:hint="eastAsia"/>
                      <w:bCs/>
                      <w:sz w:val="18"/>
                    </w:rPr>
                    <w:t>60%</w:t>
                  </w:r>
                  <w:r>
                    <w:rPr>
                      <w:rFonts w:hint="eastAsia"/>
                      <w:bCs/>
                      <w:sz w:val="18"/>
                    </w:rPr>
                    <w:t>的情况下，为失业人口做了更多的工作。</w:t>
                  </w:r>
                </w:p>
                <w:p w:rsidR="00000000" w:rsidRDefault="00457650" w:rsidP="00457650">
                  <w:pPr>
                    <w:ind w:firstLineChars="400" w:firstLine="31680"/>
                  </w:pPr>
                  <w:r>
                    <w:rPr>
                      <w:rFonts w:hint="eastAsia"/>
                      <w:bCs/>
                      <w:sz w:val="18"/>
                      <w:vertAlign w:val="superscript"/>
                    </w:rPr>
                    <w:t>﹡</w:t>
                  </w:r>
                  <w:r>
                    <w:rPr>
                      <w:bCs/>
                      <w:sz w:val="18"/>
                    </w:rPr>
                    <w:t xml:space="preserve">  </w:t>
                  </w:r>
                  <w:r>
                    <w:rPr>
                      <w:rFonts w:hint="eastAsia"/>
                      <w:bCs/>
                      <w:sz w:val="18"/>
                    </w:rPr>
                    <w:t>2003</w:t>
                  </w:r>
                  <w:r>
                    <w:rPr>
                      <w:rFonts w:hint="eastAsia"/>
                      <w:bCs/>
                      <w:sz w:val="18"/>
                    </w:rPr>
                    <w:t>年的初步数字</w:t>
                  </w:r>
                </w:p>
              </w:txbxContent>
            </v:textbox>
          </v:shape>
        </w:pict>
      </w: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widowControl/>
        <w:tabs>
          <w:tab w:val="left" w:pos="630"/>
        </w:tabs>
        <w:spacing w:after="240" w:line="360" w:lineRule="exact"/>
      </w:pPr>
    </w:p>
    <w:p w:rsidR="00000000" w:rsidRDefault="00457650">
      <w:pPr>
        <w:pStyle w:val="a3"/>
        <w:widowControl/>
        <w:tabs>
          <w:tab w:val="left" w:pos="630"/>
        </w:tabs>
        <w:adjustRightInd w:val="0"/>
        <w:spacing w:after="240" w:line="360" w:lineRule="exact"/>
        <w:textAlignment w:val="baseline"/>
        <w:rPr>
          <w:rFonts w:hint="eastAsia"/>
          <w:kern w:val="0"/>
          <w:szCs w:val="20"/>
        </w:rPr>
      </w:pPr>
      <w:r>
        <w:rPr>
          <w:rFonts w:eastAsia="KaiTi_GB2312" w:hint="eastAsia"/>
          <w:kern w:val="0"/>
          <w:szCs w:val="20"/>
        </w:rPr>
        <w:t>资料来源</w:t>
      </w:r>
      <w:r>
        <w:rPr>
          <w:rFonts w:hint="eastAsia"/>
          <w:kern w:val="0"/>
          <w:szCs w:val="20"/>
        </w:rPr>
        <w:t>：劳工和社会福利部。</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9</w:t>
      </w:r>
      <w:r>
        <w:rPr>
          <w:rFonts w:ascii="SimHei" w:eastAsia="SimHei" w:hint="eastAsia"/>
        </w:rPr>
        <w:t>段（</w:t>
      </w:r>
      <w:r>
        <w:rPr>
          <w:rFonts w:ascii="SimHei" w:eastAsia="SimHei" w:hint="eastAsia"/>
        </w:rPr>
        <w:t>d</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127.</w:t>
      </w:r>
      <w:r>
        <w:rPr>
          <w:rFonts w:hint="eastAsia"/>
        </w:rPr>
        <w:tab/>
      </w:r>
      <w:r>
        <w:rPr>
          <w:rFonts w:hint="eastAsia"/>
        </w:rPr>
        <w:t>在墨西哥，《墨西哥合众国政治宪法》和《联邦劳动法》中规定保证自由选择就业的权利，并确保工作条件不违反个人基本的政治和经济自由。</w:t>
      </w:r>
    </w:p>
    <w:p w:rsidR="00000000" w:rsidRDefault="00457650">
      <w:pPr>
        <w:widowControl/>
        <w:tabs>
          <w:tab w:val="left" w:pos="630"/>
        </w:tabs>
        <w:spacing w:after="240" w:line="360" w:lineRule="exact"/>
        <w:rPr>
          <w:rFonts w:hint="eastAsia"/>
        </w:rPr>
      </w:pPr>
      <w:r>
        <w:rPr>
          <w:rFonts w:hint="eastAsia"/>
        </w:rPr>
        <w:t>128.</w:t>
      </w:r>
      <w:r>
        <w:rPr>
          <w:rFonts w:hint="eastAsia"/>
        </w:rPr>
        <w:tab/>
      </w:r>
      <w:r>
        <w:rPr>
          <w:rFonts w:hint="eastAsia"/>
        </w:rPr>
        <w:t>关于就业选择的自由，《墨西哥合众国政治宪法》第</w:t>
      </w:r>
      <w:r>
        <w:rPr>
          <w:rFonts w:hint="eastAsia"/>
        </w:rPr>
        <w:t>5</w:t>
      </w:r>
      <w:r>
        <w:rPr>
          <w:rFonts w:hint="eastAsia"/>
        </w:rPr>
        <w:t>条这样规定：“不得阻拦任何人进行专业、工业或者商业方面的追求，或者禁止其对职位的选择，只要以上行为合法。”</w:t>
      </w:r>
      <w:r>
        <w:rPr>
          <w:rStyle w:val="FootnoteReference"/>
          <w:szCs w:val="21"/>
        </w:rPr>
        <w:footnoteReference w:id="6"/>
      </w:r>
    </w:p>
    <w:p w:rsidR="00000000" w:rsidRDefault="00457650">
      <w:pPr>
        <w:widowControl/>
        <w:tabs>
          <w:tab w:val="left" w:pos="630"/>
        </w:tabs>
        <w:spacing w:after="240" w:line="360" w:lineRule="exact"/>
        <w:rPr>
          <w:rFonts w:hint="eastAsia"/>
        </w:rPr>
      </w:pPr>
      <w:r>
        <w:rPr>
          <w:rFonts w:hint="eastAsia"/>
        </w:rPr>
        <w:t>129</w:t>
      </w:r>
      <w:r>
        <w:t>.</w:t>
      </w:r>
      <w:r>
        <w:tab/>
      </w:r>
      <w:r>
        <w:rPr>
          <w:rFonts w:hint="eastAsia"/>
        </w:rPr>
        <w:t>此外，《宪法》</w:t>
      </w:r>
      <w:r>
        <w:rPr>
          <w:rFonts w:hint="eastAsia"/>
        </w:rPr>
        <w:t>第</w:t>
      </w:r>
      <w:r>
        <w:rPr>
          <w:rFonts w:hint="eastAsia"/>
        </w:rPr>
        <w:t>123</w:t>
      </w:r>
      <w:r>
        <w:rPr>
          <w:rFonts w:hint="eastAsia"/>
        </w:rPr>
        <w:t>条规定，每个人都有权从事正当且对社会有用的工作。</w:t>
      </w:r>
    </w:p>
    <w:p w:rsidR="00000000" w:rsidRDefault="00457650">
      <w:pPr>
        <w:widowControl/>
        <w:tabs>
          <w:tab w:val="left" w:pos="630"/>
        </w:tabs>
        <w:spacing w:after="240" w:line="360" w:lineRule="exact"/>
        <w:rPr>
          <w:rFonts w:hint="eastAsia"/>
        </w:rPr>
      </w:pPr>
      <w:r>
        <w:rPr>
          <w:rFonts w:hint="eastAsia"/>
        </w:rPr>
        <w:t>130.</w:t>
      </w:r>
      <w:r>
        <w:rPr>
          <w:rFonts w:hint="eastAsia"/>
        </w:rPr>
        <w:tab/>
      </w:r>
      <w:r>
        <w:rPr>
          <w:rFonts w:hint="eastAsia"/>
        </w:rPr>
        <w:t>《联邦劳动法》第</w:t>
      </w:r>
      <w:r>
        <w:rPr>
          <w:rFonts w:hint="eastAsia"/>
        </w:rPr>
        <w:t>4</w:t>
      </w:r>
      <w:r>
        <w:rPr>
          <w:rFonts w:hint="eastAsia"/>
        </w:rPr>
        <w:t>条规定：“不得禁止任何人从事工作或者进行专业、工业或者商业追求，或者最求自己选择的职业，只要以上行为合法。”</w:t>
      </w:r>
      <w:r>
        <w:rPr>
          <w:rFonts w:hint="eastAsia"/>
        </w:rPr>
        <w:t xml:space="preserve"> </w:t>
      </w:r>
      <w:r>
        <w:rPr>
          <w:rFonts w:hint="eastAsia"/>
        </w:rPr>
        <w:t>在第三方或者社会权利受侵犯的时候，这些权利的行使只能由相应权力机关予以禁止（……）。</w:t>
      </w:r>
      <w:r>
        <w:rPr>
          <w:rStyle w:val="FootnoteReference"/>
          <w:szCs w:val="21"/>
        </w:rPr>
        <w:footnoteReference w:id="7"/>
      </w:r>
    </w:p>
    <w:p w:rsidR="00000000" w:rsidRDefault="00457650">
      <w:pPr>
        <w:widowControl/>
        <w:tabs>
          <w:tab w:val="left" w:pos="630"/>
        </w:tabs>
        <w:spacing w:after="240" w:line="360" w:lineRule="exact"/>
        <w:rPr>
          <w:rFonts w:hint="eastAsia"/>
        </w:rPr>
      </w:pPr>
      <w:r>
        <w:rPr>
          <w:rFonts w:hint="eastAsia"/>
        </w:rPr>
        <w:t>131.</w:t>
      </w:r>
      <w:r>
        <w:rPr>
          <w:rFonts w:hint="eastAsia"/>
        </w:rPr>
        <w:tab/>
      </w:r>
      <w:r>
        <w:rPr>
          <w:rFonts w:hint="eastAsia"/>
        </w:rPr>
        <w:t>同一法案第</w:t>
      </w:r>
      <w:r>
        <w:rPr>
          <w:rFonts w:hint="eastAsia"/>
        </w:rPr>
        <w:t>3</w:t>
      </w:r>
      <w:r>
        <w:rPr>
          <w:rFonts w:hint="eastAsia"/>
        </w:rPr>
        <w:t>条规定，“工作是一项权利和社会义务，并非商品交易，从事工作的人们必须尊重自由和尊严，而且必须在确保工人及其家人的生活、健康和正常经济水平的条件下进行工作。”</w:t>
      </w:r>
    </w:p>
    <w:p w:rsidR="00000000" w:rsidRDefault="00457650">
      <w:pPr>
        <w:keepNext/>
        <w:widowControl/>
        <w:spacing w:after="240" w:line="360" w:lineRule="exact"/>
        <w:rPr>
          <w:rFonts w:ascii="SimHei" w:eastAsia="SimHei" w:hint="eastAsia"/>
        </w:rPr>
      </w:pPr>
      <w:r>
        <w:rPr>
          <w:rFonts w:ascii="SimHei" w:eastAsia="SimHei" w:hint="eastAsia"/>
        </w:rPr>
        <w:t>第</w:t>
      </w:r>
      <w:r>
        <w:rPr>
          <w:rFonts w:ascii="SimHei" w:eastAsia="SimHei" w:hint="eastAsia"/>
        </w:rPr>
        <w:t>9</w:t>
      </w:r>
      <w:r>
        <w:rPr>
          <w:rFonts w:ascii="SimHei" w:eastAsia="SimHei" w:hint="eastAsia"/>
        </w:rPr>
        <w:t>段（</w:t>
      </w:r>
      <w:r>
        <w:rPr>
          <w:rFonts w:ascii="SimHei" w:eastAsia="SimHei" w:hint="eastAsia"/>
        </w:rPr>
        <w:t>e</w:t>
      </w:r>
      <w:r>
        <w:rPr>
          <w:rFonts w:ascii="SimHei" w:eastAsia="SimHei" w:hint="eastAsia"/>
        </w:rPr>
        <w:t>）</w:t>
      </w:r>
    </w:p>
    <w:p w:rsidR="00000000" w:rsidRDefault="00457650">
      <w:pPr>
        <w:keepNext/>
        <w:widowControl/>
        <w:tabs>
          <w:tab w:val="left" w:pos="630"/>
        </w:tabs>
        <w:spacing w:after="240" w:line="380" w:lineRule="exact"/>
        <w:rPr>
          <w:rFonts w:hint="eastAsia"/>
        </w:rPr>
      </w:pPr>
      <w:r>
        <w:rPr>
          <w:rFonts w:hint="eastAsia"/>
        </w:rPr>
        <w:t>132.</w:t>
      </w:r>
      <w:r>
        <w:rPr>
          <w:rFonts w:hint="eastAsia"/>
        </w:rPr>
        <w:tab/>
      </w:r>
      <w:r>
        <w:rPr>
          <w:rFonts w:hint="eastAsia"/>
        </w:rPr>
        <w:t>劳工和社会福利部的教育和</w:t>
      </w:r>
      <w:r>
        <w:rPr>
          <w:rFonts w:hint="eastAsia"/>
        </w:rPr>
        <w:t>培训活动在开发劳动者的潜力、技能、能力、价值观和态度方面发挥着必要的作用，它有责任制定关于国内男女劳动者培训的公共政策。为了在从根据上改变劳动关系，并且促进国家劳动文化，劳工和社会福利部应实施进行下列培训和技能培养计划：</w:t>
      </w:r>
    </w:p>
    <w:p w:rsidR="00000000" w:rsidRDefault="00457650" w:rsidP="00457650">
      <w:pPr>
        <w:widowControl/>
        <w:numPr>
          <w:ilvl w:val="0"/>
          <w:numId w:val="1896"/>
        </w:numPr>
        <w:tabs>
          <w:tab w:val="clear" w:pos="900"/>
          <w:tab w:val="left" w:pos="1050"/>
        </w:tabs>
        <w:spacing w:after="240" w:line="380" w:lineRule="exact"/>
        <w:ind w:leftChars="300" w:left="31680" w:hangingChars="200" w:firstLine="31680"/>
        <w:rPr>
          <w:rFonts w:hint="eastAsia"/>
        </w:rPr>
      </w:pPr>
      <w:r>
        <w:rPr>
          <w:rFonts w:eastAsia="SimHei" w:hint="eastAsia"/>
        </w:rPr>
        <w:t>交叉计划</w:t>
      </w:r>
      <w:r>
        <w:rPr>
          <w:rFonts w:hint="eastAsia"/>
        </w:rPr>
        <w:t>。这些注重人力发展的培训计划针对国内所有工人，不论其职业、教育水平和社会地位如何。它们的主要目的是促进有助于人性化劳动关系的文化交流，其途径就是设计和组织研讨会，以进一步确认：个人尊严，工作是一种改变现状的手段，以及各种组织是共享发展的社会团体所拥有。</w:t>
      </w:r>
    </w:p>
    <w:p w:rsidR="00000000" w:rsidRDefault="00457650" w:rsidP="00457650">
      <w:pPr>
        <w:widowControl/>
        <w:numPr>
          <w:ilvl w:val="0"/>
          <w:numId w:val="1896"/>
        </w:numPr>
        <w:tabs>
          <w:tab w:val="clear" w:pos="900"/>
          <w:tab w:val="left" w:pos="1050"/>
        </w:tabs>
        <w:spacing w:after="240" w:line="380" w:lineRule="exact"/>
        <w:ind w:leftChars="300" w:left="31680" w:hangingChars="200" w:firstLine="31680"/>
        <w:rPr>
          <w:rFonts w:hint="eastAsia"/>
        </w:rPr>
      </w:pPr>
      <w:r>
        <w:rPr>
          <w:rFonts w:eastAsia="SimHei" w:hint="eastAsia"/>
        </w:rPr>
        <w:t>多种技能计划</w:t>
      </w:r>
      <w:r>
        <w:rPr>
          <w:rFonts w:hint="eastAsia"/>
        </w:rPr>
        <w:t>。这种类型的计划</w:t>
      </w:r>
      <w:r>
        <w:rPr>
          <w:rFonts w:hint="eastAsia"/>
        </w:rPr>
        <w:t>针对国内需求最大，而其从业人员教育水平和收入都很低的职业。他们提供机会，在需求最大的行业中培训作为技能开发人员的工人；利用根据工作能力技术标准制定的手册，所涉人员在各自企业中教授其中内容。利用这一手段，各企业中涌现出一批能够为其自身工作场所培训程序中的调查、执行和评估提供支持的雇员，也能够帮助雇员根据能力标准提高自己的工作绩效，由此提高他们的生活质量，以及相关微型、小型或中型企业的竞争力。</w:t>
      </w:r>
    </w:p>
    <w:p w:rsidR="00000000" w:rsidRDefault="00457650" w:rsidP="00457650">
      <w:pPr>
        <w:widowControl/>
        <w:numPr>
          <w:ilvl w:val="0"/>
          <w:numId w:val="1896"/>
        </w:numPr>
        <w:tabs>
          <w:tab w:val="clear" w:pos="900"/>
          <w:tab w:val="left" w:pos="1050"/>
        </w:tabs>
        <w:spacing w:after="240" w:line="380" w:lineRule="exact"/>
        <w:ind w:leftChars="300" w:left="31680" w:hangingChars="200" w:firstLine="31680"/>
        <w:rPr>
          <w:rFonts w:hint="eastAsia"/>
        </w:rPr>
      </w:pPr>
      <w:r>
        <w:rPr>
          <w:rFonts w:eastAsia="SimHei" w:hint="eastAsia"/>
        </w:rPr>
        <w:t>培训支助计划</w:t>
      </w:r>
      <w:r>
        <w:rPr>
          <w:rFonts w:hint="eastAsia"/>
        </w:rPr>
        <w:t>。如上所述，该项目的对象为微型、小型和中型企业；为培训和技能提高项目提供财政支助。</w:t>
      </w:r>
    </w:p>
    <w:p w:rsidR="00000000" w:rsidRDefault="00457650">
      <w:pPr>
        <w:widowControl/>
        <w:tabs>
          <w:tab w:val="left" w:pos="630"/>
        </w:tabs>
        <w:spacing w:after="240" w:line="380" w:lineRule="exact"/>
        <w:rPr>
          <w:rFonts w:hint="eastAsia"/>
        </w:rPr>
      </w:pPr>
      <w:r>
        <w:rPr>
          <w:rFonts w:hint="eastAsia"/>
        </w:rPr>
        <w:t>133.</w:t>
      </w:r>
      <w:r>
        <w:rPr>
          <w:rFonts w:hint="eastAsia"/>
        </w:rPr>
        <w:tab/>
      </w:r>
      <w:r>
        <w:rPr>
          <w:rFonts w:hint="eastAsia"/>
        </w:rPr>
        <w:t>和其他解决具</w:t>
      </w:r>
      <w:r>
        <w:rPr>
          <w:rFonts w:hint="eastAsia"/>
        </w:rPr>
        <w:t>体问题的社会项目不同，培训支助计划旨在创建一个全新的公共和私人投资系统，应对总体市场中不断发生的各种变化。</w:t>
      </w:r>
    </w:p>
    <w:p w:rsidR="00000000" w:rsidRDefault="00457650">
      <w:pPr>
        <w:widowControl/>
        <w:tabs>
          <w:tab w:val="left" w:pos="630"/>
        </w:tabs>
        <w:spacing w:after="240" w:line="380" w:lineRule="exact"/>
        <w:rPr>
          <w:rFonts w:hint="eastAsia"/>
        </w:rPr>
      </w:pPr>
      <w:r>
        <w:rPr>
          <w:rFonts w:hint="eastAsia"/>
        </w:rPr>
        <w:t>134.</w:t>
      </w:r>
      <w:r>
        <w:rPr>
          <w:rFonts w:hint="eastAsia"/>
        </w:rPr>
        <w:tab/>
      </w:r>
      <w:r>
        <w:rPr>
          <w:rFonts w:hint="eastAsia"/>
        </w:rPr>
        <w:t>培训支助计划为培训项目的发展提供资金来源，根据来自生产部门的需求进行运作，它与联邦各州政府、雇主和雇员的生产部门与代表组织一起，根据劳工和社会福利部建立的标准衔接并落实培训项目，以提高受雇工人和雇主及其家人的生活标准，并且促进他们个人的全面发展。另外，该项目还旨在提高企业竞争力，促进其更好地融入市场和发展进程。</w:t>
      </w:r>
    </w:p>
    <w:p w:rsidR="00000000" w:rsidRDefault="00457650" w:rsidP="00457650">
      <w:pPr>
        <w:widowControl/>
        <w:numPr>
          <w:ilvl w:val="0"/>
          <w:numId w:val="1896"/>
        </w:numPr>
        <w:tabs>
          <w:tab w:val="clear" w:pos="900"/>
          <w:tab w:val="left" w:pos="1050"/>
        </w:tabs>
        <w:spacing w:after="240" w:line="380" w:lineRule="exact"/>
        <w:ind w:leftChars="300" w:left="31680" w:hangingChars="200" w:firstLine="31680"/>
        <w:rPr>
          <w:rFonts w:hint="eastAsia"/>
        </w:rPr>
      </w:pPr>
      <w:r>
        <w:rPr>
          <w:rFonts w:eastAsia="SimHei" w:hint="eastAsia"/>
        </w:rPr>
        <w:t>雇用支助计划</w:t>
      </w:r>
      <w:r>
        <w:rPr>
          <w:rFonts w:hint="eastAsia"/>
        </w:rPr>
        <w:t>。本项目的目标是根据相关个人和市场特点，为失业和未充分就业人员提供职</w:t>
      </w:r>
      <w:r>
        <w:rPr>
          <w:rFonts w:hint="eastAsia"/>
        </w:rPr>
        <w:t>业指导、技术支持和信息，并酌情提供培训或现金或实物援助，以提高他们的受雇能力，</w:t>
      </w:r>
    </w:p>
    <w:p w:rsidR="00000000" w:rsidRDefault="00457650">
      <w:pPr>
        <w:widowControl/>
        <w:tabs>
          <w:tab w:val="left" w:pos="630"/>
        </w:tabs>
        <w:spacing w:after="240" w:line="380" w:lineRule="exact"/>
        <w:rPr>
          <w:rFonts w:hint="eastAsia"/>
        </w:rPr>
      </w:pPr>
      <w:r>
        <w:rPr>
          <w:rFonts w:hint="eastAsia"/>
        </w:rPr>
        <w:t>135.</w:t>
      </w:r>
      <w:r>
        <w:rPr>
          <w:rFonts w:hint="eastAsia"/>
        </w:rPr>
        <w:tab/>
      </w:r>
      <w:r>
        <w:rPr>
          <w:rFonts w:hint="eastAsia"/>
        </w:rPr>
        <w:t>上述计划及其他方法体现了对工作的新看法和关于生产力、质量和竞争力的新概念。</w:t>
      </w:r>
      <w:r>
        <w:rPr>
          <w:rFonts w:hint="eastAsia"/>
        </w:rPr>
        <w:t>1999</w:t>
      </w:r>
      <w:r>
        <w:rPr>
          <w:rFonts w:hint="eastAsia"/>
        </w:rPr>
        <w:t>年和</w:t>
      </w:r>
      <w:r>
        <w:rPr>
          <w:rFonts w:hint="eastAsia"/>
        </w:rPr>
        <w:t>2001</w:t>
      </w:r>
      <w:r>
        <w:rPr>
          <w:rFonts w:hint="eastAsia"/>
        </w:rPr>
        <w:t>年培训和就业的统计数字见附件（附件三）。</w:t>
      </w:r>
    </w:p>
    <w:p w:rsidR="00000000" w:rsidRDefault="00457650">
      <w:pPr>
        <w:keepNext/>
        <w:widowControl/>
        <w:tabs>
          <w:tab w:val="left" w:pos="630"/>
        </w:tabs>
        <w:spacing w:after="240" w:line="380" w:lineRule="exact"/>
        <w:rPr>
          <w:rFonts w:ascii="SimHei" w:eastAsia="SimHei" w:hint="eastAsia"/>
        </w:rPr>
      </w:pPr>
      <w:r>
        <w:rPr>
          <w:rFonts w:ascii="SimHei" w:eastAsia="SimHei" w:hint="eastAsia"/>
        </w:rPr>
        <w:t>第</w:t>
      </w:r>
      <w:r>
        <w:rPr>
          <w:rFonts w:ascii="SimHei" w:eastAsia="SimHei" w:hint="eastAsia"/>
        </w:rPr>
        <w:t>9</w:t>
      </w:r>
      <w:r>
        <w:rPr>
          <w:rFonts w:ascii="SimHei" w:eastAsia="SimHei" w:hint="eastAsia"/>
        </w:rPr>
        <w:t>段（</w:t>
      </w:r>
      <w:r>
        <w:rPr>
          <w:rFonts w:ascii="SimHei" w:eastAsia="SimHei" w:hint="eastAsia"/>
        </w:rPr>
        <w:t>f</w:t>
      </w:r>
      <w:r>
        <w:rPr>
          <w:rFonts w:ascii="SimHei" w:eastAsia="SimHei" w:hint="eastAsia"/>
        </w:rPr>
        <w:t>）</w:t>
      </w:r>
    </w:p>
    <w:p w:rsidR="00000000" w:rsidRDefault="00457650">
      <w:pPr>
        <w:keepNext/>
        <w:widowControl/>
        <w:tabs>
          <w:tab w:val="left" w:pos="630"/>
        </w:tabs>
        <w:spacing w:after="240" w:line="380" w:lineRule="exact"/>
        <w:rPr>
          <w:rFonts w:hint="eastAsia"/>
        </w:rPr>
      </w:pPr>
      <w:r>
        <w:rPr>
          <w:rFonts w:hint="eastAsia"/>
        </w:rPr>
        <w:t>136.</w:t>
      </w:r>
      <w:r>
        <w:rPr>
          <w:rFonts w:hint="eastAsia"/>
        </w:rPr>
        <w:tab/>
      </w:r>
      <w:r>
        <w:rPr>
          <w:rFonts w:hint="eastAsia"/>
        </w:rPr>
        <w:t>在过去的</w:t>
      </w:r>
      <w:r>
        <w:rPr>
          <w:rFonts w:hint="eastAsia"/>
        </w:rPr>
        <w:t>30</w:t>
      </w:r>
      <w:r>
        <w:rPr>
          <w:rFonts w:hint="eastAsia"/>
        </w:rPr>
        <w:t>年里，墨西哥经济饱受了经济危机的影响，而且</w:t>
      </w:r>
      <w:r>
        <w:rPr>
          <w:rFonts w:hint="eastAsia"/>
        </w:rPr>
        <w:t>1940-1980</w:t>
      </w:r>
      <w:r>
        <w:rPr>
          <w:rFonts w:hint="eastAsia"/>
        </w:rPr>
        <w:t>年代曾盛极一时的经济增长模式也已退化。另外，全球经济环境的加速开放和一体化进程促进了必要的变革，要求调整国家生产设施和劳动力市场，以适应新的国际环境。</w:t>
      </w:r>
    </w:p>
    <w:p w:rsidR="00000000" w:rsidRDefault="00457650">
      <w:pPr>
        <w:widowControl/>
        <w:tabs>
          <w:tab w:val="left" w:pos="630"/>
        </w:tabs>
        <w:spacing w:after="240" w:line="360" w:lineRule="exact"/>
        <w:rPr>
          <w:rFonts w:hint="eastAsia"/>
        </w:rPr>
      </w:pPr>
      <w:r>
        <w:rPr>
          <w:rFonts w:hint="eastAsia"/>
        </w:rPr>
        <w:t>137.</w:t>
      </w:r>
      <w:r>
        <w:rPr>
          <w:rFonts w:hint="eastAsia"/>
        </w:rPr>
        <w:tab/>
      </w:r>
      <w:r>
        <w:rPr>
          <w:rFonts w:hint="eastAsia"/>
        </w:rPr>
        <w:t>还应该指出，世界经济环境自</w:t>
      </w:r>
      <w:r>
        <w:rPr>
          <w:rFonts w:hint="eastAsia"/>
        </w:rPr>
        <w:t>2</w:t>
      </w:r>
      <w:r>
        <w:rPr>
          <w:rFonts w:hint="eastAsia"/>
        </w:rPr>
        <w:t>001</w:t>
      </w:r>
      <w:r>
        <w:rPr>
          <w:rFonts w:hint="eastAsia"/>
        </w:rPr>
        <w:t>年以来一直不好，尽管各国和各地区级都曾做出努力，以刺激经济的复苏。尤其是在一个十年期实现稳定增长之后，最近四年美国经济的复杂情势牵制了墨西哥经济的持续性恢复。除了这些困难外，不同的政治活动家在必要的改革问题上缺乏内部共识，这也延误了就业资源的恢复和产生。</w:t>
      </w:r>
    </w:p>
    <w:p w:rsidR="00000000" w:rsidRDefault="00457650">
      <w:pPr>
        <w:widowControl/>
        <w:tabs>
          <w:tab w:val="left" w:pos="630"/>
        </w:tabs>
        <w:spacing w:after="240" w:line="360" w:lineRule="exact"/>
        <w:rPr>
          <w:rFonts w:hint="eastAsia"/>
        </w:rPr>
      </w:pPr>
      <w:r>
        <w:rPr>
          <w:rFonts w:hint="eastAsia"/>
        </w:rPr>
        <w:t>138.</w:t>
      </w:r>
      <w:r>
        <w:rPr>
          <w:rFonts w:hint="eastAsia"/>
        </w:rPr>
        <w:tab/>
      </w:r>
      <w:r>
        <w:rPr>
          <w:rFonts w:hint="eastAsia"/>
        </w:rPr>
        <w:t>尽管有这些困难，在本届政府执政期间经济一直在逐年增长，据估计到</w:t>
      </w:r>
      <w:r>
        <w:rPr>
          <w:rFonts w:hint="eastAsia"/>
        </w:rPr>
        <w:t>2004</w:t>
      </w:r>
      <w:r>
        <w:rPr>
          <w:rFonts w:hint="eastAsia"/>
        </w:rPr>
        <w:t>年底将会实现国内生产总值</w:t>
      </w:r>
      <w:r>
        <w:rPr>
          <w:rFonts w:hint="eastAsia"/>
        </w:rPr>
        <w:t>4%</w:t>
      </w:r>
      <w:r>
        <w:rPr>
          <w:rFonts w:hint="eastAsia"/>
        </w:rPr>
        <w:t>的增长率。</w:t>
      </w:r>
    </w:p>
    <w:p w:rsidR="00000000" w:rsidRDefault="00457650">
      <w:pPr>
        <w:widowControl/>
        <w:tabs>
          <w:tab w:val="left" w:pos="630"/>
        </w:tabs>
        <w:spacing w:after="240" w:line="360" w:lineRule="exact"/>
        <w:rPr>
          <w:rFonts w:hint="eastAsia"/>
        </w:rPr>
      </w:pPr>
      <w:r>
        <w:rPr>
          <w:rFonts w:hint="eastAsia"/>
        </w:rPr>
        <w:t>139.</w:t>
      </w:r>
      <w:r>
        <w:rPr>
          <w:rFonts w:hint="eastAsia"/>
        </w:rPr>
        <w:tab/>
      </w:r>
      <w:r>
        <w:rPr>
          <w:rFonts w:hint="eastAsia"/>
        </w:rPr>
        <w:t>政府正在劳动力市场推行积极的多样化政策措施，并扩大到所有群体。这些措施大力促进建立一种更加活跃、信息更加灵通的劳动市场。</w:t>
      </w:r>
      <w:r>
        <w:rPr>
          <w:rFonts w:hint="eastAsia"/>
        </w:rPr>
        <w:t>第</w:t>
      </w:r>
      <w:r>
        <w:rPr>
          <w:rFonts w:hint="eastAsia"/>
        </w:rPr>
        <w:t>2</w:t>
      </w:r>
      <w:r>
        <w:rPr>
          <w:rFonts w:hint="eastAsia"/>
        </w:rPr>
        <w:t>节（</w:t>
      </w:r>
      <w:r>
        <w:t>b</w:t>
      </w:r>
      <w:r>
        <w:rPr>
          <w:rFonts w:hint="eastAsia"/>
        </w:rPr>
        <w:t>）对这些措施作了说明。</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10</w:t>
      </w:r>
      <w:r>
        <w:rPr>
          <w:rFonts w:ascii="SimHei" w:eastAsia="SimHei" w:hint="eastAsia"/>
        </w:rPr>
        <w:t>段（</w:t>
      </w:r>
      <w:r>
        <w:rPr>
          <w:rFonts w:ascii="SimHei" w:eastAsia="SimHei" w:hint="eastAsia"/>
        </w:rPr>
        <w:t>a</w:t>
      </w:r>
      <w:r>
        <w:rPr>
          <w:rFonts w:ascii="SimHei" w:eastAsia="SimHei" w:hint="eastAsia"/>
        </w:rPr>
        <w:t>）</w:t>
      </w:r>
    </w:p>
    <w:p w:rsidR="00000000" w:rsidRDefault="00457650">
      <w:pPr>
        <w:pStyle w:val="Date"/>
        <w:widowControl/>
        <w:tabs>
          <w:tab w:val="left" w:pos="630"/>
        </w:tabs>
        <w:spacing w:after="240" w:line="360" w:lineRule="exact"/>
        <w:rPr>
          <w:rFonts w:eastAsia="SimHei" w:hint="eastAsia"/>
        </w:rPr>
      </w:pPr>
      <w:r>
        <w:rPr>
          <w:rFonts w:eastAsia="SimHei" w:hint="eastAsia"/>
        </w:rPr>
        <w:tab/>
      </w:r>
      <w:r>
        <w:rPr>
          <w:rFonts w:eastAsia="SimHei" w:hint="eastAsia"/>
        </w:rPr>
        <w:t>法律框架</w:t>
      </w:r>
    </w:p>
    <w:p w:rsidR="00000000" w:rsidRDefault="00457650">
      <w:pPr>
        <w:pStyle w:val="50"/>
        <w:widowControl/>
        <w:tabs>
          <w:tab w:val="left" w:pos="630"/>
        </w:tabs>
        <w:adjustRightInd w:val="0"/>
        <w:spacing w:beforeLines="0" w:before="0" w:afterLines="0" w:after="240" w:line="360" w:lineRule="exact"/>
        <w:textAlignment w:val="baseline"/>
        <w:rPr>
          <w:rFonts w:eastAsia="KaiTi_GB2312" w:hint="eastAsia"/>
          <w:bCs/>
          <w:iCs/>
          <w:kern w:val="0"/>
          <w:szCs w:val="20"/>
        </w:rPr>
      </w:pPr>
      <w:r>
        <w:rPr>
          <w:rFonts w:eastAsia="KaiTi_GB2312" w:hint="eastAsia"/>
          <w:bCs/>
          <w:iCs/>
          <w:kern w:val="0"/>
          <w:szCs w:val="20"/>
        </w:rPr>
        <w:tab/>
      </w:r>
      <w:r>
        <w:rPr>
          <w:rFonts w:eastAsia="KaiTi_GB2312" w:hint="eastAsia"/>
          <w:bCs/>
          <w:iCs/>
          <w:kern w:val="0"/>
          <w:szCs w:val="20"/>
        </w:rPr>
        <w:t>宪法</w:t>
      </w:r>
    </w:p>
    <w:p w:rsidR="00000000" w:rsidRDefault="00457650">
      <w:pPr>
        <w:widowControl/>
        <w:tabs>
          <w:tab w:val="left" w:pos="630"/>
        </w:tabs>
        <w:spacing w:after="240" w:line="360" w:lineRule="exact"/>
        <w:rPr>
          <w:rFonts w:hint="eastAsia"/>
        </w:rPr>
      </w:pPr>
      <w:r>
        <w:rPr>
          <w:rFonts w:hint="eastAsia"/>
        </w:rPr>
        <w:t>140.</w:t>
      </w:r>
      <w:r>
        <w:rPr>
          <w:rFonts w:hint="eastAsia"/>
        </w:rPr>
        <w:tab/>
      </w:r>
      <w:r>
        <w:rPr>
          <w:rFonts w:hint="eastAsia"/>
        </w:rPr>
        <w:t>在墨西哥，禁止任何基于以下原因的歧视：</w:t>
      </w:r>
    </w:p>
    <w:p w:rsidR="00000000" w:rsidRDefault="00457650">
      <w:pPr>
        <w:widowControl/>
        <w:tabs>
          <w:tab w:val="left" w:pos="630"/>
        </w:tabs>
        <w:spacing w:after="240" w:line="360" w:lineRule="exact"/>
        <w:rPr>
          <w:rFonts w:hint="eastAsia"/>
        </w:rPr>
      </w:pPr>
      <w:r>
        <w:rPr>
          <w:rFonts w:hint="eastAsia"/>
        </w:rPr>
        <w:tab/>
      </w:r>
      <w:r>
        <w:rPr>
          <w:rFonts w:hint="eastAsia"/>
        </w:rPr>
        <w:t>种族或国籍；</w:t>
      </w:r>
    </w:p>
    <w:p w:rsidR="00000000" w:rsidRDefault="00457650">
      <w:pPr>
        <w:widowControl/>
        <w:tabs>
          <w:tab w:val="left" w:pos="630"/>
        </w:tabs>
        <w:spacing w:after="240" w:line="360" w:lineRule="exact"/>
        <w:rPr>
          <w:rFonts w:hint="eastAsia"/>
        </w:rPr>
      </w:pPr>
      <w:r>
        <w:rPr>
          <w:rFonts w:hint="eastAsia"/>
        </w:rPr>
        <w:tab/>
      </w:r>
      <w:r>
        <w:rPr>
          <w:rFonts w:hint="eastAsia"/>
        </w:rPr>
        <w:t>性别；</w:t>
      </w:r>
    </w:p>
    <w:p w:rsidR="00000000" w:rsidRDefault="00457650">
      <w:pPr>
        <w:widowControl/>
        <w:tabs>
          <w:tab w:val="left" w:pos="630"/>
        </w:tabs>
        <w:spacing w:after="240" w:line="360" w:lineRule="exact"/>
        <w:rPr>
          <w:rFonts w:hint="eastAsia"/>
        </w:rPr>
      </w:pPr>
      <w:r>
        <w:rPr>
          <w:rFonts w:hint="eastAsia"/>
        </w:rPr>
        <w:tab/>
      </w:r>
      <w:r>
        <w:rPr>
          <w:rFonts w:hint="eastAsia"/>
        </w:rPr>
        <w:t>年龄；</w:t>
      </w:r>
    </w:p>
    <w:p w:rsidR="00000000" w:rsidRDefault="00457650">
      <w:pPr>
        <w:widowControl/>
        <w:tabs>
          <w:tab w:val="left" w:pos="630"/>
          <w:tab w:val="left" w:pos="840"/>
          <w:tab w:val="left" w:pos="1050"/>
          <w:tab w:val="left" w:pos="1260"/>
          <w:tab w:val="left" w:pos="1470"/>
          <w:tab w:val="left" w:pos="1680"/>
          <w:tab w:val="left" w:pos="2958"/>
        </w:tabs>
        <w:spacing w:after="240" w:line="360" w:lineRule="exact"/>
        <w:rPr>
          <w:rFonts w:hint="eastAsia"/>
        </w:rPr>
      </w:pPr>
      <w:r>
        <w:rPr>
          <w:rFonts w:hint="eastAsia"/>
        </w:rPr>
        <w:tab/>
      </w:r>
      <w:r>
        <w:rPr>
          <w:rFonts w:hint="eastAsia"/>
        </w:rPr>
        <w:t>能力差别；</w:t>
      </w:r>
      <w:r>
        <w:tab/>
      </w:r>
    </w:p>
    <w:p w:rsidR="00000000" w:rsidRDefault="00457650">
      <w:pPr>
        <w:widowControl/>
        <w:tabs>
          <w:tab w:val="left" w:pos="630"/>
        </w:tabs>
        <w:spacing w:after="240" w:line="360" w:lineRule="exact"/>
        <w:rPr>
          <w:rFonts w:hint="eastAsia"/>
        </w:rPr>
      </w:pPr>
      <w:r>
        <w:rPr>
          <w:rFonts w:hint="eastAsia"/>
        </w:rPr>
        <w:tab/>
      </w:r>
      <w:r>
        <w:rPr>
          <w:rFonts w:hint="eastAsia"/>
        </w:rPr>
        <w:t>社会条件；</w:t>
      </w:r>
    </w:p>
    <w:p w:rsidR="00000000" w:rsidRDefault="00457650">
      <w:pPr>
        <w:widowControl/>
        <w:tabs>
          <w:tab w:val="left" w:pos="630"/>
        </w:tabs>
        <w:spacing w:after="240" w:line="360" w:lineRule="exact"/>
        <w:rPr>
          <w:rFonts w:hint="eastAsia"/>
        </w:rPr>
      </w:pPr>
      <w:r>
        <w:rPr>
          <w:rFonts w:hint="eastAsia"/>
        </w:rPr>
        <w:tab/>
      </w:r>
      <w:r>
        <w:rPr>
          <w:rFonts w:hint="eastAsia"/>
        </w:rPr>
        <w:t>宗教，观念；</w:t>
      </w:r>
    </w:p>
    <w:p w:rsidR="00000000" w:rsidRDefault="00457650">
      <w:pPr>
        <w:widowControl/>
        <w:tabs>
          <w:tab w:val="left" w:pos="630"/>
        </w:tabs>
        <w:spacing w:after="240" w:line="360" w:lineRule="exact"/>
        <w:rPr>
          <w:rFonts w:hint="eastAsia"/>
        </w:rPr>
      </w:pPr>
      <w:r>
        <w:rPr>
          <w:rFonts w:hint="eastAsia"/>
        </w:rPr>
        <w:tab/>
      </w:r>
      <w:r>
        <w:rPr>
          <w:rFonts w:hint="eastAsia"/>
        </w:rPr>
        <w:t>性取向；</w:t>
      </w:r>
    </w:p>
    <w:p w:rsidR="00000000" w:rsidRDefault="00457650">
      <w:pPr>
        <w:widowControl/>
        <w:tabs>
          <w:tab w:val="left" w:pos="630"/>
        </w:tabs>
        <w:spacing w:after="240" w:line="360" w:lineRule="exact"/>
        <w:rPr>
          <w:rFonts w:hint="eastAsia"/>
        </w:rPr>
      </w:pPr>
      <w:r>
        <w:rPr>
          <w:rFonts w:hint="eastAsia"/>
        </w:rPr>
        <w:tab/>
      </w:r>
      <w:r>
        <w:rPr>
          <w:rFonts w:hint="eastAsia"/>
        </w:rPr>
        <w:t>公民身份，或者任何其他损害人身尊严和以取消或限制个人权利和自由为目的的歧视。</w:t>
      </w:r>
    </w:p>
    <w:p w:rsidR="00000000" w:rsidRDefault="00457650">
      <w:pPr>
        <w:widowControl/>
        <w:tabs>
          <w:tab w:val="left" w:pos="630"/>
        </w:tabs>
        <w:spacing w:after="240" w:line="360" w:lineRule="exact"/>
        <w:rPr>
          <w:rFonts w:hint="eastAsia"/>
          <w:vertAlign w:val="superscript"/>
        </w:rPr>
      </w:pPr>
      <w:r>
        <w:rPr>
          <w:rFonts w:hint="eastAsia"/>
        </w:rPr>
        <w:t>141.</w:t>
      </w:r>
      <w:r>
        <w:rPr>
          <w:rFonts w:hint="eastAsia"/>
        </w:rPr>
        <w:tab/>
      </w:r>
      <w:r>
        <w:rPr>
          <w:rFonts w:hint="eastAsia"/>
        </w:rPr>
        <w:t>《墨西哥合众国宪法》第</w:t>
      </w:r>
      <w:r>
        <w:rPr>
          <w:rFonts w:hint="eastAsia"/>
        </w:rPr>
        <w:t>1</w:t>
      </w:r>
      <w:r>
        <w:rPr>
          <w:rFonts w:hint="eastAsia"/>
        </w:rPr>
        <w:t>条第</w:t>
      </w:r>
      <w:r>
        <w:rPr>
          <w:rFonts w:hint="eastAsia"/>
        </w:rPr>
        <w:t>3</w:t>
      </w:r>
      <w:r>
        <w:rPr>
          <w:rFonts w:hint="eastAsia"/>
        </w:rPr>
        <w:t>款和《预防和消除歧视联邦法案》（根据第</w:t>
      </w:r>
      <w:r>
        <w:rPr>
          <w:rFonts w:hint="eastAsia"/>
        </w:rPr>
        <w:t>2</w:t>
      </w:r>
      <w:r>
        <w:rPr>
          <w:rFonts w:hint="eastAsia"/>
        </w:rPr>
        <w:t>条回答问题时已经对此进行了报告）规定了这一禁令，以此保证平等。</w:t>
      </w:r>
      <w:r>
        <w:rPr>
          <w:rStyle w:val="FootnoteReference"/>
          <w:szCs w:val="21"/>
        </w:rPr>
        <w:footnoteReference w:id="8"/>
      </w:r>
    </w:p>
    <w:p w:rsidR="00000000" w:rsidRDefault="00457650">
      <w:pPr>
        <w:widowControl/>
        <w:tabs>
          <w:tab w:val="left" w:pos="630"/>
        </w:tabs>
        <w:spacing w:after="240" w:line="360" w:lineRule="exact"/>
        <w:rPr>
          <w:rFonts w:hint="eastAsia"/>
        </w:rPr>
      </w:pPr>
      <w:r>
        <w:rPr>
          <w:rFonts w:hint="eastAsia"/>
        </w:rPr>
        <w:t>142.</w:t>
      </w:r>
      <w:r>
        <w:rPr>
          <w:rFonts w:hint="eastAsia"/>
        </w:rPr>
        <w:tab/>
      </w:r>
      <w:r>
        <w:rPr>
          <w:rFonts w:hint="eastAsia"/>
        </w:rPr>
        <w:t>同样，《联邦劳动法》第</w:t>
      </w:r>
      <w:r>
        <w:rPr>
          <w:rFonts w:hint="eastAsia"/>
        </w:rPr>
        <w:t>3</w:t>
      </w:r>
      <w:r>
        <w:rPr>
          <w:rFonts w:hint="eastAsia"/>
        </w:rPr>
        <w:t>条规定不得以种族、性别、宗教信仰、政治</w:t>
      </w:r>
      <w:r>
        <w:rPr>
          <w:rFonts w:hint="eastAsia"/>
        </w:rPr>
        <w:t>信念或社会条件为由对劳动者加以区别。</w:t>
      </w:r>
      <w:r>
        <w:rPr>
          <w:rStyle w:val="FootnoteReference"/>
          <w:szCs w:val="21"/>
        </w:rPr>
        <w:footnoteReference w:id="9"/>
      </w:r>
    </w:p>
    <w:p w:rsidR="00000000" w:rsidRDefault="00457650">
      <w:pPr>
        <w:widowControl/>
        <w:tabs>
          <w:tab w:val="left" w:pos="630"/>
        </w:tabs>
        <w:spacing w:after="240" w:line="360" w:lineRule="exact"/>
        <w:rPr>
          <w:rFonts w:eastAsia="SimHei" w:hint="eastAsia"/>
        </w:rPr>
      </w:pPr>
      <w:r>
        <w:rPr>
          <w:rFonts w:eastAsia="SimHei" w:hint="eastAsia"/>
        </w:rPr>
        <w:tab/>
      </w:r>
      <w:r>
        <w:rPr>
          <w:rFonts w:eastAsia="SimHei" w:hint="eastAsia"/>
        </w:rPr>
        <w:t>联邦立法</w:t>
      </w:r>
    </w:p>
    <w:p w:rsidR="00000000" w:rsidRDefault="00457650">
      <w:pPr>
        <w:widowControl/>
        <w:tabs>
          <w:tab w:val="left" w:pos="630"/>
        </w:tabs>
        <w:spacing w:after="240" w:line="360" w:lineRule="exact"/>
        <w:rPr>
          <w:rFonts w:hint="eastAsia"/>
        </w:rPr>
      </w:pPr>
      <w:r>
        <w:rPr>
          <w:rFonts w:hint="eastAsia"/>
        </w:rPr>
        <w:t>143.</w:t>
      </w:r>
      <w:r>
        <w:rPr>
          <w:rFonts w:hint="eastAsia"/>
        </w:rPr>
        <w:tab/>
      </w:r>
      <w:r>
        <w:rPr>
          <w:rFonts w:hint="eastAsia"/>
        </w:rPr>
        <w:t>许多法律文书旨在专门保护该项权利不受歧视（见附件一）：</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1.</w:t>
      </w:r>
      <w:r>
        <w:rPr>
          <w:rFonts w:hint="eastAsia"/>
        </w:rPr>
        <w:tab/>
      </w:r>
      <w:r>
        <w:rPr>
          <w:rFonts w:hint="eastAsia"/>
        </w:rPr>
        <w:t>《预防和消除歧视联邦法案》，它专门处理歧视问题（见附件一）。</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2.</w:t>
      </w:r>
      <w:r>
        <w:rPr>
          <w:rFonts w:hint="eastAsia"/>
        </w:rPr>
        <w:tab/>
        <w:t>2003</w:t>
      </w:r>
      <w:r>
        <w:rPr>
          <w:rFonts w:hint="eastAsia"/>
        </w:rPr>
        <w:t>年</w:t>
      </w:r>
      <w:r>
        <w:rPr>
          <w:rFonts w:hint="eastAsia"/>
        </w:rPr>
        <w:t>3</w:t>
      </w:r>
      <w:r>
        <w:rPr>
          <w:rFonts w:hint="eastAsia"/>
        </w:rPr>
        <w:t>月</w:t>
      </w:r>
      <w:r>
        <w:rPr>
          <w:rFonts w:hint="eastAsia"/>
        </w:rPr>
        <w:t>13</w:t>
      </w:r>
      <w:r>
        <w:rPr>
          <w:rFonts w:hint="eastAsia"/>
        </w:rPr>
        <w:t>日星期四《联邦政府公报》公布的《土著人民语言权利总议定书》第</w:t>
      </w:r>
      <w:r>
        <w:rPr>
          <w:rFonts w:hint="eastAsia"/>
        </w:rPr>
        <w:t>8</w:t>
      </w:r>
      <w:r>
        <w:rPr>
          <w:rFonts w:hint="eastAsia"/>
        </w:rPr>
        <w:t>条规定，任何人不因自己所说的语言而受到任何歧视。</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ab/>
        <w:t xml:space="preserve">    </w:t>
      </w:r>
      <w:r>
        <w:rPr>
          <w:rFonts w:hint="eastAsia"/>
        </w:rPr>
        <w:t>此外，第</w:t>
      </w:r>
      <w:r>
        <w:rPr>
          <w:rFonts w:hint="eastAsia"/>
        </w:rPr>
        <w:t>24</w:t>
      </w:r>
      <w:r>
        <w:rPr>
          <w:rFonts w:hint="eastAsia"/>
        </w:rPr>
        <w:t>条规定国家土著语言研究所及各州的相关组织应敦促主管机构颁布法律制裁和惩罚任何对土著语言人群的歧视、排斥或剥削，同时对违反法律条款侵犯土著语言人群法定权利也进行制裁和惩罚</w:t>
      </w:r>
      <w:r>
        <w:rPr>
          <w:rFonts w:hint="eastAsia"/>
        </w:rPr>
        <w:t>。</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3.</w:t>
      </w:r>
      <w:r>
        <w:rPr>
          <w:rFonts w:hint="eastAsia"/>
        </w:rPr>
        <w:tab/>
        <w:t>1992</w:t>
      </w:r>
      <w:r>
        <w:rPr>
          <w:rFonts w:hint="eastAsia"/>
        </w:rPr>
        <w:t>年</w:t>
      </w:r>
      <w:r>
        <w:rPr>
          <w:rFonts w:hint="eastAsia"/>
        </w:rPr>
        <w:t>7</w:t>
      </w:r>
      <w:r>
        <w:rPr>
          <w:rFonts w:hint="eastAsia"/>
        </w:rPr>
        <w:t>月</w:t>
      </w:r>
      <w:r>
        <w:rPr>
          <w:rFonts w:hint="eastAsia"/>
        </w:rPr>
        <w:t>15</w:t>
      </w:r>
      <w:r>
        <w:rPr>
          <w:rFonts w:hint="eastAsia"/>
        </w:rPr>
        <w:t>日星期三《联邦政府公报》公布的《宗教协会和公共信仰法》第</w:t>
      </w:r>
      <w:r>
        <w:rPr>
          <w:rFonts w:hint="eastAsia"/>
        </w:rPr>
        <w:t>2</w:t>
      </w:r>
      <w:r>
        <w:rPr>
          <w:rFonts w:hint="eastAsia"/>
        </w:rPr>
        <w:t>条（</w:t>
      </w:r>
      <w:r>
        <w:rPr>
          <w:rFonts w:hint="eastAsia"/>
        </w:rPr>
        <w:t>c</w:t>
      </w:r>
      <w:r>
        <w:rPr>
          <w:rFonts w:hint="eastAsia"/>
        </w:rPr>
        <w:t>）规定墨西哥保证每个人在宗教问题上有权不因其宗教信仰而受到歧视、威胁或敌视，也不必对信仰做出申明。它还规定</w:t>
      </w:r>
      <w:r>
        <w:rPr>
          <w:rFonts w:eastAsia="KaiTi_GB2312" w:hint="eastAsia"/>
        </w:rPr>
        <w:t>除本法和其他有效的法律条款规定的情况外，不得以宗教为由禁止任何人从事任何工作或活动</w:t>
      </w:r>
      <w:r>
        <w:rPr>
          <w:rFonts w:hint="eastAsia"/>
        </w:rPr>
        <w:t>。</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4.</w:t>
      </w:r>
      <w:r>
        <w:rPr>
          <w:rFonts w:hint="eastAsia"/>
        </w:rPr>
        <w:tab/>
        <w:t>2002</w:t>
      </w:r>
      <w:r>
        <w:rPr>
          <w:rFonts w:hint="eastAsia"/>
        </w:rPr>
        <w:t>年</w:t>
      </w:r>
      <w:r>
        <w:rPr>
          <w:rFonts w:hint="eastAsia"/>
        </w:rPr>
        <w:t>6</w:t>
      </w:r>
      <w:r>
        <w:rPr>
          <w:rFonts w:hint="eastAsia"/>
        </w:rPr>
        <w:t>月</w:t>
      </w:r>
      <w:r>
        <w:rPr>
          <w:rFonts w:hint="eastAsia"/>
        </w:rPr>
        <w:t>25</w:t>
      </w:r>
      <w:r>
        <w:rPr>
          <w:rFonts w:hint="eastAsia"/>
        </w:rPr>
        <w:t>日星期二《联邦政府公报》公布的《老年人权利法》第</w:t>
      </w:r>
      <w:r>
        <w:rPr>
          <w:rFonts w:hint="eastAsia"/>
        </w:rPr>
        <w:t>5</w:t>
      </w:r>
      <w:r>
        <w:rPr>
          <w:rFonts w:hint="eastAsia"/>
        </w:rPr>
        <w:t>条明确而不加任何限制地规定其目的是保证老年人以下权利：</w:t>
      </w:r>
    </w:p>
    <w:p w:rsidR="00000000" w:rsidRDefault="00457650" w:rsidP="00457650">
      <w:pPr>
        <w:widowControl/>
        <w:tabs>
          <w:tab w:val="left" w:pos="630"/>
        </w:tabs>
        <w:spacing w:after="240" w:line="360" w:lineRule="exact"/>
        <w:ind w:leftChars="500" w:left="31680" w:hangingChars="200" w:firstLine="31680"/>
        <w:rPr>
          <w:rFonts w:eastAsia="KaiTi_GB2312" w:hint="eastAsia"/>
        </w:rPr>
      </w:pPr>
      <w:r>
        <w:rPr>
          <w:rFonts w:eastAsia="KaiTi_GB2312" w:hint="eastAsia"/>
        </w:rPr>
        <w:t>一、身心完整、尊严和优待；</w:t>
      </w:r>
    </w:p>
    <w:p w:rsidR="00000000" w:rsidRDefault="00457650" w:rsidP="00457650">
      <w:pPr>
        <w:widowControl/>
        <w:tabs>
          <w:tab w:val="left" w:pos="630"/>
        </w:tabs>
        <w:spacing w:after="240" w:line="360" w:lineRule="exact"/>
        <w:ind w:firstLineChars="700" w:firstLine="31680"/>
        <w:rPr>
          <w:rFonts w:hint="eastAsia"/>
        </w:rPr>
      </w:pPr>
      <w:r>
        <w:rPr>
          <w:rFonts w:hint="eastAsia"/>
        </w:rPr>
        <w:t>免受各种形式的剥削。</w:t>
      </w:r>
    </w:p>
    <w:p w:rsidR="00000000" w:rsidRDefault="00457650" w:rsidP="00457650">
      <w:pPr>
        <w:keepNext/>
        <w:widowControl/>
        <w:tabs>
          <w:tab w:val="left" w:pos="630"/>
        </w:tabs>
        <w:spacing w:after="240" w:line="360" w:lineRule="exact"/>
        <w:ind w:leftChars="500" w:left="31680" w:hangingChars="200" w:firstLine="31680"/>
        <w:rPr>
          <w:rFonts w:eastAsia="KaiTi_GB2312" w:hint="eastAsia"/>
        </w:rPr>
      </w:pPr>
      <w:r>
        <w:rPr>
          <w:rFonts w:eastAsia="KaiTi_GB2312" w:hint="eastAsia"/>
        </w:rPr>
        <w:t>二、工作：</w:t>
      </w:r>
    </w:p>
    <w:p w:rsidR="00000000" w:rsidRDefault="00457650" w:rsidP="00457650">
      <w:pPr>
        <w:keepNext/>
        <w:widowControl/>
        <w:tabs>
          <w:tab w:val="left" w:pos="630"/>
        </w:tabs>
        <w:spacing w:after="240" w:line="360" w:lineRule="exact"/>
        <w:ind w:leftChars="500" w:left="31680" w:firstLineChars="200" w:firstLine="31680"/>
        <w:rPr>
          <w:rFonts w:hint="eastAsia"/>
        </w:rPr>
      </w:pPr>
      <w:r>
        <w:rPr>
          <w:rFonts w:hint="eastAsia"/>
        </w:rPr>
        <w:t>机会平等地获得雇用或者其他可能稳定的</w:t>
      </w:r>
      <w:r>
        <w:rPr>
          <w:rFonts w:hint="eastAsia"/>
        </w:rPr>
        <w:t>收入，并从事所希望的生产活动。受到《联邦劳动法》和其他劳动法律的保护。</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5.</w:t>
      </w:r>
      <w:r>
        <w:rPr>
          <w:rFonts w:hint="eastAsia"/>
        </w:rPr>
        <w:tab/>
        <w:t>2004</w:t>
      </w:r>
      <w:r>
        <w:rPr>
          <w:rFonts w:hint="eastAsia"/>
        </w:rPr>
        <w:t>年</w:t>
      </w:r>
      <w:r>
        <w:rPr>
          <w:rFonts w:hint="eastAsia"/>
        </w:rPr>
        <w:t>1</w:t>
      </w:r>
      <w:r>
        <w:rPr>
          <w:rFonts w:hint="eastAsia"/>
        </w:rPr>
        <w:t>月</w:t>
      </w:r>
      <w:r>
        <w:rPr>
          <w:rFonts w:hint="eastAsia"/>
        </w:rPr>
        <w:t>20</w:t>
      </w:r>
      <w:r>
        <w:rPr>
          <w:rFonts w:hint="eastAsia"/>
        </w:rPr>
        <w:t>日《联邦政府公报》公布的《总体社会发展法》第</w:t>
      </w:r>
      <w:r>
        <w:rPr>
          <w:rFonts w:hint="eastAsia"/>
        </w:rPr>
        <w:t>3</w:t>
      </w:r>
      <w:r>
        <w:rPr>
          <w:rFonts w:hint="eastAsia"/>
        </w:rPr>
        <w:t>条规定社会发展政策应该符合自由原则（个人能够选择实现个人发展和参与社会发展的方式）、公平分配原则（保证每个人可以根据自己和他人的贡献、需要和能力得到公平的发展利益份额）、团结原则、完整原则、参与社会原则、持久性原则、尊重多样性原则（认可民族血统、性别、年龄、能力差别、社会条件、健康状况、宗教、观念、爱好、公民身份和其他因素，停止一切歧视，促进公平发展，尊重不同之处），</w:t>
      </w:r>
      <w:r>
        <w:rPr>
          <w:rFonts w:hint="eastAsia"/>
        </w:rPr>
        <w:t>同时还要尊重土著人民及其社区的自由自决和自治，坚持透明性（在宪法框架内承认组织和共存的内部形式；其自身标准体系的应用范围；主管机构和代表的选举；保存丰富他们语言文化的方式；保存和改善他们居住地的方式；优惠获得自然资源；选举地方政府的代表；可以充分利用国家司法制度）。</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第</w:t>
      </w:r>
      <w:r>
        <w:rPr>
          <w:rFonts w:hint="eastAsia"/>
        </w:rPr>
        <w:t>6</w:t>
      </w:r>
      <w:r>
        <w:rPr>
          <w:rFonts w:hint="eastAsia"/>
        </w:rPr>
        <w:t>条还认可了教育、健康、食品、住房、享有健康环境、劳动和社会保险的权利以及《墨西哥合众国宪法》中规定的与禁止歧视相关的权利，承认这些权利都是社会发展权。</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6.</w:t>
      </w:r>
      <w:r>
        <w:rPr>
          <w:rFonts w:hint="eastAsia"/>
        </w:rPr>
        <w:tab/>
        <w:t>2003</w:t>
      </w:r>
      <w:r>
        <w:rPr>
          <w:rFonts w:hint="eastAsia"/>
        </w:rPr>
        <w:t>年</w:t>
      </w:r>
      <w:r>
        <w:rPr>
          <w:rFonts w:hint="eastAsia"/>
        </w:rPr>
        <w:t>5</w:t>
      </w:r>
      <w:r>
        <w:rPr>
          <w:rFonts w:hint="eastAsia"/>
        </w:rPr>
        <w:t>月</w:t>
      </w:r>
      <w:r>
        <w:rPr>
          <w:rFonts w:hint="eastAsia"/>
        </w:rPr>
        <w:t>21</w:t>
      </w:r>
      <w:r>
        <w:rPr>
          <w:rFonts w:hint="eastAsia"/>
        </w:rPr>
        <w:t>日星期三《联邦政府公报》公布的《国家土著人民发展委员会法》第</w:t>
      </w:r>
      <w:r>
        <w:rPr>
          <w:rFonts w:hint="eastAsia"/>
        </w:rPr>
        <w:t>2</w:t>
      </w:r>
      <w:r>
        <w:rPr>
          <w:rFonts w:hint="eastAsia"/>
        </w:rPr>
        <w:t>条</w:t>
      </w:r>
      <w:r>
        <w:rPr>
          <w:rFonts w:hint="eastAsia"/>
        </w:rPr>
        <w:t>第</w:t>
      </w:r>
      <w:r>
        <w:rPr>
          <w:rFonts w:hint="eastAsia"/>
        </w:rPr>
        <w:t>2</w:t>
      </w:r>
      <w:r>
        <w:rPr>
          <w:rFonts w:hint="eastAsia"/>
        </w:rPr>
        <w:t>款授权该委员会促进消除歧视和社会排斥，建立一个包容、多元、宽容并且尊重不同文化差别和语言的社会。</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7.</w:t>
      </w:r>
      <w:r>
        <w:rPr>
          <w:rFonts w:hint="eastAsia"/>
        </w:rPr>
        <w:tab/>
        <w:t>2001</w:t>
      </w:r>
      <w:r>
        <w:rPr>
          <w:rFonts w:hint="eastAsia"/>
        </w:rPr>
        <w:t>年</w:t>
      </w:r>
      <w:r>
        <w:rPr>
          <w:rFonts w:hint="eastAsia"/>
        </w:rPr>
        <w:t>1</w:t>
      </w:r>
      <w:r>
        <w:rPr>
          <w:rFonts w:hint="eastAsia"/>
        </w:rPr>
        <w:t>月</w:t>
      </w:r>
      <w:r>
        <w:rPr>
          <w:rFonts w:hint="eastAsia"/>
        </w:rPr>
        <w:t>12</w:t>
      </w:r>
      <w:r>
        <w:rPr>
          <w:rFonts w:hint="eastAsia"/>
        </w:rPr>
        <w:t>日星期五《联邦政府公报》公布的《国家妇女协会法》规定如下：</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协会的总体目标在第</w:t>
      </w:r>
      <w:r>
        <w:rPr>
          <w:rFonts w:hint="eastAsia"/>
        </w:rPr>
        <w:t>4</w:t>
      </w:r>
      <w:r>
        <w:rPr>
          <w:rFonts w:hint="eastAsia"/>
        </w:rPr>
        <w:t>条中作了阐述，即促进并改善环境，以实现两性间没有歧视以及待遇和机会平等，妇女可以充分行使一切权利，妇女能公平地参与国家的政治、文化、经济和社会生活。</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协会的职权范围如下（第</w:t>
      </w:r>
      <w:r>
        <w:rPr>
          <w:rFonts w:hint="eastAsia"/>
        </w:rPr>
        <w:t>7</w:t>
      </w:r>
      <w:r>
        <w:rPr>
          <w:rFonts w:hint="eastAsia"/>
        </w:rPr>
        <w:t>条）：</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为实现两性平等协助制定政府政策并促使社会改变态度；</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培养、促进并支持妇女充分行使权利，加强具有相同目的的管理机构；</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作为《国</w:t>
      </w:r>
      <w:r>
        <w:rPr>
          <w:rFonts w:hint="eastAsia"/>
        </w:rPr>
        <w:t>家发展计划》的一部分，建议制订妇女机会平等和不受歧视国家计划，并定期系统地评估其执行情况；</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同外交部一起推动，并在合适的情况下参与签订并实施国际和地区间所议定的关于机会平等和不歧视妇女的各种文书；</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在联盟和社会的三大力量中，促进实施各项措施，提高妇女的社会地位，并在社会、经济、政治和文化生活中消除对妇女的各种形式歧视；</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与负责妇女事务的联邦管理机构建立合作机制，促进和支持与实现两性平等和妇女机会平等相关的政策、计划和措施。</w:t>
      </w:r>
    </w:p>
    <w:p w:rsidR="00000000" w:rsidRDefault="00457650">
      <w:pPr>
        <w:keepNext/>
        <w:widowControl/>
        <w:tabs>
          <w:tab w:val="left" w:pos="630"/>
        </w:tabs>
        <w:spacing w:after="240" w:line="360" w:lineRule="exact"/>
        <w:rPr>
          <w:rFonts w:eastAsia="SimHei" w:hint="eastAsia"/>
        </w:rPr>
      </w:pPr>
      <w:r>
        <w:rPr>
          <w:rFonts w:eastAsia="SimHei" w:hint="eastAsia"/>
        </w:rPr>
        <w:t xml:space="preserve">       </w:t>
      </w:r>
      <w:r>
        <w:rPr>
          <w:rFonts w:eastAsia="SimHei" w:hint="eastAsia"/>
        </w:rPr>
        <w:t>地方立法</w:t>
      </w:r>
    </w:p>
    <w:p w:rsidR="00000000" w:rsidRDefault="00457650">
      <w:pPr>
        <w:keepNext/>
        <w:widowControl/>
        <w:tabs>
          <w:tab w:val="left" w:pos="630"/>
        </w:tabs>
        <w:spacing w:after="240" w:line="360" w:lineRule="exact"/>
        <w:rPr>
          <w:rFonts w:hint="eastAsia"/>
        </w:rPr>
      </w:pPr>
      <w:r>
        <w:rPr>
          <w:rFonts w:hint="eastAsia"/>
        </w:rPr>
        <w:t>144.</w:t>
      </w:r>
      <w:r>
        <w:rPr>
          <w:rFonts w:hint="eastAsia"/>
        </w:rPr>
        <w:tab/>
      </w:r>
      <w:r>
        <w:rPr>
          <w:rFonts w:hint="eastAsia"/>
        </w:rPr>
        <w:t>这里提到了联邦区的具体情况。类似措施在墨西哥境内的</w:t>
      </w:r>
      <w:r>
        <w:rPr>
          <w:rFonts w:hint="eastAsia"/>
        </w:rPr>
        <w:t>其他组成部分也以各种形式存在。</w:t>
      </w:r>
    </w:p>
    <w:p w:rsidR="00000000" w:rsidRDefault="00457650" w:rsidP="00457650">
      <w:pPr>
        <w:keepNext/>
        <w:widowControl/>
        <w:tabs>
          <w:tab w:val="left" w:pos="630"/>
        </w:tabs>
        <w:spacing w:after="240" w:line="360" w:lineRule="exact"/>
        <w:ind w:leftChars="300" w:left="31680" w:hangingChars="200" w:firstLine="31680"/>
        <w:rPr>
          <w:rFonts w:hint="eastAsia"/>
        </w:rPr>
      </w:pPr>
      <w:r>
        <w:rPr>
          <w:rFonts w:hint="eastAsia"/>
        </w:rPr>
        <w:t>1.</w:t>
      </w:r>
      <w:r>
        <w:rPr>
          <w:rFonts w:hint="eastAsia"/>
        </w:rPr>
        <w:tab/>
        <w:t>1993</w:t>
      </w:r>
      <w:r>
        <w:rPr>
          <w:rFonts w:hint="eastAsia"/>
        </w:rPr>
        <w:t>年</w:t>
      </w:r>
      <w:r>
        <w:rPr>
          <w:rFonts w:hint="eastAsia"/>
        </w:rPr>
        <w:t>6</w:t>
      </w:r>
      <w:r>
        <w:rPr>
          <w:rFonts w:hint="eastAsia"/>
        </w:rPr>
        <w:t>月</w:t>
      </w:r>
      <w:r>
        <w:rPr>
          <w:rFonts w:hint="eastAsia"/>
        </w:rPr>
        <w:t>22</w:t>
      </w:r>
      <w:r>
        <w:rPr>
          <w:rFonts w:hint="eastAsia"/>
        </w:rPr>
        <w:t>日星期二《联邦政府公报》公布的《联邦人权委员会法》第</w:t>
      </w:r>
      <w:r>
        <w:rPr>
          <w:rFonts w:hint="eastAsia"/>
        </w:rPr>
        <w:t>2</w:t>
      </w:r>
      <w:r>
        <w:rPr>
          <w:rFonts w:hint="eastAsia"/>
        </w:rPr>
        <w:t>条授权该委员会打击因公共机关的行为而对个人或社会群体产生影响的各种形式的歧视和排斥。</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应该提及的是，</w:t>
      </w:r>
      <w:r>
        <w:rPr>
          <w:rFonts w:hint="eastAsia"/>
        </w:rPr>
        <w:t>2003</w:t>
      </w:r>
      <w:r>
        <w:rPr>
          <w:rFonts w:hint="eastAsia"/>
        </w:rPr>
        <w:t>年</w:t>
      </w:r>
      <w:r>
        <w:rPr>
          <w:rFonts w:hint="eastAsia"/>
        </w:rPr>
        <w:t>1</w:t>
      </w:r>
      <w:r>
        <w:rPr>
          <w:rFonts w:hint="eastAsia"/>
        </w:rPr>
        <w:t>月</w:t>
      </w:r>
      <w:r>
        <w:rPr>
          <w:rFonts w:hint="eastAsia"/>
        </w:rPr>
        <w:t>14</w:t>
      </w:r>
      <w:r>
        <w:rPr>
          <w:rFonts w:hint="eastAsia"/>
        </w:rPr>
        <w:t>日同一份《政府公报》公布了对该法进行修改的法令。具体而言，该法第</w:t>
      </w:r>
      <w:r>
        <w:rPr>
          <w:rFonts w:hint="eastAsia"/>
        </w:rPr>
        <w:t>66</w:t>
      </w:r>
      <w:r>
        <w:rPr>
          <w:rFonts w:hint="eastAsia"/>
        </w:rPr>
        <w:t>条增加了第</w:t>
      </w:r>
      <w:r>
        <w:rPr>
          <w:rFonts w:hint="eastAsia"/>
        </w:rPr>
        <w:t>5</w:t>
      </w:r>
      <w:r>
        <w:rPr>
          <w:rFonts w:hint="eastAsia"/>
        </w:rPr>
        <w:t>款和第</w:t>
      </w:r>
      <w:r>
        <w:rPr>
          <w:rFonts w:hint="eastAsia"/>
        </w:rPr>
        <w:t>6</w:t>
      </w:r>
      <w:r>
        <w:rPr>
          <w:rFonts w:hint="eastAsia"/>
        </w:rPr>
        <w:t>款，规定在促进和宣传尊重人权的文化中，联邦人权委员会可以组织活动提高人们对特定主题的认识，例如尊重和接纳弱势群体，反对各种歧视和排斥，它还进行并推广有关歧视、排斥和人权问题的研究。</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2.</w:t>
      </w:r>
      <w:r>
        <w:rPr>
          <w:rFonts w:hint="eastAsia"/>
        </w:rPr>
        <w:tab/>
        <w:t>2000</w:t>
      </w:r>
      <w:r>
        <w:rPr>
          <w:rFonts w:hint="eastAsia"/>
        </w:rPr>
        <w:t>年</w:t>
      </w:r>
      <w:r>
        <w:rPr>
          <w:rFonts w:hint="eastAsia"/>
        </w:rPr>
        <w:t>3</w:t>
      </w:r>
      <w:r>
        <w:rPr>
          <w:rFonts w:hint="eastAsia"/>
        </w:rPr>
        <w:t>月</w:t>
      </w:r>
      <w:r>
        <w:rPr>
          <w:rFonts w:hint="eastAsia"/>
        </w:rPr>
        <w:t>7</w:t>
      </w:r>
      <w:r>
        <w:rPr>
          <w:rFonts w:hint="eastAsia"/>
        </w:rPr>
        <w:t>日星期二《联邦政府公报》公布的《联邦老年人权利法》承认老年人拥有下述权利：</w:t>
      </w:r>
    </w:p>
    <w:p w:rsidR="00000000" w:rsidRDefault="00457650" w:rsidP="00457650">
      <w:pPr>
        <w:widowControl/>
        <w:tabs>
          <w:tab w:val="left" w:pos="1470"/>
        </w:tabs>
        <w:spacing w:after="240" w:line="360" w:lineRule="exact"/>
        <w:ind w:leftChars="500" w:left="31680" w:hangingChars="200" w:firstLine="31680"/>
        <w:rPr>
          <w:rFonts w:hint="eastAsia"/>
        </w:rPr>
      </w:pPr>
      <w:r>
        <w:rPr>
          <w:rFonts w:hint="eastAsia"/>
        </w:rPr>
        <w:t>A.</w:t>
      </w:r>
      <w:r>
        <w:rPr>
          <w:rFonts w:hint="eastAsia"/>
        </w:rPr>
        <w:tab/>
      </w:r>
      <w:r>
        <w:rPr>
          <w:rFonts w:hint="eastAsia"/>
        </w:rPr>
        <w:t>完整和尊严的权利</w:t>
      </w:r>
    </w:p>
    <w:p w:rsidR="00000000" w:rsidRDefault="00457650" w:rsidP="00457650">
      <w:pPr>
        <w:widowControl/>
        <w:tabs>
          <w:tab w:val="left" w:pos="1470"/>
        </w:tabs>
        <w:spacing w:after="240" w:line="360" w:lineRule="exact"/>
        <w:ind w:leftChars="700" w:left="31680" w:hangingChars="200" w:firstLine="31680"/>
        <w:rPr>
          <w:rFonts w:hint="eastAsia"/>
        </w:rPr>
      </w:pPr>
      <w:r>
        <w:rPr>
          <w:rFonts w:hint="eastAsia"/>
        </w:rPr>
        <w:t>一、不受歧视；老年人的权利没有任何差别。</w:t>
      </w:r>
    </w:p>
    <w:p w:rsidR="00000000" w:rsidRDefault="00457650" w:rsidP="00457650">
      <w:pPr>
        <w:widowControl/>
        <w:tabs>
          <w:tab w:val="left" w:pos="1890"/>
        </w:tabs>
        <w:spacing w:after="240" w:line="360" w:lineRule="exact"/>
        <w:ind w:leftChars="700" w:left="31680" w:hangingChars="200" w:firstLine="31680"/>
        <w:rPr>
          <w:rFonts w:hint="eastAsia"/>
        </w:rPr>
      </w:pPr>
      <w:r>
        <w:rPr>
          <w:rFonts w:hint="eastAsia"/>
        </w:rPr>
        <w:tab/>
      </w:r>
      <w:r>
        <w:rPr>
          <w:rFonts w:hint="eastAsia"/>
        </w:rPr>
        <w:t>此外，第</w:t>
      </w:r>
      <w:r>
        <w:rPr>
          <w:rFonts w:hint="eastAsia"/>
        </w:rPr>
        <w:t>11</w:t>
      </w:r>
      <w:r>
        <w:rPr>
          <w:rFonts w:hint="eastAsia"/>
        </w:rPr>
        <w:t>条规定内政部负有以下义务：</w:t>
      </w:r>
    </w:p>
    <w:p w:rsidR="00000000" w:rsidRDefault="00457650" w:rsidP="00457650">
      <w:pPr>
        <w:widowControl/>
        <w:tabs>
          <w:tab w:val="left" w:pos="630"/>
        </w:tabs>
        <w:spacing w:after="240" w:line="360" w:lineRule="exact"/>
        <w:ind w:leftChars="900" w:left="31680" w:hangingChars="200" w:firstLine="31680"/>
        <w:rPr>
          <w:rFonts w:hint="eastAsia"/>
        </w:rPr>
      </w:pPr>
      <w:r>
        <w:rPr>
          <w:rFonts w:hint="eastAsia"/>
        </w:rPr>
        <w:t>一、考虑到老年人的职业或专业以及他们所拥有的理论和实践经验，在公共部门和私营部门实施项目提高老年人的就业机会，除身体和心理缺陷之外，不得施加任何限制；</w:t>
      </w:r>
    </w:p>
    <w:p w:rsidR="00000000" w:rsidRDefault="00457650" w:rsidP="00457650">
      <w:pPr>
        <w:widowControl/>
        <w:tabs>
          <w:tab w:val="left" w:pos="630"/>
        </w:tabs>
        <w:spacing w:after="240" w:line="360" w:lineRule="exact"/>
        <w:ind w:leftChars="900" w:left="31680" w:hangingChars="200" w:firstLine="31680"/>
        <w:rPr>
          <w:rFonts w:hint="eastAsia"/>
        </w:rPr>
      </w:pPr>
      <w:r>
        <w:rPr>
          <w:rFonts w:hint="eastAsia"/>
        </w:rPr>
        <w:t>二、与经济发展部协调，通过财政资助、培训以及建立生产、分配和营销网络，共同鼓励老年人自营与其专业或职业相适应的工作；</w:t>
      </w:r>
    </w:p>
    <w:p w:rsidR="00000000" w:rsidRDefault="00457650" w:rsidP="00457650">
      <w:pPr>
        <w:widowControl/>
        <w:tabs>
          <w:tab w:val="left" w:pos="630"/>
        </w:tabs>
        <w:spacing w:after="240" w:line="360" w:lineRule="exact"/>
        <w:ind w:leftChars="900" w:left="31680" w:hangingChars="200" w:firstLine="31680"/>
        <w:rPr>
          <w:rFonts w:hint="eastAsia"/>
        </w:rPr>
      </w:pPr>
      <w:r>
        <w:rPr>
          <w:rFonts w:hint="eastAsia"/>
        </w:rPr>
        <w:t>三、通过专门培训过的人员向老年人提供法律建议和法定</w:t>
      </w:r>
      <w:r>
        <w:rPr>
          <w:rFonts w:hint="eastAsia"/>
        </w:rPr>
        <w:t>代表，以便始终保证他们的完整权利，避免任何歧视行为，尊重每个人的个性。</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3.</w:t>
      </w:r>
      <w:r>
        <w:rPr>
          <w:rFonts w:hint="eastAsia"/>
        </w:rPr>
        <w:tab/>
        <w:t>2002</w:t>
      </w:r>
      <w:r>
        <w:rPr>
          <w:rFonts w:hint="eastAsia"/>
        </w:rPr>
        <w:t>年</w:t>
      </w:r>
      <w:r>
        <w:rPr>
          <w:rFonts w:hint="eastAsia"/>
        </w:rPr>
        <w:t>7</w:t>
      </w:r>
      <w:r>
        <w:rPr>
          <w:rFonts w:hint="eastAsia"/>
        </w:rPr>
        <w:t>月</w:t>
      </w:r>
      <w:r>
        <w:rPr>
          <w:rFonts w:hint="eastAsia"/>
        </w:rPr>
        <w:t>16</w:t>
      </w:r>
      <w:r>
        <w:rPr>
          <w:rFonts w:hint="eastAsia"/>
        </w:rPr>
        <w:t>日星期二《联邦政府公报》公布的《联邦刑法典》第</w:t>
      </w:r>
      <w:r>
        <w:rPr>
          <w:rFonts w:hint="eastAsia"/>
        </w:rPr>
        <w:t>206</w:t>
      </w:r>
      <w:r>
        <w:rPr>
          <w:rFonts w:hint="eastAsia"/>
        </w:rPr>
        <w:t>条第</w:t>
      </w:r>
      <w:r>
        <w:rPr>
          <w:rFonts w:hint="eastAsia"/>
        </w:rPr>
        <w:t>2</w:t>
      </w:r>
      <w:r>
        <w:rPr>
          <w:rFonts w:hint="eastAsia"/>
        </w:rPr>
        <w:t>款和第</w:t>
      </w:r>
      <w:r>
        <w:rPr>
          <w:rFonts w:hint="eastAsia"/>
        </w:rPr>
        <w:t>3</w:t>
      </w:r>
      <w:r>
        <w:rPr>
          <w:rFonts w:hint="eastAsia"/>
        </w:rPr>
        <w:t>款规定，凡有以下行为者均将被处以罚款和监禁：</w:t>
      </w:r>
      <w:r>
        <w:rPr>
          <w:rStyle w:val="FootnoteReference"/>
          <w:szCs w:val="21"/>
        </w:rPr>
        <w:footnoteReference w:id="10"/>
      </w:r>
      <w:r>
        <w:rPr>
          <w:rFonts w:hint="eastAsia"/>
        </w:rPr>
        <w:t>因年龄、性别、怀孕、公民身份、种族、民族祖先、语言、宗教、意识形态、性取向、肤色、国籍、社会出身或地位、职业或专业、经济状况、身体特征、残疾或健康状况，</w:t>
      </w:r>
    </w:p>
    <w:p w:rsidR="00000000" w:rsidRDefault="00457650" w:rsidP="00457650">
      <w:pPr>
        <w:widowControl/>
        <w:tabs>
          <w:tab w:val="left" w:pos="630"/>
        </w:tabs>
        <w:spacing w:after="240" w:line="360" w:lineRule="exact"/>
        <w:ind w:leftChars="500" w:left="31680" w:hangingChars="200" w:firstLine="31680"/>
        <w:rPr>
          <w:rFonts w:hint="eastAsia"/>
        </w:rPr>
      </w:pPr>
      <w:r>
        <w:rPr>
          <w:rFonts w:ascii="SimSun" w:hAnsi="SimSun" w:hint="eastAsia"/>
        </w:rPr>
        <w:t xml:space="preserve">-  </w:t>
      </w:r>
      <w:r>
        <w:rPr>
          <w:rFonts w:ascii="SimSun" w:hAnsi="SimSun" w:hint="eastAsia"/>
        </w:rPr>
        <w:tab/>
      </w:r>
      <w:r>
        <w:rPr>
          <w:rFonts w:hint="eastAsia"/>
        </w:rPr>
        <w:t>侮辱或排斥任何人或群体（第</w:t>
      </w:r>
      <w:r>
        <w:rPr>
          <w:rFonts w:hint="eastAsia"/>
        </w:rPr>
        <w:t>2</w:t>
      </w:r>
      <w:r>
        <w:rPr>
          <w:rFonts w:hint="eastAsia"/>
        </w:rPr>
        <w:t>款）；</w:t>
      </w:r>
    </w:p>
    <w:p w:rsidR="00000000" w:rsidRDefault="00457650" w:rsidP="00457650">
      <w:pPr>
        <w:widowControl/>
        <w:tabs>
          <w:tab w:val="left" w:pos="630"/>
        </w:tabs>
        <w:spacing w:after="240" w:line="360" w:lineRule="exact"/>
        <w:ind w:leftChars="500" w:left="31680" w:hangingChars="200" w:firstLine="31680"/>
        <w:rPr>
          <w:rFonts w:hint="eastAsia"/>
        </w:rPr>
      </w:pPr>
      <w:r>
        <w:rPr>
          <w:rFonts w:ascii="SimSun" w:hAnsi="SimSun" w:hint="eastAsia"/>
        </w:rPr>
        <w:t xml:space="preserve">-  </w:t>
      </w:r>
      <w:r>
        <w:rPr>
          <w:rFonts w:ascii="SimSun" w:hAnsi="SimSun" w:hint="eastAsia"/>
        </w:rPr>
        <w:tab/>
      </w:r>
      <w:r>
        <w:rPr>
          <w:rFonts w:hint="eastAsia"/>
        </w:rPr>
        <w:t>拒绝遵守或限制应用劳动法（第</w:t>
      </w:r>
      <w:r>
        <w:rPr>
          <w:rFonts w:hint="eastAsia"/>
        </w:rPr>
        <w:t>3</w:t>
      </w:r>
      <w:r>
        <w:rPr>
          <w:rFonts w:hint="eastAsia"/>
        </w:rPr>
        <w:t>款）。</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公职人员拒绝履行或阻挠为权利人提供程序、服务或权益，应按照本</w:t>
      </w:r>
      <w:r>
        <w:rPr>
          <w:rFonts w:hint="eastAsia"/>
        </w:rPr>
        <w:t>条第</w:t>
      </w:r>
      <w:r>
        <w:rPr>
          <w:rFonts w:hint="eastAsia"/>
        </w:rPr>
        <w:t>1</w:t>
      </w:r>
      <w:r>
        <w:rPr>
          <w:rFonts w:hint="eastAsia"/>
        </w:rPr>
        <w:t>款规定的处罚办法增加</w:t>
      </w:r>
      <w:r>
        <w:rPr>
          <w:rFonts w:hint="eastAsia"/>
        </w:rPr>
        <w:t>0.5</w:t>
      </w:r>
      <w:r>
        <w:rPr>
          <w:rFonts w:hint="eastAsia"/>
        </w:rPr>
        <w:t>倍的处罚，另外还应解除其公职，在监禁期内禁止其接受任何政府救济，担任任何公职。</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4.</w:t>
      </w:r>
      <w:r>
        <w:rPr>
          <w:rFonts w:hint="eastAsia"/>
        </w:rPr>
        <w:tab/>
        <w:t>2002</w:t>
      </w:r>
      <w:r>
        <w:rPr>
          <w:rFonts w:hint="eastAsia"/>
        </w:rPr>
        <w:t>年</w:t>
      </w:r>
      <w:r>
        <w:rPr>
          <w:rFonts w:hint="eastAsia"/>
        </w:rPr>
        <w:t>2</w:t>
      </w:r>
      <w:r>
        <w:rPr>
          <w:rFonts w:hint="eastAsia"/>
        </w:rPr>
        <w:t>月</w:t>
      </w:r>
      <w:r>
        <w:rPr>
          <w:rFonts w:hint="eastAsia"/>
        </w:rPr>
        <w:t>28</w:t>
      </w:r>
      <w:r>
        <w:rPr>
          <w:rFonts w:hint="eastAsia"/>
        </w:rPr>
        <w:t>日星期二《联邦政府公报》公布了《国家妇女协会法》。该法说明妇女协会的总体目标是促进创造各种条件，消除歧视、实行机会平等，使妇女能够充分行使其权利，并平等参与社会、经济、政治、文化和家庭生活，另外，还要制定、协调、实施和评估《妇女机会平等和不受歧视国家总体计划》以及由此产生的相关计划（第</w:t>
      </w:r>
      <w:r>
        <w:rPr>
          <w:rFonts w:hint="eastAsia"/>
        </w:rPr>
        <w:t>4</w:t>
      </w:r>
      <w:r>
        <w:rPr>
          <w:rFonts w:hint="eastAsia"/>
        </w:rPr>
        <w:t>条）。</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第</w:t>
      </w:r>
      <w:r>
        <w:rPr>
          <w:rFonts w:hint="eastAsia"/>
        </w:rPr>
        <w:t>3</w:t>
      </w:r>
      <w:r>
        <w:rPr>
          <w:rFonts w:hint="eastAsia"/>
        </w:rPr>
        <w:t>条规定该法适用于联邦区内的男性和女性，不得因年龄、性别、怀孕、公民身份、种族</w:t>
      </w:r>
      <w:r>
        <w:rPr>
          <w:rFonts w:hint="eastAsia"/>
        </w:rPr>
        <w:t>、语言、宗教、意识形态、性取向、肤色、国籍、社会出身或地位、职业或专业、经济状况、身体特征、残疾或健康状况而受到歧视。</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第</w:t>
      </w:r>
      <w:r>
        <w:rPr>
          <w:rFonts w:hint="eastAsia"/>
        </w:rPr>
        <w:t>8</w:t>
      </w:r>
      <w:r>
        <w:rPr>
          <w:rFonts w:hint="eastAsia"/>
        </w:rPr>
        <w:t>条规定，除其他事项外，授权该研究所采取措施推动、协调各公共行政单位、公共活动和政策，预防暴力和在健康、教育、雇用、训练、体育领域保证机会平等；授权妇女协会宣传在国际、国内和地区生效的有利于妇女的法律和行政法规知识；向联邦区内的各地区政府提出建议，提高妇女的社会地位，在各发展领域消除对妇女各种形式的歧视；</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5.</w:t>
      </w:r>
      <w:r>
        <w:rPr>
          <w:rFonts w:hint="eastAsia"/>
        </w:rPr>
        <w:tab/>
        <w:t>2002</w:t>
      </w:r>
      <w:r>
        <w:rPr>
          <w:rFonts w:hint="eastAsia"/>
        </w:rPr>
        <w:t>年</w:t>
      </w:r>
      <w:r>
        <w:rPr>
          <w:rFonts w:hint="eastAsia"/>
        </w:rPr>
        <w:t>12</w:t>
      </w:r>
      <w:r>
        <w:rPr>
          <w:rFonts w:hint="eastAsia"/>
        </w:rPr>
        <w:t>月</w:t>
      </w:r>
      <w:r>
        <w:rPr>
          <w:rFonts w:hint="eastAsia"/>
        </w:rPr>
        <w:t>5</w:t>
      </w:r>
      <w:r>
        <w:rPr>
          <w:rFonts w:hint="eastAsia"/>
        </w:rPr>
        <w:t>日星期四《联邦政府公报》公布的《联邦妇女协会内部条例》提到</w:t>
      </w:r>
      <w:r>
        <w:rPr>
          <w:rFonts w:hint="eastAsia"/>
        </w:rPr>
        <w:t>了《妇女机会平等和不受歧视总体计划》，其中特别包括打击和消除对妇女歧视的措施。</w:t>
      </w:r>
    </w:p>
    <w:p w:rsidR="00000000" w:rsidRDefault="00457650">
      <w:pPr>
        <w:keepNext/>
        <w:widowControl/>
        <w:tabs>
          <w:tab w:val="left" w:pos="630"/>
        </w:tabs>
        <w:spacing w:after="240" w:line="360" w:lineRule="exact"/>
        <w:rPr>
          <w:rFonts w:eastAsia="SimHei" w:hint="eastAsia"/>
        </w:rPr>
      </w:pPr>
      <w:r>
        <w:rPr>
          <w:rFonts w:eastAsia="SimHei" w:hint="eastAsia"/>
        </w:rPr>
        <w:tab/>
      </w:r>
      <w:r>
        <w:rPr>
          <w:rFonts w:eastAsia="SimHei" w:hint="eastAsia"/>
        </w:rPr>
        <w:t>行政措施</w:t>
      </w:r>
    </w:p>
    <w:p w:rsidR="00000000" w:rsidRDefault="00457650">
      <w:pPr>
        <w:keepNext/>
        <w:widowControl/>
        <w:tabs>
          <w:tab w:val="left" w:pos="630"/>
        </w:tabs>
        <w:spacing w:after="240" w:line="366" w:lineRule="exact"/>
        <w:rPr>
          <w:rFonts w:hint="eastAsia"/>
        </w:rPr>
      </w:pPr>
      <w:r>
        <w:rPr>
          <w:rFonts w:hint="eastAsia"/>
        </w:rPr>
        <w:t>145.</w:t>
      </w:r>
      <w:r>
        <w:rPr>
          <w:rFonts w:hint="eastAsia"/>
        </w:rPr>
        <w:tab/>
      </w:r>
      <w:r>
        <w:rPr>
          <w:rFonts w:hint="eastAsia"/>
        </w:rPr>
        <w:t>劳工和社会福利部颁布了注重性别观点的积极措施，以打击那些阻碍妇女就业、在业和晋升的行为：</w:t>
      </w:r>
    </w:p>
    <w:p w:rsidR="00000000" w:rsidRDefault="00457650" w:rsidP="00457650">
      <w:pPr>
        <w:widowControl/>
        <w:numPr>
          <w:ilvl w:val="0"/>
          <w:numId w:val="1896"/>
        </w:numPr>
        <w:tabs>
          <w:tab w:val="clear" w:pos="900"/>
          <w:tab w:val="left" w:pos="1050"/>
        </w:tabs>
        <w:spacing w:after="240" w:line="366" w:lineRule="exact"/>
        <w:ind w:leftChars="300" w:left="31680" w:hangingChars="200" w:firstLine="31680"/>
        <w:rPr>
          <w:rFonts w:hint="eastAsia"/>
        </w:rPr>
      </w:pPr>
      <w:r>
        <w:rPr>
          <w:rFonts w:hint="eastAsia"/>
        </w:rPr>
        <w:t>通过各种传播媒体提高和宣传弱势群体的劳动权利；</w:t>
      </w:r>
    </w:p>
    <w:p w:rsidR="00000000" w:rsidRDefault="00457650" w:rsidP="00457650">
      <w:pPr>
        <w:widowControl/>
        <w:numPr>
          <w:ilvl w:val="0"/>
          <w:numId w:val="1896"/>
        </w:numPr>
        <w:tabs>
          <w:tab w:val="clear" w:pos="900"/>
          <w:tab w:val="left" w:pos="1050"/>
        </w:tabs>
        <w:spacing w:after="240" w:line="366" w:lineRule="exact"/>
        <w:ind w:leftChars="300" w:left="31680" w:hangingChars="200" w:firstLine="31680"/>
        <w:rPr>
          <w:rFonts w:hint="eastAsia"/>
        </w:rPr>
      </w:pPr>
      <w:r>
        <w:rPr>
          <w:rFonts w:hint="eastAsia"/>
        </w:rPr>
        <w:t>缔结有关协议，规定边境出口加工业在妇女就业、在业和提高其劳动权利方面取消证明未孕的要求；</w:t>
      </w:r>
    </w:p>
    <w:p w:rsidR="00000000" w:rsidRDefault="00457650" w:rsidP="00457650">
      <w:pPr>
        <w:widowControl/>
        <w:numPr>
          <w:ilvl w:val="0"/>
          <w:numId w:val="1896"/>
        </w:numPr>
        <w:tabs>
          <w:tab w:val="clear" w:pos="900"/>
          <w:tab w:val="left" w:pos="1050"/>
        </w:tabs>
        <w:spacing w:after="240" w:line="366" w:lineRule="exact"/>
        <w:ind w:leftChars="300" w:left="31680" w:hangingChars="200" w:firstLine="31680"/>
        <w:rPr>
          <w:rFonts w:hint="eastAsia"/>
        </w:rPr>
      </w:pPr>
      <w:r>
        <w:rPr>
          <w:rFonts w:hint="eastAsia"/>
        </w:rPr>
        <w:t xml:space="preserve"> </w:t>
      </w:r>
      <w:r>
        <w:rPr>
          <w:rFonts w:hint="eastAsia"/>
        </w:rPr>
        <w:t>“为墨西哥妇女提供更多更好的工作”是一个技术合作项目，由劳工和社会福利部在国际劳工组织（劳工组织）的协助下实施，它回应了因越来越多的妇女加入劳动市场所引起的不安和忧虑。在非正规部门</w:t>
      </w:r>
      <w:r>
        <w:rPr>
          <w:rFonts w:hint="eastAsia"/>
        </w:rPr>
        <w:t>工作的妇女日益增加，她们的工作和收入很不稳定，妇女在边境出口加工业面临各种各样的歧视，特别是她们很少能获得技术工作或高层管理职位。</w:t>
      </w:r>
    </w:p>
    <w:p w:rsidR="00000000" w:rsidRDefault="00457650" w:rsidP="00457650">
      <w:pPr>
        <w:widowControl/>
        <w:numPr>
          <w:ilvl w:val="0"/>
          <w:numId w:val="1896"/>
        </w:numPr>
        <w:tabs>
          <w:tab w:val="clear" w:pos="900"/>
          <w:tab w:val="left" w:pos="1050"/>
        </w:tabs>
        <w:spacing w:after="240" w:line="366" w:lineRule="exact"/>
        <w:ind w:leftChars="300" w:left="31680" w:hangingChars="200" w:firstLine="31680"/>
        <w:rPr>
          <w:rFonts w:hint="eastAsia"/>
        </w:rPr>
      </w:pPr>
      <w:r>
        <w:rPr>
          <w:rFonts w:hint="eastAsia"/>
        </w:rPr>
        <w:t>今年计划针对家庭生活与工作之间的协调进行一次的调查研究。</w:t>
      </w:r>
    </w:p>
    <w:p w:rsidR="00000000" w:rsidRDefault="00457650">
      <w:pPr>
        <w:widowControl/>
        <w:tabs>
          <w:tab w:val="left" w:pos="630"/>
        </w:tabs>
        <w:spacing w:after="240" w:line="366" w:lineRule="exact"/>
        <w:rPr>
          <w:rFonts w:hint="eastAsia"/>
        </w:rPr>
      </w:pPr>
      <w:r>
        <w:t>146.</w:t>
      </w:r>
      <w:r>
        <w:tab/>
      </w:r>
      <w:r>
        <w:rPr>
          <w:rFonts w:hint="eastAsia"/>
        </w:rPr>
        <w:t>关于未成年人，劳工和社会福利部正在促进采取措施消除对儿童的商业色情剥削，以保护参加工作的未成年人并阻止使用童工。这些措施包括：</w:t>
      </w:r>
    </w:p>
    <w:p w:rsidR="00000000" w:rsidRDefault="00457650" w:rsidP="00457650">
      <w:pPr>
        <w:widowControl/>
        <w:numPr>
          <w:ilvl w:val="0"/>
          <w:numId w:val="1896"/>
        </w:numPr>
        <w:tabs>
          <w:tab w:val="clear" w:pos="900"/>
          <w:tab w:val="left" w:pos="1050"/>
        </w:tabs>
        <w:spacing w:after="240" w:line="366" w:lineRule="exact"/>
        <w:ind w:leftChars="300" w:left="31680" w:hangingChars="200" w:firstLine="31680"/>
        <w:rPr>
          <w:rFonts w:hint="eastAsia"/>
        </w:rPr>
      </w:pPr>
      <w:r>
        <w:rPr>
          <w:rFonts w:hint="eastAsia"/>
        </w:rPr>
        <w:t>支持预防与消除对儿童的商业性剥削并保护墨西哥这类受害者计划。</w:t>
      </w:r>
      <w:r>
        <w:rPr>
          <w:rFonts w:hint="eastAsia"/>
        </w:rPr>
        <w:t>2002</w:t>
      </w:r>
      <w:r>
        <w:rPr>
          <w:rFonts w:hint="eastAsia"/>
        </w:rPr>
        <w:t>年签署了一项联合合作宣言，在劳工组织</w:t>
      </w:r>
      <w:r>
        <w:rPr>
          <w:rFonts w:hint="eastAsia"/>
        </w:rPr>
        <w:t>-IPEC</w:t>
      </w:r>
      <w:r>
        <w:rPr>
          <w:rFonts w:hint="eastAsia"/>
        </w:rPr>
        <w:t>的技术和管理支持下，帮助在墨西哥全国和对儿童商业性剥削情况严重的州与地</w:t>
      </w:r>
      <w:r>
        <w:rPr>
          <w:rFonts w:hint="eastAsia"/>
        </w:rPr>
        <w:t>区预防和消除对儿童的商业性剥削并保护这类受害者。</w:t>
      </w:r>
    </w:p>
    <w:p w:rsidR="00000000" w:rsidRDefault="00457650" w:rsidP="00457650">
      <w:pPr>
        <w:widowControl/>
        <w:numPr>
          <w:ilvl w:val="0"/>
          <w:numId w:val="1896"/>
        </w:numPr>
        <w:tabs>
          <w:tab w:val="clear" w:pos="900"/>
          <w:tab w:val="left" w:pos="1050"/>
        </w:tabs>
        <w:spacing w:after="240" w:line="366" w:lineRule="exact"/>
        <w:ind w:leftChars="300" w:left="31680" w:hangingChars="200" w:firstLine="31680"/>
        <w:rPr>
          <w:rFonts w:hint="eastAsia"/>
        </w:rPr>
      </w:pPr>
      <w:r>
        <w:rPr>
          <w:rFonts w:hint="eastAsia"/>
        </w:rPr>
        <w:t>阻止使用童工项目也将解决这一群体所关心的问题，该项目在国家和国家组织的协调下实施。</w:t>
      </w:r>
    </w:p>
    <w:p w:rsidR="00000000" w:rsidRDefault="00457650">
      <w:pPr>
        <w:widowControl/>
        <w:tabs>
          <w:tab w:val="left" w:pos="630"/>
        </w:tabs>
        <w:spacing w:after="240" w:line="366" w:lineRule="exact"/>
        <w:rPr>
          <w:rFonts w:hint="eastAsia"/>
        </w:rPr>
      </w:pPr>
      <w:r>
        <w:rPr>
          <w:rFonts w:hint="eastAsia"/>
        </w:rPr>
        <w:t>147.</w:t>
      </w:r>
      <w:r>
        <w:rPr>
          <w:rFonts w:hint="eastAsia"/>
        </w:rPr>
        <w:tab/>
      </w:r>
      <w:r>
        <w:rPr>
          <w:rFonts w:hint="eastAsia"/>
        </w:rPr>
        <w:t>关于老年残疾人和艾滋病毒</w:t>
      </w:r>
      <w:r>
        <w:rPr>
          <w:rFonts w:hint="eastAsia"/>
        </w:rPr>
        <w:t>/</w:t>
      </w:r>
      <w:r>
        <w:rPr>
          <w:rFonts w:hint="eastAsia"/>
        </w:rPr>
        <w:t>艾滋病患者，通过下列措施将促进他们获得和保持工作的平等机会：</w:t>
      </w:r>
    </w:p>
    <w:p w:rsidR="00000000" w:rsidRDefault="00457650" w:rsidP="00457650">
      <w:pPr>
        <w:widowControl/>
        <w:numPr>
          <w:ilvl w:val="0"/>
          <w:numId w:val="1896"/>
        </w:numPr>
        <w:tabs>
          <w:tab w:val="clear" w:pos="900"/>
          <w:tab w:val="left" w:pos="1050"/>
        </w:tabs>
        <w:spacing w:after="240" w:line="366" w:lineRule="exact"/>
        <w:ind w:leftChars="300" w:left="31680" w:hangingChars="200" w:firstLine="31680"/>
        <w:rPr>
          <w:rFonts w:hint="eastAsia"/>
        </w:rPr>
      </w:pPr>
      <w:r>
        <w:rPr>
          <w:rFonts w:hint="eastAsia"/>
          <w:bCs/>
        </w:rPr>
        <w:t>承</w:t>
      </w:r>
      <w:r>
        <w:rPr>
          <w:rFonts w:hint="eastAsia"/>
        </w:rPr>
        <w:t>认包容性企业，建立新型劳动文化。该计划鼓励企业为残疾人创造工作机会，并认可它们所做的努力，以使社会能够接受它们，支持这一社会群体的产品和</w:t>
      </w:r>
      <w:r>
        <w:rPr>
          <w:rFonts w:hint="eastAsia"/>
        </w:rPr>
        <w:t>/</w:t>
      </w:r>
      <w:r>
        <w:rPr>
          <w:rFonts w:hint="eastAsia"/>
        </w:rPr>
        <w:t>或服务。</w:t>
      </w:r>
    </w:p>
    <w:p w:rsidR="00000000" w:rsidRDefault="00457650" w:rsidP="00457650">
      <w:pPr>
        <w:widowControl/>
        <w:numPr>
          <w:ilvl w:val="0"/>
          <w:numId w:val="1896"/>
        </w:numPr>
        <w:tabs>
          <w:tab w:val="clear" w:pos="900"/>
          <w:tab w:val="left" w:pos="1050"/>
        </w:tabs>
        <w:spacing w:after="240" w:line="366" w:lineRule="exact"/>
        <w:ind w:leftChars="300" w:left="31680" w:hangingChars="200" w:firstLine="31680"/>
        <w:rPr>
          <w:rFonts w:hint="eastAsia"/>
        </w:rPr>
      </w:pPr>
      <w:r>
        <w:rPr>
          <w:rFonts w:hint="eastAsia"/>
        </w:rPr>
        <w:t>建立劳动市场联系网。使不同的弱势群体有更加平等的机会获得和保持工作，这意味着要与不同的社会机构建立联系。这一计划的目标是促进、宣传</w:t>
      </w:r>
      <w:r>
        <w:rPr>
          <w:rFonts w:hint="eastAsia"/>
        </w:rPr>
        <w:t>、推动和加速老年残疾人进入劳动市场，在全国范围内对提供工作和寻找工作的人进行匹配。</w:t>
      </w:r>
    </w:p>
    <w:p w:rsidR="00000000" w:rsidRDefault="00457650">
      <w:pPr>
        <w:widowControl/>
        <w:tabs>
          <w:tab w:val="left" w:pos="630"/>
        </w:tabs>
        <w:spacing w:after="240" w:line="366" w:lineRule="exact"/>
        <w:rPr>
          <w:rFonts w:hint="eastAsia"/>
        </w:rPr>
      </w:pPr>
      <w:r>
        <w:rPr>
          <w:rFonts w:hint="eastAsia"/>
        </w:rPr>
        <w:t>148.</w:t>
      </w:r>
      <w:r>
        <w:rPr>
          <w:rFonts w:hint="eastAsia"/>
        </w:rPr>
        <w:tab/>
      </w:r>
      <w:r>
        <w:rPr>
          <w:rFonts w:hint="eastAsia"/>
        </w:rPr>
        <w:t>关于散工和土著人口，提倡后者在公平条件下就业和自营职业，以提高他们的福利，同时尊重计时工人的劳动权利，进一步改善他们的工作环境。</w:t>
      </w:r>
    </w:p>
    <w:p w:rsidR="00000000" w:rsidRDefault="00457650">
      <w:pPr>
        <w:widowControl/>
        <w:tabs>
          <w:tab w:val="left" w:pos="630"/>
        </w:tabs>
        <w:spacing w:after="240" w:line="366" w:lineRule="exact"/>
        <w:rPr>
          <w:rFonts w:hint="eastAsia"/>
        </w:rPr>
      </w:pPr>
      <w:r>
        <w:rPr>
          <w:rFonts w:hint="eastAsia"/>
        </w:rPr>
        <w:t>149.</w:t>
      </w:r>
      <w:r>
        <w:rPr>
          <w:rFonts w:hint="eastAsia"/>
        </w:rPr>
        <w:tab/>
      </w:r>
      <w:r>
        <w:rPr>
          <w:rFonts w:hint="eastAsia"/>
        </w:rPr>
        <w:t>此外，通过提供自营职业的选择办法，帮助培训微型企业青年骨干，为青年人就业创造条件。</w:t>
      </w:r>
    </w:p>
    <w:p w:rsidR="00000000" w:rsidRDefault="00457650">
      <w:pPr>
        <w:widowControl/>
        <w:tabs>
          <w:tab w:val="left" w:pos="630"/>
        </w:tabs>
        <w:spacing w:after="240" w:line="366" w:lineRule="exact"/>
        <w:rPr>
          <w:rFonts w:hint="eastAsia"/>
        </w:rPr>
      </w:pPr>
      <w:r>
        <w:rPr>
          <w:rFonts w:hint="eastAsia"/>
        </w:rPr>
        <w:t xml:space="preserve">150. </w:t>
      </w:r>
      <w:r>
        <w:rPr>
          <w:rFonts w:hint="eastAsia"/>
        </w:rPr>
        <w:tab/>
      </w:r>
      <w:r>
        <w:rPr>
          <w:rFonts w:hint="eastAsia"/>
        </w:rPr>
        <w:t>青年人就业计划包括《为青年人提供平等的机会和更好的工作条件计划》，该计划的目的是为有工作的青年人提供更好的机会，通过积极措施在公平的条件下，促进青年人从事生产性工作并创造正式的自营职</w:t>
      </w:r>
      <w:r>
        <w:rPr>
          <w:rFonts w:hint="eastAsia"/>
        </w:rPr>
        <w:t>业机会。所采取的积极措施有：（</w:t>
      </w:r>
      <w:r>
        <w:rPr>
          <w:rFonts w:hint="eastAsia"/>
        </w:rPr>
        <w:t>1</w:t>
      </w:r>
      <w:r>
        <w:rPr>
          <w:rFonts w:hint="eastAsia"/>
        </w:rPr>
        <w:t>）促进青年人就业；（</w:t>
      </w:r>
      <w:r>
        <w:rPr>
          <w:rFonts w:hint="eastAsia"/>
        </w:rPr>
        <w:t>2</w:t>
      </w:r>
      <w:r>
        <w:rPr>
          <w:rFonts w:hint="eastAsia"/>
        </w:rPr>
        <w:t>）作为一种自营职业的形式，帮助青年人组建微型企业。</w:t>
      </w:r>
    </w:p>
    <w:p w:rsidR="00000000" w:rsidRDefault="00457650">
      <w:pPr>
        <w:widowControl/>
        <w:tabs>
          <w:tab w:val="left" w:pos="630"/>
        </w:tabs>
        <w:spacing w:after="240" w:line="366" w:lineRule="exact"/>
        <w:rPr>
          <w:rFonts w:hint="eastAsia"/>
        </w:rPr>
      </w:pPr>
      <w:r>
        <w:rPr>
          <w:rFonts w:hint="eastAsia"/>
        </w:rPr>
        <w:t>151.</w:t>
      </w:r>
      <w:r>
        <w:rPr>
          <w:rFonts w:hint="eastAsia"/>
        </w:rPr>
        <w:tab/>
      </w:r>
      <w:r>
        <w:rPr>
          <w:rFonts w:hint="eastAsia"/>
        </w:rPr>
        <w:t>此外，向被剥夺自由的人提供培训和就业与自营职业机会，在公平的条件下，以非歧视的方式开展就业和自营职业培训，以使这些人获得幸福和福利。所采取的积极措施包括在</w:t>
      </w:r>
      <w:r>
        <w:rPr>
          <w:rFonts w:hint="eastAsia"/>
        </w:rPr>
        <w:t>7</w:t>
      </w:r>
      <w:r>
        <w:rPr>
          <w:rFonts w:hint="eastAsia"/>
        </w:rPr>
        <w:t>个州对剥夺自由的人提供培训、认证、就业和自营职业的机会，这些州是阿瓜斯卡连特斯州、恰帕斯州、奇瓦瓦州、墨西哥州、瓦哈卡州、圣路易斯波托西州和尤卡坦州。</w:t>
      </w:r>
    </w:p>
    <w:p w:rsidR="00000000" w:rsidRDefault="00457650">
      <w:pPr>
        <w:pStyle w:val="Date"/>
        <w:keepNext/>
        <w:widowControl/>
        <w:tabs>
          <w:tab w:val="left" w:pos="630"/>
        </w:tabs>
        <w:spacing w:after="240" w:line="366" w:lineRule="exact"/>
        <w:rPr>
          <w:rFonts w:eastAsia="SimHei" w:hint="eastAsia"/>
        </w:rPr>
      </w:pPr>
      <w:r>
        <w:rPr>
          <w:rFonts w:eastAsia="SimHei" w:hint="eastAsia"/>
        </w:rPr>
        <w:t>为剥夺了自由的人开展的活动</w:t>
      </w:r>
    </w:p>
    <w:p w:rsidR="00000000" w:rsidRDefault="00457650" w:rsidP="00457650">
      <w:pPr>
        <w:keepNext/>
        <w:widowControl/>
        <w:tabs>
          <w:tab w:val="left" w:pos="630"/>
        </w:tabs>
        <w:spacing w:after="240" w:line="366" w:lineRule="exact"/>
        <w:ind w:leftChars="300" w:left="31680" w:firstLineChars="200" w:firstLine="31680"/>
        <w:rPr>
          <w:rFonts w:hint="eastAsia"/>
        </w:rPr>
      </w:pPr>
      <w:r>
        <w:rPr>
          <w:rFonts w:hint="eastAsia"/>
        </w:rPr>
        <w:t>发行印刷材料，提供信息提高社会关注这一群体融入国家生产生活的</w:t>
      </w:r>
      <w:r>
        <w:rPr>
          <w:rFonts w:hint="eastAsia"/>
        </w:rPr>
        <w:t>重要性；计划印发的材料包括传单、手册、海报和关于本年度活动的介绍性说明；</w:t>
      </w:r>
    </w:p>
    <w:p w:rsidR="00000000" w:rsidRDefault="00457650" w:rsidP="00457650">
      <w:pPr>
        <w:widowControl/>
        <w:tabs>
          <w:tab w:val="left" w:pos="630"/>
        </w:tabs>
        <w:spacing w:after="240" w:line="366" w:lineRule="exact"/>
        <w:ind w:leftChars="300" w:left="31680" w:firstLineChars="200" w:firstLine="31680"/>
        <w:rPr>
          <w:rFonts w:hint="eastAsia"/>
        </w:rPr>
      </w:pPr>
      <w:r>
        <w:rPr>
          <w:rFonts w:hint="eastAsia"/>
        </w:rPr>
        <w:t>通过传播媒体包括广播和报刊，开展宣传活动，在各类文章中介绍新型劳动文化，并开展对该群体有利的活动；</w:t>
      </w:r>
    </w:p>
    <w:p w:rsidR="00000000" w:rsidRDefault="00457650" w:rsidP="00457650">
      <w:pPr>
        <w:widowControl/>
        <w:tabs>
          <w:tab w:val="left" w:pos="630"/>
        </w:tabs>
        <w:spacing w:after="240" w:line="366" w:lineRule="exact"/>
        <w:ind w:leftChars="300" w:left="31680" w:firstLineChars="200" w:firstLine="31680"/>
        <w:rPr>
          <w:rFonts w:hint="eastAsia"/>
        </w:rPr>
      </w:pPr>
      <w:r>
        <w:rPr>
          <w:rFonts w:hint="eastAsia"/>
        </w:rPr>
        <w:t>对在监禁期间被剥夺自由并接受改造的人，与雇用他们的企业签订协议；</w:t>
      </w:r>
    </w:p>
    <w:p w:rsidR="00000000" w:rsidRDefault="00457650" w:rsidP="00457650">
      <w:pPr>
        <w:widowControl/>
        <w:tabs>
          <w:tab w:val="left" w:pos="630"/>
        </w:tabs>
        <w:spacing w:after="240" w:line="366" w:lineRule="exact"/>
        <w:ind w:leftChars="300" w:left="31680" w:firstLineChars="200" w:firstLine="31680"/>
        <w:rPr>
          <w:rFonts w:hint="eastAsia"/>
        </w:rPr>
      </w:pPr>
      <w:r>
        <w:rPr>
          <w:rFonts w:hint="eastAsia"/>
        </w:rPr>
        <w:t>对这一弱势群体成员进行职业培训并随后发给证书，以便他们能有更多的就业选择；</w:t>
      </w:r>
    </w:p>
    <w:p w:rsidR="00000000" w:rsidRDefault="00457650" w:rsidP="00457650">
      <w:pPr>
        <w:widowControl/>
        <w:tabs>
          <w:tab w:val="left" w:pos="630"/>
        </w:tabs>
        <w:spacing w:after="240" w:line="366" w:lineRule="exact"/>
        <w:ind w:leftChars="300" w:left="31680" w:firstLineChars="200" w:firstLine="31680"/>
        <w:rPr>
          <w:rFonts w:hint="eastAsia"/>
        </w:rPr>
      </w:pPr>
      <w:r>
        <w:rPr>
          <w:rFonts w:hint="eastAsia"/>
        </w:rPr>
        <w:t>给予官方认可，鼓励那些采取措施推动在工作领域容纳这一弱势群体的机构或企业；</w:t>
      </w:r>
    </w:p>
    <w:p w:rsidR="00000000" w:rsidRDefault="00457650" w:rsidP="00457650">
      <w:pPr>
        <w:widowControl/>
        <w:tabs>
          <w:tab w:val="left" w:pos="630"/>
        </w:tabs>
        <w:spacing w:after="240" w:line="366" w:lineRule="exact"/>
        <w:ind w:leftChars="300" w:left="31680" w:firstLineChars="200" w:firstLine="31680"/>
        <w:rPr>
          <w:rFonts w:hint="eastAsia"/>
        </w:rPr>
      </w:pPr>
      <w:r>
        <w:rPr>
          <w:rFonts w:hint="eastAsia"/>
        </w:rPr>
        <w:t>为被剥夺自由的人举办研讨会，通过交流经验，保证他们在公平的条件下就业；</w:t>
      </w:r>
    </w:p>
    <w:p w:rsidR="00000000" w:rsidRDefault="00457650" w:rsidP="00457650">
      <w:pPr>
        <w:widowControl/>
        <w:tabs>
          <w:tab w:val="left" w:pos="630"/>
        </w:tabs>
        <w:spacing w:after="240" w:line="366" w:lineRule="exact"/>
        <w:ind w:leftChars="300" w:left="31680" w:firstLineChars="200" w:firstLine="31680"/>
        <w:rPr>
          <w:rFonts w:hint="eastAsia"/>
        </w:rPr>
      </w:pPr>
      <w:r>
        <w:rPr>
          <w:rFonts w:hint="eastAsia"/>
        </w:rPr>
        <w:t>通过联邦劳动代表团，改进其他各州的监狱劳动系统，</w:t>
      </w:r>
      <w:r>
        <w:rPr>
          <w:rFonts w:hint="eastAsia"/>
        </w:rPr>
        <w:t>这一系统在阿瓜斯卡连特斯州的联邦劳动代表团支持</w:t>
      </w:r>
      <w:r>
        <w:rPr>
          <w:rFonts w:hint="eastAsia"/>
        </w:rPr>
        <w:t>/</w:t>
      </w:r>
      <w:r>
        <w:rPr>
          <w:rFonts w:hint="eastAsia"/>
        </w:rPr>
        <w:t>后续活动中获得了成功；</w:t>
      </w:r>
    </w:p>
    <w:p w:rsidR="00000000" w:rsidRDefault="00457650" w:rsidP="00457650">
      <w:pPr>
        <w:widowControl/>
        <w:tabs>
          <w:tab w:val="left" w:pos="630"/>
        </w:tabs>
        <w:spacing w:after="240" w:line="366" w:lineRule="exact"/>
        <w:ind w:leftChars="300" w:left="31680" w:firstLineChars="200" w:firstLine="31680"/>
        <w:rPr>
          <w:rFonts w:hint="eastAsia"/>
        </w:rPr>
      </w:pPr>
      <w:r>
        <w:rPr>
          <w:rFonts w:hint="eastAsia"/>
        </w:rPr>
        <w:t>促进建立联系，从这一弱势群体的利益出发，保证公共和私人资源的最优化利用，参加有助于其就业的计划外活动；</w:t>
      </w:r>
    </w:p>
    <w:p w:rsidR="00000000" w:rsidRDefault="00457650" w:rsidP="00457650">
      <w:pPr>
        <w:widowControl/>
        <w:tabs>
          <w:tab w:val="left" w:pos="630"/>
        </w:tabs>
        <w:spacing w:after="240" w:line="366" w:lineRule="exact"/>
        <w:ind w:leftChars="300" w:left="31680" w:firstLineChars="200" w:firstLine="31680"/>
        <w:rPr>
          <w:rFonts w:hint="eastAsia"/>
        </w:rPr>
      </w:pPr>
      <w:r>
        <w:rPr>
          <w:rFonts w:hint="eastAsia"/>
        </w:rPr>
        <w:t>协调“被剥夺自由妇女及其配偶获得更多更好的工作”计划（执行机构：劳工组织）。</w:t>
      </w:r>
    </w:p>
    <w:p w:rsidR="00000000" w:rsidRDefault="00457650">
      <w:pPr>
        <w:widowControl/>
        <w:tabs>
          <w:tab w:val="left" w:pos="630"/>
        </w:tabs>
        <w:spacing w:after="240" w:line="366" w:lineRule="exact"/>
        <w:rPr>
          <w:rFonts w:hint="eastAsia"/>
        </w:rPr>
      </w:pPr>
      <w:r>
        <w:rPr>
          <w:rFonts w:hint="eastAsia"/>
        </w:rPr>
        <w:t>153.</w:t>
      </w:r>
      <w:r>
        <w:rPr>
          <w:rFonts w:hint="eastAsia"/>
        </w:rPr>
        <w:tab/>
        <w:t>2004</w:t>
      </w:r>
      <w:r>
        <w:rPr>
          <w:rFonts w:hint="eastAsia"/>
        </w:rPr>
        <w:t>年对墨西哥监狱的实际工作情况进行了一次调查。监狱和社会改造中心开展了人才培训课程。准备采取步骤将被剥夺自由者的就业纳入特殊立法。在制定措施时将考虑性别，以促进被剥夺自由者的就业。计划建立联系网络，使这些机构履行专门的职责。建议设立为本州服务</w:t>
      </w:r>
      <w:r>
        <w:rPr>
          <w:rFonts w:hint="eastAsia"/>
        </w:rPr>
        <w:t>的监狱工业。</w:t>
      </w:r>
    </w:p>
    <w:p w:rsidR="00000000" w:rsidRDefault="00457650">
      <w:pPr>
        <w:widowControl/>
        <w:tabs>
          <w:tab w:val="left" w:pos="630"/>
        </w:tabs>
        <w:spacing w:after="240" w:line="366" w:lineRule="exact"/>
        <w:rPr>
          <w:rFonts w:ascii="SimHei" w:eastAsia="SimHei" w:hint="eastAsia"/>
        </w:rPr>
      </w:pPr>
      <w:r>
        <w:rPr>
          <w:rFonts w:ascii="SimHei" w:eastAsia="SimHei" w:hint="eastAsia"/>
        </w:rPr>
        <w:t>第</w:t>
      </w:r>
      <w:r>
        <w:rPr>
          <w:rFonts w:ascii="SimHei" w:eastAsia="SimHei" w:hint="eastAsia"/>
        </w:rPr>
        <w:t>10</w:t>
      </w:r>
      <w:r>
        <w:rPr>
          <w:rFonts w:ascii="SimHei" w:eastAsia="SimHei" w:hint="eastAsia"/>
        </w:rPr>
        <w:t>段（</w:t>
      </w:r>
      <w:r>
        <w:rPr>
          <w:rFonts w:ascii="SimHei" w:eastAsia="SimHei" w:hint="eastAsia"/>
        </w:rPr>
        <w:t>b</w:t>
      </w:r>
      <w:r>
        <w:rPr>
          <w:rFonts w:ascii="SimHei" w:eastAsia="SimHei" w:hint="eastAsia"/>
        </w:rPr>
        <w:t>）</w:t>
      </w:r>
    </w:p>
    <w:p w:rsidR="00000000" w:rsidRDefault="00457650">
      <w:pPr>
        <w:widowControl/>
        <w:tabs>
          <w:tab w:val="left" w:pos="630"/>
        </w:tabs>
        <w:spacing w:after="240" w:line="366" w:lineRule="exact"/>
        <w:rPr>
          <w:rFonts w:hint="eastAsia"/>
        </w:rPr>
      </w:pPr>
      <w:r>
        <w:rPr>
          <w:rFonts w:hint="eastAsia"/>
        </w:rPr>
        <w:t>154.</w:t>
      </w:r>
      <w:r>
        <w:rPr>
          <w:rFonts w:hint="eastAsia"/>
        </w:rPr>
        <w:tab/>
      </w:r>
      <w:r>
        <w:rPr>
          <w:rFonts w:hint="eastAsia"/>
        </w:rPr>
        <w:t>关于根据种族、肤色、性别、宗教和国籍进行的职业指导，就业和职业，除了性别之外，信息来源没有区分社会人口特征，本文件第</w:t>
      </w:r>
      <w:r>
        <w:rPr>
          <w:rFonts w:hint="eastAsia"/>
        </w:rPr>
        <w:t>2</w:t>
      </w:r>
      <w:r>
        <w:rPr>
          <w:rFonts w:hint="eastAsia"/>
        </w:rPr>
        <w:t>点分段（</w:t>
      </w:r>
      <w:r>
        <w:rPr>
          <w:rFonts w:hint="eastAsia"/>
        </w:rPr>
        <w:t>a</w:t>
      </w:r>
      <w:r>
        <w:rPr>
          <w:rFonts w:hint="eastAsia"/>
        </w:rPr>
        <w:t>）对目前的现状进行了评论。</w:t>
      </w:r>
    </w:p>
    <w:p w:rsidR="00000000" w:rsidRDefault="00457650">
      <w:pPr>
        <w:keepNext/>
        <w:widowControl/>
        <w:tabs>
          <w:tab w:val="left" w:pos="630"/>
        </w:tabs>
        <w:spacing w:after="240" w:line="366" w:lineRule="exact"/>
        <w:rPr>
          <w:rFonts w:ascii="SimHei" w:eastAsia="SimHei" w:hint="eastAsia"/>
        </w:rPr>
      </w:pPr>
      <w:r>
        <w:rPr>
          <w:rFonts w:ascii="SimHei" w:eastAsia="SimHei" w:hint="eastAsia"/>
        </w:rPr>
        <w:t>第</w:t>
      </w:r>
      <w:r>
        <w:rPr>
          <w:rFonts w:ascii="SimHei" w:eastAsia="SimHei" w:hint="eastAsia"/>
        </w:rPr>
        <w:t>10</w:t>
      </w:r>
      <w:r>
        <w:rPr>
          <w:rFonts w:ascii="SimHei" w:eastAsia="SimHei" w:hint="eastAsia"/>
        </w:rPr>
        <w:t>段（</w:t>
      </w:r>
      <w:r>
        <w:rPr>
          <w:rFonts w:ascii="SimHei" w:eastAsia="SimHei" w:hint="eastAsia"/>
        </w:rPr>
        <w:t>c</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155.</w:t>
      </w:r>
      <w:r>
        <w:rPr>
          <w:rFonts w:hint="eastAsia"/>
        </w:rPr>
        <w:tab/>
      </w:r>
      <w:r>
        <w:rPr>
          <w:rFonts w:hint="eastAsia"/>
        </w:rPr>
        <w:t>《联邦劳动法》第</w:t>
      </w:r>
      <w:r>
        <w:rPr>
          <w:rFonts w:hint="eastAsia"/>
        </w:rPr>
        <w:t>7</w:t>
      </w:r>
      <w:r>
        <w:rPr>
          <w:rFonts w:hint="eastAsia"/>
        </w:rPr>
        <w:t>条和第</w:t>
      </w:r>
      <w:r>
        <w:rPr>
          <w:rFonts w:hint="eastAsia"/>
        </w:rPr>
        <w:t>372</w:t>
      </w:r>
      <w:r>
        <w:rPr>
          <w:rFonts w:hint="eastAsia"/>
        </w:rPr>
        <w:t>条（第</w:t>
      </w:r>
      <w:r>
        <w:rPr>
          <w:rFonts w:hint="eastAsia"/>
        </w:rPr>
        <w:t>2</w:t>
      </w:r>
      <w:r>
        <w:rPr>
          <w:rFonts w:hint="eastAsia"/>
        </w:rPr>
        <w:t>款）具体规定了不视为是歧视的差别、排斥和优待。具体条文如下：</w:t>
      </w:r>
    </w:p>
    <w:p w:rsidR="00000000" w:rsidRDefault="00457650" w:rsidP="00457650">
      <w:pPr>
        <w:widowControl/>
        <w:tabs>
          <w:tab w:val="left" w:pos="630"/>
        </w:tabs>
        <w:spacing w:after="240" w:line="360" w:lineRule="exact"/>
        <w:ind w:leftChars="300" w:left="31680" w:firstLineChars="200" w:firstLine="31680"/>
        <w:rPr>
          <w:rFonts w:hint="eastAsia"/>
        </w:rPr>
      </w:pPr>
      <w:r>
        <w:rPr>
          <w:rFonts w:hint="eastAsia"/>
        </w:rPr>
        <w:t>“第</w:t>
      </w:r>
      <w:r>
        <w:rPr>
          <w:rFonts w:hint="eastAsia"/>
        </w:rPr>
        <w:t>7</w:t>
      </w:r>
      <w:r>
        <w:rPr>
          <w:rFonts w:hint="eastAsia"/>
        </w:rPr>
        <w:t>条。在任何企业或单位，雇主雇用的工人中墨西哥人必须不得少于</w:t>
      </w:r>
      <w:r>
        <w:rPr>
          <w:rFonts w:hint="eastAsia"/>
        </w:rPr>
        <w:t>90%</w:t>
      </w:r>
      <w:r>
        <w:rPr>
          <w:rFonts w:hint="eastAsia"/>
        </w:rPr>
        <w:t>。技术和专业类工人必须具有墨西哥国籍，没有墨西哥国籍，但具有特殊专业的人才除外，在这种情况下雇主可以暂时雇用外国工人，但</w:t>
      </w:r>
      <w:r>
        <w:rPr>
          <w:rFonts w:hint="eastAsia"/>
        </w:rPr>
        <w:t>比例不得超过本专业雇员的</w:t>
      </w:r>
      <w:r>
        <w:rPr>
          <w:rFonts w:hint="eastAsia"/>
        </w:rPr>
        <w:t>10%</w:t>
      </w:r>
      <w:r>
        <w:rPr>
          <w:rFonts w:hint="eastAsia"/>
        </w:rPr>
        <w:t>。雇主和外国工人对具有所涉专业的墨西哥工人负有共同的培训义务。”</w:t>
      </w:r>
    </w:p>
    <w:p w:rsidR="00000000" w:rsidRDefault="00457650">
      <w:pPr>
        <w:widowControl/>
        <w:tabs>
          <w:tab w:val="left" w:pos="630"/>
        </w:tabs>
        <w:spacing w:after="240" w:line="360" w:lineRule="exact"/>
        <w:rPr>
          <w:rFonts w:hint="eastAsia"/>
        </w:rPr>
      </w:pPr>
      <w:r>
        <w:rPr>
          <w:rFonts w:hint="eastAsia"/>
        </w:rPr>
        <w:t>156.</w:t>
      </w:r>
      <w:r>
        <w:rPr>
          <w:rFonts w:hint="eastAsia"/>
        </w:rPr>
        <w:tab/>
      </w:r>
      <w:r>
        <w:rPr>
          <w:rFonts w:hint="eastAsia"/>
        </w:rPr>
        <w:t>本条规定不适用于董事、管理者和总经理。</w:t>
      </w:r>
    </w:p>
    <w:p w:rsidR="00000000" w:rsidRDefault="00457650">
      <w:pPr>
        <w:widowControl/>
        <w:tabs>
          <w:tab w:val="left" w:pos="630"/>
        </w:tabs>
        <w:spacing w:after="240" w:line="360" w:lineRule="exact"/>
        <w:rPr>
          <w:rFonts w:hint="eastAsia"/>
        </w:rPr>
      </w:pPr>
      <w:r>
        <w:rPr>
          <w:rFonts w:hint="eastAsia"/>
        </w:rPr>
        <w:t>157.</w:t>
      </w:r>
      <w:r>
        <w:rPr>
          <w:rFonts w:hint="eastAsia"/>
        </w:rPr>
        <w:tab/>
      </w:r>
      <w:r>
        <w:rPr>
          <w:rFonts w:hint="eastAsia"/>
        </w:rPr>
        <w:t>该法第</w:t>
      </w:r>
      <w:r>
        <w:rPr>
          <w:rFonts w:hint="eastAsia"/>
        </w:rPr>
        <w:t>372</w:t>
      </w:r>
      <w:r>
        <w:rPr>
          <w:rFonts w:hint="eastAsia"/>
        </w:rPr>
        <w:t>条规定外国人不得加入工会执行委员会。</w:t>
      </w:r>
    </w:p>
    <w:p w:rsidR="00000000" w:rsidRDefault="00457650">
      <w:pPr>
        <w:widowControl/>
        <w:tabs>
          <w:tab w:val="left" w:pos="630"/>
        </w:tabs>
        <w:spacing w:after="240" w:line="360" w:lineRule="exact"/>
        <w:rPr>
          <w:rFonts w:hint="eastAsia"/>
        </w:rPr>
      </w:pPr>
      <w:r>
        <w:rPr>
          <w:rFonts w:hint="eastAsia"/>
        </w:rPr>
        <w:t>158.</w:t>
      </w:r>
      <w:r>
        <w:rPr>
          <w:rFonts w:hint="eastAsia"/>
        </w:rPr>
        <w:tab/>
      </w:r>
      <w:r>
        <w:rPr>
          <w:rFonts w:hint="eastAsia"/>
        </w:rPr>
        <w:t>除上述规定外，《联邦劳动法》还规定，在两种情况下，由于对有关工作种类的特殊要求而在墨西哥实行差别、排斥或优待不视为歧视。</w:t>
      </w:r>
    </w:p>
    <w:p w:rsidR="00000000" w:rsidRDefault="00457650">
      <w:pPr>
        <w:widowControl/>
        <w:tabs>
          <w:tab w:val="left" w:pos="630"/>
        </w:tabs>
        <w:spacing w:after="240" w:line="360" w:lineRule="exact"/>
        <w:rPr>
          <w:rFonts w:hint="eastAsia"/>
        </w:rPr>
      </w:pPr>
      <w:r>
        <w:rPr>
          <w:rFonts w:hint="eastAsia"/>
        </w:rPr>
        <w:t>159.</w:t>
      </w:r>
      <w:r>
        <w:rPr>
          <w:rFonts w:hint="eastAsia"/>
        </w:rPr>
        <w:tab/>
      </w:r>
      <w:r>
        <w:rPr>
          <w:rFonts w:hint="eastAsia"/>
        </w:rPr>
        <w:t>一种情况是在怀孕或哺乳期内，如果工作危及到妇女或儿童的健康，那么限制妇女从事此类工作不视为歧视。在这种情况下，不得从工资、福利和权利上对妇女实行任何歧视；不可雇用其</w:t>
      </w:r>
      <w:r>
        <w:rPr>
          <w:rFonts w:hint="eastAsia"/>
        </w:rPr>
        <w:t>从事不健康或危险的工作，在工业、商业或服务业，夜班不得超过</w:t>
      </w:r>
      <w:r>
        <w:rPr>
          <w:rFonts w:hint="eastAsia"/>
        </w:rPr>
        <w:t>10</w:t>
      </w:r>
      <w:r>
        <w:rPr>
          <w:rFonts w:hint="eastAsia"/>
        </w:rPr>
        <w:t>时或加班。</w:t>
      </w:r>
    </w:p>
    <w:p w:rsidR="00000000" w:rsidRDefault="00457650">
      <w:pPr>
        <w:widowControl/>
        <w:tabs>
          <w:tab w:val="left" w:pos="630"/>
        </w:tabs>
        <w:spacing w:after="240" w:line="360" w:lineRule="exact"/>
        <w:rPr>
          <w:rFonts w:hint="eastAsia"/>
        </w:rPr>
      </w:pPr>
      <w:r>
        <w:rPr>
          <w:rFonts w:hint="eastAsia"/>
        </w:rPr>
        <w:t>160.</w:t>
      </w:r>
      <w:r>
        <w:rPr>
          <w:rFonts w:hint="eastAsia"/>
        </w:rPr>
        <w:tab/>
      </w:r>
      <w:r>
        <w:rPr>
          <w:rFonts w:hint="eastAsia"/>
        </w:rPr>
        <w:t>为此，规定参加工作的母亲享有以下权利：</w:t>
      </w:r>
    </w:p>
    <w:p w:rsidR="00000000" w:rsidRDefault="00457650" w:rsidP="00457650">
      <w:pPr>
        <w:widowControl/>
        <w:tabs>
          <w:tab w:val="left" w:pos="1050"/>
        </w:tabs>
        <w:spacing w:after="240" w:line="340" w:lineRule="exact"/>
        <w:ind w:leftChars="300" w:left="31680" w:hangingChars="200" w:firstLine="31680"/>
        <w:rPr>
          <w:rFonts w:hint="eastAsia"/>
        </w:rPr>
      </w:pPr>
      <w:r>
        <w:rPr>
          <w:rFonts w:hint="eastAsia"/>
        </w:rPr>
        <w:t>一、怀孕期间妇女不得从事繁重的工作或者危及其怀孕的工作，例如提、拉或推重物，产生震动的工作，长时间站立的工作或者可能对其身心产生负面影响的工作；</w:t>
      </w:r>
    </w:p>
    <w:p w:rsidR="00000000" w:rsidRDefault="00457650" w:rsidP="00457650">
      <w:pPr>
        <w:widowControl/>
        <w:tabs>
          <w:tab w:val="left" w:pos="1050"/>
        </w:tabs>
        <w:spacing w:after="240" w:line="340" w:lineRule="exact"/>
        <w:ind w:leftChars="300" w:left="31680" w:hangingChars="200" w:firstLine="31680"/>
        <w:rPr>
          <w:rFonts w:hint="eastAsia"/>
        </w:rPr>
      </w:pPr>
      <w:r>
        <w:rPr>
          <w:rFonts w:hint="eastAsia"/>
        </w:rPr>
        <w:t>二、在产前和产后应享有六周的休息时间。</w:t>
      </w:r>
    </w:p>
    <w:p w:rsidR="00000000" w:rsidRDefault="00457650" w:rsidP="00457650">
      <w:pPr>
        <w:widowControl/>
        <w:tabs>
          <w:tab w:val="left" w:pos="1050"/>
        </w:tabs>
        <w:spacing w:after="240" w:line="340" w:lineRule="exact"/>
        <w:ind w:leftChars="300" w:left="31680" w:hangingChars="200" w:firstLine="31680"/>
        <w:rPr>
          <w:rFonts w:hint="eastAsia"/>
        </w:rPr>
      </w:pPr>
      <w:r>
        <w:rPr>
          <w:rFonts w:hint="eastAsia"/>
        </w:rPr>
        <w:t>三、当妇女发现自己因怀孕或生育而导致无法工作时，她可以按所需要的时间延长上一款提到的休息时间；</w:t>
      </w:r>
    </w:p>
    <w:p w:rsidR="00000000" w:rsidRDefault="00457650" w:rsidP="00457650">
      <w:pPr>
        <w:widowControl/>
        <w:tabs>
          <w:tab w:val="left" w:pos="1050"/>
        </w:tabs>
        <w:spacing w:after="240" w:line="340" w:lineRule="exact"/>
        <w:ind w:leftChars="300" w:left="31680" w:hangingChars="200" w:firstLine="31680"/>
        <w:rPr>
          <w:rFonts w:hint="eastAsia"/>
        </w:rPr>
      </w:pPr>
      <w:r>
        <w:rPr>
          <w:rFonts w:hint="eastAsia"/>
        </w:rPr>
        <w:t>四、在哺乳期间，应当给予其两段各为</w:t>
      </w:r>
      <w:r>
        <w:rPr>
          <w:rFonts w:hint="eastAsia"/>
        </w:rPr>
        <w:t>30</w:t>
      </w:r>
      <w:r>
        <w:rPr>
          <w:rFonts w:hint="eastAsia"/>
        </w:rPr>
        <w:t>分钟的特别休息时间进行哺乳，企业应为其安排合适的卫生场所；</w:t>
      </w:r>
    </w:p>
    <w:p w:rsidR="00000000" w:rsidRDefault="00457650" w:rsidP="00457650">
      <w:pPr>
        <w:widowControl/>
        <w:tabs>
          <w:tab w:val="left" w:pos="1050"/>
        </w:tabs>
        <w:spacing w:after="240" w:line="340" w:lineRule="exact"/>
        <w:ind w:leftChars="300" w:left="31680" w:hangingChars="200" w:firstLine="31680"/>
        <w:rPr>
          <w:rFonts w:hint="eastAsia"/>
        </w:rPr>
      </w:pPr>
      <w:r>
        <w:rPr>
          <w:rFonts w:hint="eastAsia"/>
        </w:rPr>
        <w:t>五、在第</w:t>
      </w:r>
      <w:r>
        <w:rPr>
          <w:rFonts w:hint="eastAsia"/>
        </w:rPr>
        <w:t>2</w:t>
      </w:r>
      <w:r>
        <w:rPr>
          <w:rFonts w:hint="eastAsia"/>
        </w:rPr>
        <w:t>款提及的休息时间内，妇女应得到全部工资。在第</w:t>
      </w:r>
      <w:r>
        <w:rPr>
          <w:rFonts w:hint="eastAsia"/>
        </w:rPr>
        <w:t>3</w:t>
      </w:r>
      <w:r>
        <w:rPr>
          <w:rFonts w:hint="eastAsia"/>
        </w:rPr>
        <w:t>款提及的情况下，妇女有权在不超过</w:t>
      </w:r>
      <w:r>
        <w:rPr>
          <w:rFonts w:hint="eastAsia"/>
        </w:rPr>
        <w:t>60</w:t>
      </w:r>
      <w:r>
        <w:rPr>
          <w:rFonts w:hint="eastAsia"/>
        </w:rPr>
        <w:t>天的期限内得到工资的</w:t>
      </w:r>
      <w:r>
        <w:rPr>
          <w:rFonts w:hint="eastAsia"/>
        </w:rPr>
        <w:t>50%</w:t>
      </w:r>
      <w:r>
        <w:rPr>
          <w:rFonts w:hint="eastAsia"/>
        </w:rPr>
        <w:t>；</w:t>
      </w:r>
    </w:p>
    <w:p w:rsidR="00000000" w:rsidRDefault="00457650" w:rsidP="00457650">
      <w:pPr>
        <w:widowControl/>
        <w:tabs>
          <w:tab w:val="left" w:pos="1050"/>
        </w:tabs>
        <w:spacing w:after="240" w:line="340" w:lineRule="exact"/>
        <w:ind w:leftChars="300" w:left="31680" w:hangingChars="200" w:firstLine="31680"/>
        <w:rPr>
          <w:rFonts w:hint="eastAsia"/>
        </w:rPr>
      </w:pPr>
      <w:r>
        <w:rPr>
          <w:rFonts w:hint="eastAsia"/>
        </w:rPr>
        <w:t>六、如果从婴儿出生之日起不满一年，妇女有权返回原工作岗位；和</w:t>
      </w:r>
    </w:p>
    <w:p w:rsidR="00000000" w:rsidRDefault="00457650" w:rsidP="00457650">
      <w:pPr>
        <w:widowControl/>
        <w:tabs>
          <w:tab w:val="left" w:pos="1050"/>
        </w:tabs>
        <w:spacing w:after="240" w:line="360" w:lineRule="exact"/>
        <w:ind w:leftChars="300" w:left="31680" w:hangingChars="200" w:firstLine="31680"/>
        <w:rPr>
          <w:rFonts w:hint="eastAsia"/>
        </w:rPr>
      </w:pPr>
      <w:r>
        <w:rPr>
          <w:rFonts w:hint="eastAsia"/>
        </w:rPr>
        <w:t>七、产前和产后假期计入其工作资历。</w:t>
      </w:r>
    </w:p>
    <w:p w:rsidR="00000000" w:rsidRDefault="00457650">
      <w:pPr>
        <w:widowControl/>
        <w:tabs>
          <w:tab w:val="left" w:pos="630"/>
        </w:tabs>
        <w:spacing w:after="240" w:line="360" w:lineRule="exact"/>
        <w:rPr>
          <w:rFonts w:hint="eastAsia"/>
        </w:rPr>
      </w:pPr>
      <w:r>
        <w:rPr>
          <w:rFonts w:hint="eastAsia"/>
        </w:rPr>
        <w:t>161.</w:t>
      </w:r>
      <w:r>
        <w:rPr>
          <w:rFonts w:hint="eastAsia"/>
        </w:rPr>
        <w:tab/>
      </w:r>
      <w:r>
        <w:rPr>
          <w:rFonts w:hint="eastAsia"/>
        </w:rPr>
        <w:t>与此相关，《关于安全、健康和工作环境联邦条例》规定特定种类的工作不得雇用怀孕妇女。</w:t>
      </w:r>
      <w:r>
        <w:rPr>
          <w:rStyle w:val="FootnoteReference"/>
          <w:szCs w:val="21"/>
        </w:rPr>
        <w:footnoteReference w:id="11"/>
      </w:r>
    </w:p>
    <w:p w:rsidR="00000000" w:rsidRDefault="00457650">
      <w:pPr>
        <w:widowControl/>
        <w:tabs>
          <w:tab w:val="left" w:pos="630"/>
        </w:tabs>
        <w:spacing w:after="240" w:line="360" w:lineRule="exact"/>
        <w:rPr>
          <w:rFonts w:hint="eastAsia"/>
        </w:rPr>
      </w:pPr>
      <w:r>
        <w:rPr>
          <w:rFonts w:hint="eastAsia"/>
        </w:rPr>
        <w:t>162.</w:t>
      </w:r>
      <w:r>
        <w:rPr>
          <w:rFonts w:hint="eastAsia"/>
        </w:rPr>
        <w:tab/>
      </w:r>
      <w:r>
        <w:rPr>
          <w:rFonts w:hint="eastAsia"/>
        </w:rPr>
        <w:t>另外还规定，如果工作暴露在会影响其生命和健康的化学物质中，则不得雇用哺乳的妇女。</w:t>
      </w:r>
    </w:p>
    <w:p w:rsidR="00000000" w:rsidRDefault="00457650">
      <w:pPr>
        <w:widowControl/>
        <w:tabs>
          <w:tab w:val="left" w:pos="630"/>
        </w:tabs>
        <w:spacing w:after="240" w:line="360" w:lineRule="exact"/>
        <w:rPr>
          <w:rFonts w:hint="eastAsia"/>
        </w:rPr>
      </w:pPr>
      <w:r>
        <w:rPr>
          <w:rFonts w:hint="eastAsia"/>
        </w:rPr>
        <w:t>163.</w:t>
      </w:r>
      <w:r>
        <w:rPr>
          <w:rFonts w:hint="eastAsia"/>
        </w:rPr>
        <w:tab/>
      </w:r>
      <w:r>
        <w:rPr>
          <w:rFonts w:hint="eastAsia"/>
        </w:rPr>
        <w:t>第二种情况涉及未成年人。《联邦劳动法》禁止雇用未成年人：</w:t>
      </w:r>
    </w:p>
    <w:p w:rsidR="00000000" w:rsidRDefault="00457650" w:rsidP="00457650">
      <w:pPr>
        <w:widowControl/>
        <w:tabs>
          <w:tab w:val="left" w:pos="1050"/>
        </w:tabs>
        <w:spacing w:after="240" w:line="360" w:lineRule="exact"/>
        <w:ind w:leftChars="300" w:left="31680" w:hangingChars="200" w:firstLine="31680"/>
        <w:rPr>
          <w:rFonts w:hint="eastAsia"/>
        </w:rPr>
      </w:pPr>
      <w:r>
        <w:rPr>
          <w:rFonts w:hint="eastAsia"/>
        </w:rPr>
        <w:t>一、未满</w:t>
      </w:r>
      <w:r>
        <w:rPr>
          <w:rFonts w:hint="eastAsia"/>
        </w:rPr>
        <w:t>16</w:t>
      </w:r>
      <w:r>
        <w:rPr>
          <w:rFonts w:hint="eastAsia"/>
        </w:rPr>
        <w:t>周岁：</w:t>
      </w:r>
    </w:p>
    <w:p w:rsidR="00000000" w:rsidRDefault="00457650" w:rsidP="00457650">
      <w:pPr>
        <w:widowControl/>
        <w:tabs>
          <w:tab w:val="left" w:pos="1470"/>
        </w:tabs>
        <w:spacing w:after="240" w:line="360" w:lineRule="exact"/>
        <w:ind w:leftChars="450" w:left="31680" w:hangingChars="250" w:firstLine="31680"/>
        <w:rPr>
          <w:rFonts w:hint="eastAsia"/>
        </w:rPr>
      </w:pPr>
      <w:r>
        <w:rPr>
          <w:rFonts w:hint="eastAsia"/>
        </w:rPr>
        <w:t>（</w:t>
      </w:r>
      <w:r>
        <w:rPr>
          <w:rFonts w:hint="eastAsia"/>
        </w:rPr>
        <w:t>a</w:t>
      </w:r>
      <w:r>
        <w:rPr>
          <w:rFonts w:hint="eastAsia"/>
        </w:rPr>
        <w:t>）</w:t>
      </w:r>
      <w:r>
        <w:rPr>
          <w:rFonts w:hint="eastAsia"/>
        </w:rPr>
        <w:tab/>
      </w:r>
      <w:r>
        <w:rPr>
          <w:rFonts w:hint="eastAsia"/>
        </w:rPr>
        <w:t>在销售直接饮用酒</w:t>
      </w:r>
      <w:r>
        <w:rPr>
          <w:rFonts w:hint="eastAsia"/>
        </w:rPr>
        <w:t>精饮料的场所工作；</w:t>
      </w:r>
    </w:p>
    <w:p w:rsidR="00000000" w:rsidRDefault="00457650" w:rsidP="00457650">
      <w:pPr>
        <w:widowControl/>
        <w:tabs>
          <w:tab w:val="left" w:pos="1470"/>
        </w:tabs>
        <w:spacing w:after="240" w:line="360" w:lineRule="exact"/>
        <w:ind w:leftChars="450" w:left="31680" w:hangingChars="250" w:firstLine="31680"/>
        <w:rPr>
          <w:rFonts w:hint="eastAsia"/>
        </w:rPr>
      </w:pPr>
      <w:r>
        <w:rPr>
          <w:rFonts w:hint="eastAsia"/>
        </w:rPr>
        <w:t>（</w:t>
      </w:r>
      <w:r>
        <w:rPr>
          <w:rFonts w:hint="eastAsia"/>
        </w:rPr>
        <w:t>b</w:t>
      </w:r>
      <w:r>
        <w:rPr>
          <w:rFonts w:hint="eastAsia"/>
        </w:rPr>
        <w:t>）从事对其道德和良好品行具有影响的工作；</w:t>
      </w:r>
    </w:p>
    <w:p w:rsidR="00000000" w:rsidRDefault="00457650" w:rsidP="00457650">
      <w:pPr>
        <w:widowControl/>
        <w:tabs>
          <w:tab w:val="left" w:pos="1470"/>
        </w:tabs>
        <w:spacing w:after="240" w:line="360" w:lineRule="exact"/>
        <w:ind w:leftChars="450" w:left="31680" w:hangingChars="250" w:firstLine="31680"/>
        <w:rPr>
          <w:rFonts w:hint="eastAsia"/>
        </w:rPr>
      </w:pPr>
      <w:r>
        <w:rPr>
          <w:rFonts w:hint="eastAsia"/>
        </w:rPr>
        <w:t>（</w:t>
      </w:r>
      <w:r>
        <w:rPr>
          <w:rFonts w:hint="eastAsia"/>
        </w:rPr>
        <w:t>c</w:t>
      </w:r>
      <w:r>
        <w:rPr>
          <w:rFonts w:hint="eastAsia"/>
        </w:rPr>
        <w:t>）从事流动工作，但劳动监察特许的除外；</w:t>
      </w:r>
    </w:p>
    <w:p w:rsidR="00000000" w:rsidRDefault="00457650" w:rsidP="00457650">
      <w:pPr>
        <w:widowControl/>
        <w:tabs>
          <w:tab w:val="left" w:pos="1470"/>
        </w:tabs>
        <w:spacing w:after="240" w:line="360" w:lineRule="exact"/>
        <w:ind w:leftChars="450" w:left="31680" w:hangingChars="250" w:firstLine="31680"/>
        <w:rPr>
          <w:rFonts w:hint="eastAsia"/>
        </w:rPr>
      </w:pPr>
      <w:r>
        <w:rPr>
          <w:rFonts w:hint="eastAsia"/>
        </w:rPr>
        <w:t>（</w:t>
      </w:r>
      <w:r>
        <w:rPr>
          <w:rFonts w:hint="eastAsia"/>
        </w:rPr>
        <w:t>d</w:t>
      </w:r>
      <w:r>
        <w:rPr>
          <w:rFonts w:hint="eastAsia"/>
        </w:rPr>
        <w:t>）从事水下或地下工作；</w:t>
      </w:r>
    </w:p>
    <w:p w:rsidR="00000000" w:rsidRDefault="00457650" w:rsidP="00457650">
      <w:pPr>
        <w:widowControl/>
        <w:tabs>
          <w:tab w:val="left" w:pos="1470"/>
        </w:tabs>
        <w:spacing w:after="240" w:line="360" w:lineRule="exact"/>
        <w:ind w:leftChars="450" w:left="31680" w:hangingChars="250" w:firstLine="31680"/>
        <w:rPr>
          <w:rFonts w:hint="eastAsia"/>
        </w:rPr>
      </w:pPr>
      <w:r>
        <w:rPr>
          <w:rFonts w:hint="eastAsia"/>
        </w:rPr>
        <w:t>（</w:t>
      </w:r>
      <w:r>
        <w:rPr>
          <w:rFonts w:hint="eastAsia"/>
        </w:rPr>
        <w:t>e</w:t>
      </w:r>
      <w:r>
        <w:rPr>
          <w:rFonts w:hint="eastAsia"/>
        </w:rPr>
        <w:t>）从事危险或影响健康的工作；</w:t>
      </w:r>
    </w:p>
    <w:p w:rsidR="00000000" w:rsidRDefault="00457650" w:rsidP="00457650">
      <w:pPr>
        <w:widowControl/>
        <w:tabs>
          <w:tab w:val="left" w:pos="1470"/>
        </w:tabs>
        <w:spacing w:after="240" w:line="360" w:lineRule="exact"/>
        <w:ind w:leftChars="450" w:left="31680" w:hangingChars="250" w:firstLine="31680"/>
        <w:rPr>
          <w:rFonts w:hint="eastAsia"/>
        </w:rPr>
      </w:pPr>
      <w:r>
        <w:rPr>
          <w:rFonts w:hint="eastAsia"/>
        </w:rPr>
        <w:t>（</w:t>
      </w:r>
      <w:r>
        <w:rPr>
          <w:rFonts w:hint="eastAsia"/>
        </w:rPr>
        <w:t>f</w:t>
      </w:r>
      <w:r>
        <w:rPr>
          <w:rFonts w:hint="eastAsia"/>
        </w:rPr>
        <w:t>）从事超过其体力或延缓其身体正常发育的工作；</w:t>
      </w:r>
    </w:p>
    <w:p w:rsidR="00000000" w:rsidRDefault="00457650" w:rsidP="00457650">
      <w:pPr>
        <w:widowControl/>
        <w:tabs>
          <w:tab w:val="left" w:pos="1470"/>
        </w:tabs>
        <w:spacing w:after="240" w:line="360" w:lineRule="exact"/>
        <w:ind w:leftChars="450" w:left="31680" w:hangingChars="250" w:firstLine="31680"/>
        <w:rPr>
          <w:rFonts w:hint="eastAsia"/>
        </w:rPr>
      </w:pPr>
      <w:r>
        <w:rPr>
          <w:rFonts w:hint="eastAsia"/>
        </w:rPr>
        <w:t>（</w:t>
      </w:r>
      <w:r>
        <w:rPr>
          <w:rFonts w:hint="eastAsia"/>
        </w:rPr>
        <w:t>g</w:t>
      </w:r>
      <w:r>
        <w:rPr>
          <w:rFonts w:hint="eastAsia"/>
        </w:rPr>
        <w:t>）晚上</w:t>
      </w:r>
      <w:r>
        <w:rPr>
          <w:rFonts w:hint="eastAsia"/>
        </w:rPr>
        <w:t>10</w:t>
      </w:r>
      <w:r>
        <w:rPr>
          <w:rFonts w:hint="eastAsia"/>
        </w:rPr>
        <w:t>点以后在非工业单位工作；</w:t>
      </w:r>
    </w:p>
    <w:p w:rsidR="00000000" w:rsidRDefault="00457650" w:rsidP="00457650">
      <w:pPr>
        <w:widowControl/>
        <w:tabs>
          <w:tab w:val="left" w:pos="1470"/>
        </w:tabs>
        <w:spacing w:after="240" w:line="360" w:lineRule="exact"/>
        <w:ind w:leftChars="450" w:left="31680" w:hangingChars="250" w:firstLine="31680"/>
        <w:rPr>
          <w:rFonts w:hint="eastAsia"/>
        </w:rPr>
      </w:pPr>
      <w:r>
        <w:rPr>
          <w:rFonts w:hint="eastAsia"/>
        </w:rPr>
        <w:t>（</w:t>
      </w:r>
      <w:r>
        <w:rPr>
          <w:rFonts w:hint="eastAsia"/>
        </w:rPr>
        <w:t>h</w:t>
      </w:r>
      <w:r>
        <w:rPr>
          <w:rFonts w:hint="eastAsia"/>
        </w:rPr>
        <w:t>）法律规定的其他种类的工作。</w:t>
      </w:r>
    </w:p>
    <w:p w:rsidR="00000000" w:rsidRDefault="00457650" w:rsidP="00457650">
      <w:pPr>
        <w:widowControl/>
        <w:tabs>
          <w:tab w:val="left" w:pos="1050"/>
        </w:tabs>
        <w:spacing w:after="240" w:line="360" w:lineRule="exact"/>
        <w:ind w:leftChars="300" w:left="31680" w:hangingChars="200" w:firstLine="31680"/>
        <w:rPr>
          <w:rFonts w:hint="eastAsia"/>
        </w:rPr>
      </w:pPr>
      <w:r>
        <w:rPr>
          <w:rFonts w:hint="eastAsia"/>
        </w:rPr>
        <w:t>二、未满</w:t>
      </w:r>
      <w:r>
        <w:rPr>
          <w:rFonts w:hint="eastAsia"/>
        </w:rPr>
        <w:t>18</w:t>
      </w:r>
      <w:r>
        <w:rPr>
          <w:rFonts w:hint="eastAsia"/>
        </w:rPr>
        <w:t>周岁：</w:t>
      </w:r>
    </w:p>
    <w:p w:rsidR="00000000" w:rsidRDefault="00457650" w:rsidP="00457650">
      <w:pPr>
        <w:widowControl/>
        <w:tabs>
          <w:tab w:val="left" w:pos="1470"/>
        </w:tabs>
        <w:spacing w:after="240" w:line="360" w:lineRule="exact"/>
        <w:ind w:leftChars="450" w:left="31680" w:hangingChars="250" w:firstLine="31680"/>
        <w:rPr>
          <w:rFonts w:hint="eastAsia"/>
        </w:rPr>
      </w:pPr>
      <w:r>
        <w:rPr>
          <w:rFonts w:hint="eastAsia"/>
        </w:rPr>
        <w:t>（</w:t>
      </w:r>
      <w:r>
        <w:rPr>
          <w:rFonts w:hint="eastAsia"/>
        </w:rPr>
        <w:t>a</w:t>
      </w:r>
      <w:r>
        <w:rPr>
          <w:rFonts w:hint="eastAsia"/>
        </w:rPr>
        <w:t>）在工业单位从事夜班工作。</w:t>
      </w:r>
    </w:p>
    <w:p w:rsidR="00000000" w:rsidRDefault="00457650">
      <w:pPr>
        <w:widowControl/>
        <w:tabs>
          <w:tab w:val="left" w:pos="630"/>
        </w:tabs>
        <w:spacing w:after="240" w:line="360" w:lineRule="exact"/>
        <w:rPr>
          <w:rFonts w:hint="eastAsia"/>
        </w:rPr>
      </w:pPr>
      <w:r>
        <w:rPr>
          <w:rFonts w:hint="eastAsia"/>
        </w:rPr>
        <w:t>164.</w:t>
      </w:r>
      <w:r>
        <w:rPr>
          <w:rFonts w:hint="eastAsia"/>
        </w:rPr>
        <w:tab/>
      </w:r>
      <w:r>
        <w:rPr>
          <w:rFonts w:hint="eastAsia"/>
        </w:rPr>
        <w:t>《关于安全、健康和工作环境的联邦条例》（第</w:t>
      </w:r>
      <w:r>
        <w:rPr>
          <w:rFonts w:hint="eastAsia"/>
        </w:rPr>
        <w:t>159</w:t>
      </w:r>
      <w:r>
        <w:rPr>
          <w:rFonts w:hint="eastAsia"/>
        </w:rPr>
        <w:t>条）规定不得雇用</w:t>
      </w:r>
      <w:r>
        <w:rPr>
          <w:rFonts w:hint="eastAsia"/>
        </w:rPr>
        <w:t>14-16</w:t>
      </w:r>
      <w:r>
        <w:rPr>
          <w:rFonts w:hint="eastAsia"/>
        </w:rPr>
        <w:t>岁的人从事危险或不利于健康的职业。此外，根据《实施宪法第</w:t>
      </w:r>
      <w:r>
        <w:rPr>
          <w:rFonts w:hint="eastAsia"/>
        </w:rPr>
        <w:t>27</w:t>
      </w:r>
      <w:r>
        <w:rPr>
          <w:rFonts w:hint="eastAsia"/>
        </w:rPr>
        <w:t>条法》中关于核物质的</w:t>
      </w:r>
      <w:r>
        <w:rPr>
          <w:rFonts w:hint="eastAsia"/>
        </w:rPr>
        <w:t>条款，以及《放射性安全总条例》（第</w:t>
      </w:r>
      <w:r>
        <w:rPr>
          <w:rFonts w:hint="eastAsia"/>
        </w:rPr>
        <w:t>160</w:t>
      </w:r>
      <w:r>
        <w:rPr>
          <w:rFonts w:hint="eastAsia"/>
        </w:rPr>
        <w:t>条），不得指派未满</w:t>
      </w:r>
      <w:r>
        <w:rPr>
          <w:rFonts w:hint="eastAsia"/>
        </w:rPr>
        <w:t>18</w:t>
      </w:r>
      <w:r>
        <w:rPr>
          <w:rFonts w:hint="eastAsia"/>
        </w:rPr>
        <w:t>周岁的未成年人从事暴露在离子辐射环境下的工作。</w:t>
      </w:r>
    </w:p>
    <w:p w:rsidR="00000000" w:rsidRDefault="00457650">
      <w:pPr>
        <w:widowControl/>
        <w:tabs>
          <w:tab w:val="left" w:pos="630"/>
        </w:tabs>
        <w:spacing w:after="240" w:line="360" w:lineRule="exact"/>
        <w:rPr>
          <w:rFonts w:hint="eastAsia"/>
        </w:rPr>
      </w:pPr>
      <w:r>
        <w:rPr>
          <w:rFonts w:hint="eastAsia"/>
        </w:rPr>
        <w:t>165.</w:t>
      </w:r>
      <w:r>
        <w:rPr>
          <w:rFonts w:hint="eastAsia"/>
        </w:rPr>
        <w:tab/>
      </w:r>
      <w:r>
        <w:rPr>
          <w:rFonts w:hint="eastAsia"/>
        </w:rPr>
        <w:t>应该牢记的是，《预防和消除歧视联邦法》（第</w:t>
      </w:r>
      <w:r>
        <w:rPr>
          <w:rFonts w:hint="eastAsia"/>
        </w:rPr>
        <w:t>5</w:t>
      </w:r>
      <w:r>
        <w:rPr>
          <w:rFonts w:hint="eastAsia"/>
        </w:rPr>
        <w:t>条）规定，除其他情况之外，以下情况可以不视为歧视：</w:t>
      </w:r>
    </w:p>
    <w:p w:rsidR="00000000" w:rsidRDefault="00457650" w:rsidP="00457650">
      <w:pPr>
        <w:widowControl/>
        <w:numPr>
          <w:ilvl w:val="0"/>
          <w:numId w:val="1896"/>
        </w:numPr>
        <w:tabs>
          <w:tab w:val="clear" w:pos="900"/>
          <w:tab w:val="left" w:pos="1050"/>
        </w:tabs>
        <w:spacing w:after="240" w:line="360" w:lineRule="exact"/>
        <w:ind w:leftChars="300" w:left="31680" w:hangingChars="200" w:firstLine="31680"/>
        <w:rPr>
          <w:rFonts w:hint="eastAsia"/>
        </w:rPr>
      </w:pPr>
      <w:r>
        <w:rPr>
          <w:rFonts w:hint="eastAsia"/>
        </w:rPr>
        <w:t>基于专业能力或特殊工作所需要的能力而加以区别；</w:t>
      </w:r>
    </w:p>
    <w:p w:rsidR="00000000" w:rsidRDefault="00457650" w:rsidP="00457650">
      <w:pPr>
        <w:widowControl/>
        <w:numPr>
          <w:ilvl w:val="0"/>
          <w:numId w:val="1896"/>
        </w:numPr>
        <w:tabs>
          <w:tab w:val="clear" w:pos="900"/>
          <w:tab w:val="left" w:pos="1050"/>
        </w:tabs>
        <w:spacing w:after="240" w:line="360" w:lineRule="exact"/>
        <w:ind w:leftChars="300" w:left="31680" w:hangingChars="200" w:firstLine="31680"/>
        <w:rPr>
          <w:rFonts w:hint="eastAsia"/>
        </w:rPr>
      </w:pPr>
      <w:r>
        <w:rPr>
          <w:rFonts w:hint="eastAsia"/>
        </w:rPr>
        <w:t>根据公职招聘和留用需要以及法律文件的其他要求规定的区别；</w:t>
      </w:r>
    </w:p>
    <w:p w:rsidR="00000000" w:rsidRDefault="00457650" w:rsidP="00457650">
      <w:pPr>
        <w:widowControl/>
        <w:numPr>
          <w:ilvl w:val="0"/>
          <w:numId w:val="1896"/>
        </w:numPr>
        <w:tabs>
          <w:tab w:val="clear" w:pos="900"/>
          <w:tab w:val="left" w:pos="1050"/>
        </w:tabs>
        <w:spacing w:after="240" w:line="360" w:lineRule="exact"/>
        <w:ind w:leftChars="300" w:left="31680" w:hangingChars="200" w:firstLine="31680"/>
        <w:rPr>
          <w:rFonts w:hint="eastAsia"/>
        </w:rPr>
      </w:pPr>
      <w:r>
        <w:rPr>
          <w:rFonts w:hint="eastAsia"/>
        </w:rPr>
        <w:t>公民和非公民之间的区别、排斥、限制和优待；</w:t>
      </w:r>
    </w:p>
    <w:p w:rsidR="00000000" w:rsidRDefault="00457650" w:rsidP="00457650">
      <w:pPr>
        <w:widowControl/>
        <w:numPr>
          <w:ilvl w:val="0"/>
          <w:numId w:val="1896"/>
        </w:numPr>
        <w:tabs>
          <w:tab w:val="clear" w:pos="900"/>
          <w:tab w:val="left" w:pos="1050"/>
        </w:tabs>
        <w:spacing w:after="240" w:line="360" w:lineRule="exact"/>
        <w:ind w:leftChars="300" w:left="31680" w:hangingChars="200" w:firstLine="31680"/>
        <w:rPr>
          <w:rFonts w:hint="eastAsia"/>
        </w:rPr>
      </w:pPr>
      <w:r>
        <w:rPr>
          <w:rFonts w:hint="eastAsia"/>
        </w:rPr>
        <w:t>作为一般规则，不取消或减少个人权利、自由或机会平等或侵犯人的尊严的所有情况。</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11</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166.</w:t>
      </w:r>
      <w:r>
        <w:rPr>
          <w:rFonts w:hint="eastAsia"/>
        </w:rPr>
        <w:tab/>
      </w:r>
      <w:r>
        <w:rPr>
          <w:rFonts w:hint="eastAsia"/>
        </w:rPr>
        <w:t>根据全国就业普查，约有</w:t>
      </w:r>
      <w:r>
        <w:rPr>
          <w:rFonts w:hint="eastAsia"/>
        </w:rPr>
        <w:t xml:space="preserve"> 1 826 000</w:t>
      </w:r>
      <w:r>
        <w:rPr>
          <w:rFonts w:hint="eastAsia"/>
        </w:rPr>
        <w:t>人在主</w:t>
      </w:r>
      <w:r>
        <w:rPr>
          <w:rFonts w:hint="eastAsia"/>
        </w:rPr>
        <w:t>要工作之外还从事其他工作或职业，这类人占墨西哥就业总人口的</w:t>
      </w:r>
      <w:r>
        <w:rPr>
          <w:rFonts w:hint="eastAsia"/>
        </w:rPr>
        <w:t>4.4%</w:t>
      </w:r>
      <w:r>
        <w:rPr>
          <w:rFonts w:hint="eastAsia"/>
        </w:rPr>
        <w:t>。</w:t>
      </w:r>
    </w:p>
    <w:p w:rsidR="00000000" w:rsidRDefault="00457650">
      <w:pPr>
        <w:widowControl/>
        <w:tabs>
          <w:tab w:val="left" w:pos="630"/>
        </w:tabs>
        <w:spacing w:after="240" w:line="360" w:lineRule="exact"/>
        <w:rPr>
          <w:rFonts w:hint="eastAsia"/>
        </w:rPr>
      </w:pPr>
      <w:r>
        <w:rPr>
          <w:rFonts w:hint="eastAsia"/>
        </w:rPr>
        <w:t>167.</w:t>
      </w:r>
      <w:r>
        <w:rPr>
          <w:rFonts w:hint="eastAsia"/>
        </w:rPr>
        <w:tab/>
      </w:r>
      <w:r>
        <w:rPr>
          <w:rFonts w:hint="eastAsia"/>
        </w:rPr>
        <w:t>在过去</w:t>
      </w:r>
      <w:r>
        <w:rPr>
          <w:rFonts w:hint="eastAsia"/>
        </w:rPr>
        <w:t>10</w:t>
      </w:r>
      <w:r>
        <w:rPr>
          <w:rFonts w:hint="eastAsia"/>
        </w:rPr>
        <w:t>年里，拥有两份工作的人群在</w:t>
      </w:r>
      <w:r>
        <w:rPr>
          <w:rFonts w:hint="eastAsia"/>
        </w:rPr>
        <w:t>160</w:t>
      </w:r>
      <w:r>
        <w:rPr>
          <w:rFonts w:hint="eastAsia"/>
        </w:rPr>
        <w:t>万到</w:t>
      </w:r>
      <w:r>
        <w:rPr>
          <w:rFonts w:hint="eastAsia"/>
        </w:rPr>
        <w:t>250</w:t>
      </w:r>
      <w:r>
        <w:rPr>
          <w:rFonts w:hint="eastAsia"/>
        </w:rPr>
        <w:t>万之间。</w:t>
      </w:r>
      <w:r>
        <w:rPr>
          <w:rFonts w:hint="eastAsia"/>
        </w:rPr>
        <w:t>1995</w:t>
      </w:r>
      <w:r>
        <w:rPr>
          <w:rFonts w:hint="eastAsia"/>
        </w:rPr>
        <w:t>年至</w:t>
      </w:r>
      <w:r>
        <w:rPr>
          <w:rFonts w:hint="eastAsia"/>
        </w:rPr>
        <w:t>2000</w:t>
      </w:r>
      <w:r>
        <w:rPr>
          <w:rFonts w:hint="eastAsia"/>
        </w:rPr>
        <w:t>年，这一人群的数量超过了</w:t>
      </w:r>
      <w:r>
        <w:rPr>
          <w:rFonts w:hint="eastAsia"/>
        </w:rPr>
        <w:t>200</w:t>
      </w:r>
      <w:r>
        <w:rPr>
          <w:rFonts w:hint="eastAsia"/>
        </w:rPr>
        <w:t>万。但是</w:t>
      </w:r>
      <w:r>
        <w:rPr>
          <w:rFonts w:hint="eastAsia"/>
        </w:rPr>
        <w:t>2001</w:t>
      </w:r>
      <w:r>
        <w:rPr>
          <w:rFonts w:hint="eastAsia"/>
        </w:rPr>
        <w:t>年这个数字减少到</w:t>
      </w:r>
      <w:r>
        <w:rPr>
          <w:rFonts w:hint="eastAsia"/>
        </w:rPr>
        <w:t>170</w:t>
      </w:r>
      <w:r>
        <w:rPr>
          <w:rFonts w:hint="eastAsia"/>
        </w:rPr>
        <w:t>万。第二年的恢复情况非常缓慢。这表明经济活动越少，获得第二份工作的机会就越少。</w:t>
      </w:r>
    </w:p>
    <w:p w:rsidR="00000000" w:rsidRDefault="00457650">
      <w:pPr>
        <w:widowControl/>
        <w:tabs>
          <w:tab w:val="left" w:pos="630"/>
        </w:tabs>
        <w:spacing w:after="240" w:line="360" w:lineRule="exact"/>
        <w:rPr>
          <w:rFonts w:hint="eastAsia"/>
        </w:rPr>
      </w:pPr>
      <w:r>
        <w:rPr>
          <w:rFonts w:hint="eastAsia"/>
        </w:rPr>
        <w:t>168.</w:t>
      </w:r>
      <w:r>
        <w:rPr>
          <w:rFonts w:hint="eastAsia"/>
        </w:rPr>
        <w:tab/>
      </w:r>
      <w:r>
        <w:rPr>
          <w:rFonts w:hint="eastAsia"/>
        </w:rPr>
        <w:t>应该指出的是，因为所分析的时期太短，这一人群尚没有清晰可见的行为趋势。（见附件二：拥有第二份工作或职业的就业人口统计）。</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12</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169.</w:t>
      </w:r>
      <w:r>
        <w:rPr>
          <w:rFonts w:hint="eastAsia"/>
        </w:rPr>
        <w:tab/>
      </w:r>
      <w:r>
        <w:rPr>
          <w:rFonts w:hint="eastAsia"/>
        </w:rPr>
        <w:t>劳动领域最重要的变化就是提倡新型劳动文化，它通过更多</w:t>
      </w:r>
      <w:r>
        <w:rPr>
          <w:rFonts w:hint="eastAsia"/>
        </w:rPr>
        <w:t>更好的培训，努力为墨西哥工人创造更好的生活条件，使他们生产能力更强，更加积极地参与企业活动，以此将增加的利润转变为更公平的工资和更好的工作条件。</w:t>
      </w:r>
    </w:p>
    <w:p w:rsidR="00000000" w:rsidRDefault="00457650">
      <w:pPr>
        <w:widowControl/>
        <w:tabs>
          <w:tab w:val="left" w:pos="630"/>
        </w:tabs>
        <w:spacing w:after="240" w:line="360" w:lineRule="exact"/>
        <w:rPr>
          <w:rFonts w:hint="eastAsia"/>
        </w:rPr>
      </w:pPr>
      <w:r>
        <w:rPr>
          <w:rFonts w:hint="eastAsia"/>
        </w:rPr>
        <w:t>170.</w:t>
      </w:r>
      <w:r>
        <w:rPr>
          <w:rFonts w:hint="eastAsia"/>
        </w:rPr>
        <w:tab/>
      </w:r>
      <w:r>
        <w:rPr>
          <w:rFonts w:hint="eastAsia"/>
        </w:rPr>
        <w:t>劳工和社会福利部根据新型劳动文化培养和谐的劳动气氛，在进行各项经济决策时以人为本，结果越来越多的争端通过生产环节之间的对话得以解决，并促进了对劳动者权利的尊重。因此，加上其他的因素，在</w:t>
      </w:r>
      <w:r>
        <w:rPr>
          <w:rFonts w:hint="eastAsia"/>
        </w:rPr>
        <w:t>2003</w:t>
      </w:r>
      <w:r>
        <w:rPr>
          <w:rFonts w:hint="eastAsia"/>
        </w:rPr>
        <w:t>年只有</w:t>
      </w:r>
      <w:r>
        <w:rPr>
          <w:rFonts w:hint="eastAsia"/>
        </w:rPr>
        <w:t>42</w:t>
      </w:r>
      <w:r>
        <w:rPr>
          <w:rFonts w:hint="eastAsia"/>
        </w:rPr>
        <w:t>起争端最后演变成罢工，工人和雇主之间发生的</w:t>
      </w:r>
      <w:r>
        <w:rPr>
          <w:rFonts w:hint="eastAsia"/>
        </w:rPr>
        <w:t>4 206</w:t>
      </w:r>
      <w:r>
        <w:rPr>
          <w:rFonts w:hint="eastAsia"/>
        </w:rPr>
        <w:t>起争端中只有</w:t>
      </w:r>
      <w:r>
        <w:rPr>
          <w:rFonts w:hint="eastAsia"/>
        </w:rPr>
        <w:t>1%</w:t>
      </w:r>
      <w:r>
        <w:rPr>
          <w:rFonts w:hint="eastAsia"/>
        </w:rPr>
        <w:t>被提交到联邦调解和仲裁委员会。该委员会处理了</w:t>
      </w:r>
      <w:r>
        <w:rPr>
          <w:rFonts w:hint="eastAsia"/>
        </w:rPr>
        <w:t>55 103</w:t>
      </w:r>
      <w:r>
        <w:rPr>
          <w:rFonts w:hint="eastAsia"/>
        </w:rPr>
        <w:t>起案件，特别是其中包括了</w:t>
      </w:r>
      <w:r>
        <w:rPr>
          <w:rFonts w:hint="eastAsia"/>
        </w:rPr>
        <w:t xml:space="preserve">40 </w:t>
      </w:r>
      <w:r>
        <w:rPr>
          <w:rFonts w:hint="eastAsia"/>
        </w:rPr>
        <w:t>000</w:t>
      </w:r>
      <w:r>
        <w:rPr>
          <w:rFonts w:hint="eastAsia"/>
        </w:rPr>
        <w:t>起关于个人的案件，</w:t>
      </w:r>
      <w:r>
        <w:rPr>
          <w:rFonts w:hint="eastAsia"/>
        </w:rPr>
        <w:t>9 400</w:t>
      </w:r>
      <w:r>
        <w:rPr>
          <w:rFonts w:hint="eastAsia"/>
        </w:rPr>
        <w:t>起经注册的集体协定，</w:t>
      </w:r>
      <w:r>
        <w:rPr>
          <w:rFonts w:hint="eastAsia"/>
        </w:rPr>
        <w:t>370</w:t>
      </w:r>
      <w:r>
        <w:rPr>
          <w:rFonts w:hint="eastAsia"/>
        </w:rPr>
        <w:t>起集体纠纷。它还收到了</w:t>
      </w:r>
      <w:r>
        <w:rPr>
          <w:rFonts w:hint="eastAsia"/>
        </w:rPr>
        <w:t>4 600</w:t>
      </w:r>
      <w:r>
        <w:rPr>
          <w:rFonts w:hint="eastAsia"/>
        </w:rPr>
        <w:t>多个内部协议和条例章并颁发了</w:t>
      </w:r>
      <w:r>
        <w:rPr>
          <w:rFonts w:hint="eastAsia"/>
        </w:rPr>
        <w:t>2 695</w:t>
      </w:r>
      <w:r>
        <w:rPr>
          <w:rFonts w:hint="eastAsia"/>
        </w:rPr>
        <w:t>项证明，根据劳资纠纷的官方性质和其是否导致罢工来确定其起因。</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13</w:t>
      </w:r>
      <w:r>
        <w:rPr>
          <w:rFonts w:ascii="SimHei" w:eastAsia="SimHei" w:hint="eastAsia"/>
        </w:rPr>
        <w:t>段</w:t>
      </w:r>
    </w:p>
    <w:p w:rsidR="00000000" w:rsidRDefault="00457650">
      <w:pPr>
        <w:keepNext/>
        <w:widowControl/>
        <w:tabs>
          <w:tab w:val="left" w:pos="630"/>
        </w:tabs>
        <w:spacing w:after="240" w:line="360" w:lineRule="exact"/>
        <w:rPr>
          <w:rFonts w:hint="eastAsia"/>
        </w:rPr>
      </w:pPr>
      <w:r>
        <w:rPr>
          <w:rFonts w:hint="eastAsia"/>
        </w:rPr>
        <w:t>171.</w:t>
      </w:r>
      <w:r>
        <w:rPr>
          <w:rFonts w:hint="eastAsia"/>
        </w:rPr>
        <w:tab/>
      </w:r>
      <w:r>
        <w:rPr>
          <w:rFonts w:hint="eastAsia"/>
        </w:rPr>
        <w:t>墨西哥政府与劳工组织在</w:t>
      </w:r>
      <w:r>
        <w:t>格雷罗州</w:t>
      </w:r>
      <w:r>
        <w:rPr>
          <w:rFonts w:hint="eastAsia"/>
        </w:rPr>
        <w:t>和科阿韦拉合作实施了名为“为妇女提供更多更好的工作”的项目。它在科阿韦拉州惠及了</w:t>
      </w:r>
      <w:r>
        <w:rPr>
          <w:rFonts w:hint="eastAsia"/>
        </w:rPr>
        <w:t>2 214</w:t>
      </w:r>
      <w:r>
        <w:rPr>
          <w:rFonts w:hint="eastAsia"/>
        </w:rPr>
        <w:t>名在边境加工行业从业的工薪妇女（此外还为该州边境加工业培训了</w:t>
      </w:r>
      <w:r>
        <w:rPr>
          <w:rFonts w:hint="eastAsia"/>
        </w:rPr>
        <w:t>750</w:t>
      </w:r>
      <w:r>
        <w:rPr>
          <w:rFonts w:hint="eastAsia"/>
        </w:rPr>
        <w:t>名男性），在</w:t>
      </w:r>
      <w:r>
        <w:t>格雷罗州</w:t>
      </w:r>
      <w:r>
        <w:rPr>
          <w:rFonts w:hint="eastAsia"/>
        </w:rPr>
        <w:t>惠及了</w:t>
      </w:r>
      <w:r>
        <w:rPr>
          <w:rFonts w:hint="eastAsia"/>
        </w:rPr>
        <w:t>428</w:t>
      </w:r>
      <w:r>
        <w:rPr>
          <w:rFonts w:hint="eastAsia"/>
        </w:rPr>
        <w:t>名在非正式部门工作的妇女。劳工和社会福利部以及劳工组织决定发起一个新计划，从</w:t>
      </w:r>
      <w:r>
        <w:rPr>
          <w:rFonts w:hint="eastAsia"/>
        </w:rPr>
        <w:t>200</w:t>
      </w:r>
      <w:r>
        <w:rPr>
          <w:rFonts w:hint="eastAsia"/>
        </w:rPr>
        <w:t>3</w:t>
      </w:r>
      <w:r>
        <w:rPr>
          <w:rFonts w:hint="eastAsia"/>
        </w:rPr>
        <w:t>年</w:t>
      </w:r>
      <w:r>
        <w:rPr>
          <w:rFonts w:hint="eastAsia"/>
        </w:rPr>
        <w:t>12</w:t>
      </w:r>
      <w:r>
        <w:rPr>
          <w:rFonts w:hint="eastAsia"/>
        </w:rPr>
        <w:t>月开始在另外四个州实施：恰帕斯州、奇瓦瓦州、韦拉克鲁斯州和尤卡坦州。</w:t>
      </w:r>
    </w:p>
    <w:p w:rsidR="00000000" w:rsidRDefault="00457650">
      <w:pPr>
        <w:widowControl/>
        <w:tabs>
          <w:tab w:val="left" w:pos="630"/>
        </w:tabs>
        <w:spacing w:after="240" w:line="360" w:lineRule="exact"/>
        <w:rPr>
          <w:rFonts w:hint="eastAsia"/>
        </w:rPr>
      </w:pPr>
      <w:r>
        <w:rPr>
          <w:rFonts w:hint="eastAsia"/>
        </w:rPr>
        <w:t>172.</w:t>
      </w:r>
      <w:r>
        <w:rPr>
          <w:rFonts w:hint="eastAsia"/>
        </w:rPr>
        <w:tab/>
      </w:r>
      <w:r>
        <w:rPr>
          <w:rFonts w:hint="eastAsia"/>
        </w:rPr>
        <w:t>劳工和社会福利部通过国家就业服务机构，向各州政府和联邦区政府转交了美洲开发银行为实施就业支助计划所提供的必要资源。其中包括财政和物质支持（根据措施的种类，包括奖励金、指导人员、成套工具、培训资料、运输帮助和向受益人提供的事故保险）。</w:t>
      </w:r>
    </w:p>
    <w:p w:rsidR="00000000" w:rsidRDefault="00457650">
      <w:pPr>
        <w:widowControl/>
        <w:tabs>
          <w:tab w:val="left" w:pos="630"/>
        </w:tabs>
        <w:spacing w:after="240" w:line="360" w:lineRule="exact"/>
        <w:rPr>
          <w:rFonts w:hint="eastAsia"/>
        </w:rPr>
      </w:pPr>
      <w:r>
        <w:rPr>
          <w:rFonts w:hint="eastAsia"/>
        </w:rPr>
        <w:t>173.</w:t>
      </w:r>
      <w:r>
        <w:rPr>
          <w:rFonts w:hint="eastAsia"/>
        </w:rPr>
        <w:tab/>
      </w:r>
      <w:r>
        <w:rPr>
          <w:rFonts w:hint="eastAsia"/>
        </w:rPr>
        <w:t>培训支助方案为发展培训项目提供财政资源。它根据生产部门的需要运作；它同地方政府、生产部门和雇主及工人的代表机构采取联合行动；它建立各种联系并根据劳工和社会福利部规定的标准开展培训活</w:t>
      </w:r>
      <w:r>
        <w:rPr>
          <w:rFonts w:hint="eastAsia"/>
        </w:rPr>
        <w:t>动，以提高工人、雇主及其家庭的生活水平。它寻求促进个人价值的实现，并以此提高企业竞争力，使企业更好地融入市场，并参与发展进程。</w:t>
      </w:r>
    </w:p>
    <w:p w:rsidR="00000000" w:rsidRDefault="00457650">
      <w:pPr>
        <w:widowControl/>
        <w:tabs>
          <w:tab w:val="left" w:pos="630"/>
        </w:tabs>
        <w:spacing w:after="240" w:line="360" w:lineRule="exact"/>
        <w:rPr>
          <w:rFonts w:hint="eastAsia"/>
        </w:rPr>
      </w:pPr>
      <w:r>
        <w:rPr>
          <w:rFonts w:hint="eastAsia"/>
        </w:rPr>
        <w:t>174.</w:t>
      </w:r>
      <w:r>
        <w:rPr>
          <w:rFonts w:hint="eastAsia"/>
        </w:rPr>
        <w:tab/>
      </w:r>
      <w:r>
        <w:rPr>
          <w:rFonts w:hint="eastAsia"/>
        </w:rPr>
        <w:t>墨西哥政府正在实施打击对儿童的商业性剥削特别行动方案，以此作为劳工组织消除童工现象国际方案的组成部分。墨西哥政府决心全力加强国家政策和部门间的协调，以有效应对这一问题。除了在国家层面采取的措施外，还在提华纳市（移民特别重要的边境城市）、瓜达拉哈拉市（墨西哥人口密度最大的城市地区之一）和阿卡普尔科市（涉及儿童的性旅游特别严重的地区）采取了相应的具体措施。</w:t>
      </w:r>
    </w:p>
    <w:p w:rsidR="00000000" w:rsidRDefault="00457650">
      <w:pPr>
        <w:widowControl/>
        <w:tabs>
          <w:tab w:val="left" w:pos="630"/>
        </w:tabs>
        <w:spacing w:after="240" w:line="360" w:lineRule="exact"/>
        <w:jc w:val="center"/>
        <w:rPr>
          <w:rFonts w:ascii="SimHei" w:eastAsia="SimHei" w:hint="eastAsia"/>
          <w:sz w:val="24"/>
        </w:rPr>
      </w:pPr>
      <w:r>
        <w:rPr>
          <w:rFonts w:ascii="SimHei" w:eastAsia="SimHei" w:hint="eastAsia"/>
          <w:sz w:val="24"/>
        </w:rPr>
        <w:t xml:space="preserve">B. </w:t>
      </w:r>
      <w:r>
        <w:rPr>
          <w:rFonts w:ascii="SimHei" w:eastAsia="SimHei" w:hint="eastAsia"/>
          <w:sz w:val="24"/>
        </w:rPr>
        <w:t>第</w:t>
      </w:r>
      <w:r>
        <w:rPr>
          <w:rFonts w:ascii="SimHei" w:eastAsia="SimHei" w:hint="eastAsia"/>
          <w:sz w:val="24"/>
        </w:rPr>
        <w:t>7</w:t>
      </w:r>
      <w:r>
        <w:rPr>
          <w:rFonts w:ascii="SimHei" w:eastAsia="SimHei" w:hint="eastAsia"/>
          <w:sz w:val="24"/>
        </w:rPr>
        <w:t>条</w:t>
      </w:r>
    </w:p>
    <w:p w:rsidR="00000000" w:rsidRDefault="00457650">
      <w:pPr>
        <w:widowControl/>
        <w:tabs>
          <w:tab w:val="left" w:pos="630"/>
        </w:tabs>
        <w:spacing w:after="240" w:line="360" w:lineRule="exact"/>
        <w:rPr>
          <w:rFonts w:ascii="SimHei" w:eastAsia="SimHei" w:hint="eastAsia"/>
        </w:rPr>
      </w:pPr>
      <w:r>
        <w:rPr>
          <w:rFonts w:ascii="SimHei" w:eastAsia="SimHei" w:hint="eastAsia"/>
        </w:rPr>
        <w:t>指南</w:t>
      </w:r>
      <w:r>
        <w:rPr>
          <w:rFonts w:ascii="SimHei" w:eastAsia="SimHei" w:hint="eastAsia"/>
        </w:rPr>
        <w:t>第</w:t>
      </w:r>
      <w:r>
        <w:rPr>
          <w:rFonts w:ascii="SimHei" w:eastAsia="SimHei" w:hint="eastAsia"/>
        </w:rPr>
        <w:t>15</w:t>
      </w:r>
      <w:r>
        <w:rPr>
          <w:rFonts w:ascii="SimHei" w:eastAsia="SimHei" w:hint="eastAsia"/>
        </w:rPr>
        <w:t>段（</w:t>
      </w:r>
      <w:r>
        <w:rPr>
          <w:rFonts w:ascii="SimHei" w:eastAsia="SimHei" w:hint="eastAsia"/>
        </w:rPr>
        <w:t>a</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175.</w:t>
      </w:r>
      <w:r>
        <w:rPr>
          <w:rFonts w:hint="eastAsia"/>
        </w:rPr>
        <w:tab/>
      </w:r>
      <w:r>
        <w:rPr>
          <w:rFonts w:hint="eastAsia"/>
        </w:rPr>
        <w:t>在墨西哥，工人和雇主通过谈判确定合同工资，政府不进行任何干预。劳工和社会福利部可以在其中任何一方的请求下，作为调解人参加这类谈判。</w:t>
      </w:r>
    </w:p>
    <w:p w:rsidR="00000000" w:rsidRDefault="00457650">
      <w:pPr>
        <w:widowControl/>
        <w:tabs>
          <w:tab w:val="left" w:pos="630"/>
        </w:tabs>
        <w:spacing w:after="240" w:line="360" w:lineRule="exact"/>
        <w:rPr>
          <w:rFonts w:hint="eastAsia"/>
        </w:rPr>
      </w:pPr>
      <w:r>
        <w:rPr>
          <w:rFonts w:hint="eastAsia"/>
        </w:rPr>
        <w:t>176.</w:t>
      </w:r>
      <w:r>
        <w:rPr>
          <w:rFonts w:hint="eastAsia"/>
        </w:rPr>
        <w:tab/>
      </w:r>
      <w:r>
        <w:rPr>
          <w:rFonts w:hint="eastAsia"/>
        </w:rPr>
        <w:t>但是，最低工资是存在的，这类工资由国家最低工资委员会确定。该委员会的作用是确保宪法权利和承诺的充分行使，特别是《墨西哥合众国宪法》第</w:t>
      </w:r>
      <w:r>
        <w:rPr>
          <w:rFonts w:hint="eastAsia"/>
        </w:rPr>
        <w:t>123</w:t>
      </w:r>
      <w:r>
        <w:rPr>
          <w:rFonts w:hint="eastAsia"/>
        </w:rPr>
        <w:t>条</w:t>
      </w:r>
      <w:r>
        <w:rPr>
          <w:rFonts w:hint="eastAsia"/>
        </w:rPr>
        <w:t>A</w:t>
      </w:r>
      <w:r>
        <w:rPr>
          <w:rFonts w:hint="eastAsia"/>
        </w:rPr>
        <w:t>部分第</w:t>
      </w:r>
      <w:r>
        <w:rPr>
          <w:rFonts w:hint="eastAsia"/>
        </w:rPr>
        <w:t>6</w:t>
      </w:r>
      <w:r>
        <w:rPr>
          <w:rFonts w:hint="eastAsia"/>
        </w:rPr>
        <w:t>款的强制性规定，该款要求国家委员会和各州确定最低工资，并说明了最低工资应具有的特征。《联邦劳动法》第</w:t>
      </w:r>
      <w:r>
        <w:rPr>
          <w:rFonts w:hint="eastAsia"/>
        </w:rPr>
        <w:t>90</w:t>
      </w:r>
      <w:r>
        <w:rPr>
          <w:rFonts w:hint="eastAsia"/>
        </w:rPr>
        <w:t>条和第</w:t>
      </w:r>
      <w:r>
        <w:rPr>
          <w:rFonts w:hint="eastAsia"/>
        </w:rPr>
        <w:t>94</w:t>
      </w:r>
      <w:r>
        <w:rPr>
          <w:rFonts w:hint="eastAsia"/>
        </w:rPr>
        <w:t>条重申了宪法的这一规定，在第</w:t>
      </w:r>
      <w:r>
        <w:rPr>
          <w:rFonts w:hint="eastAsia"/>
        </w:rPr>
        <w:t>570-574</w:t>
      </w:r>
      <w:r>
        <w:rPr>
          <w:rFonts w:hint="eastAsia"/>
        </w:rPr>
        <w:t>条规定了制定最低工资的程序。</w:t>
      </w:r>
      <w:r>
        <w:rPr>
          <w:rStyle w:val="FootnoteReference"/>
          <w:szCs w:val="21"/>
        </w:rPr>
        <w:footnoteReference w:id="12"/>
      </w:r>
      <w:r>
        <w:rPr>
          <w:rFonts w:hint="eastAsia"/>
        </w:rPr>
        <w:t xml:space="preserve"> </w:t>
      </w:r>
    </w:p>
    <w:p w:rsidR="00000000" w:rsidRDefault="00457650">
      <w:pPr>
        <w:widowControl/>
        <w:tabs>
          <w:tab w:val="left" w:pos="630"/>
        </w:tabs>
        <w:spacing w:after="240" w:line="360" w:lineRule="exact"/>
        <w:rPr>
          <w:rFonts w:hint="eastAsia"/>
        </w:rPr>
      </w:pPr>
      <w:r>
        <w:rPr>
          <w:rFonts w:hint="eastAsia"/>
        </w:rPr>
        <w:t>17</w:t>
      </w:r>
      <w:r>
        <w:rPr>
          <w:rFonts w:hint="eastAsia"/>
        </w:rPr>
        <w:t>7.</w:t>
      </w:r>
      <w:r>
        <w:rPr>
          <w:rFonts w:hint="eastAsia"/>
        </w:rPr>
        <w:tab/>
      </w:r>
      <w:r>
        <w:rPr>
          <w:rFonts w:hint="eastAsia"/>
        </w:rPr>
        <w:t>因此，在墨西哥，依法确定最低工资的惟一方法是《宪法》第</w:t>
      </w:r>
      <w:r>
        <w:rPr>
          <w:rFonts w:hint="eastAsia"/>
        </w:rPr>
        <w:t>123</w:t>
      </w:r>
      <w:r>
        <w:rPr>
          <w:rFonts w:hint="eastAsia"/>
        </w:rPr>
        <w:t>条</w:t>
      </w:r>
      <w:r>
        <w:rPr>
          <w:rFonts w:hint="eastAsia"/>
        </w:rPr>
        <w:t>A</w:t>
      </w:r>
      <w:r>
        <w:rPr>
          <w:rFonts w:hint="eastAsia"/>
        </w:rPr>
        <w:t>部分第</w:t>
      </w:r>
      <w:r>
        <w:rPr>
          <w:rFonts w:hint="eastAsia"/>
        </w:rPr>
        <w:t>6</w:t>
      </w:r>
      <w:r>
        <w:rPr>
          <w:rFonts w:hint="eastAsia"/>
        </w:rPr>
        <w:t>款和《联邦劳动法》第</w:t>
      </w:r>
      <w:r>
        <w:rPr>
          <w:rFonts w:hint="eastAsia"/>
        </w:rPr>
        <w:t>570-574</w:t>
      </w:r>
      <w:r>
        <w:rPr>
          <w:rFonts w:hint="eastAsia"/>
        </w:rPr>
        <w:t>条中提及的方法。</w:t>
      </w:r>
    </w:p>
    <w:p w:rsidR="00000000" w:rsidRDefault="00457650">
      <w:pPr>
        <w:widowControl/>
        <w:tabs>
          <w:tab w:val="left" w:pos="630"/>
        </w:tabs>
        <w:spacing w:after="240" w:line="360" w:lineRule="exact"/>
        <w:rPr>
          <w:rFonts w:hint="eastAsia"/>
        </w:rPr>
      </w:pPr>
      <w:r>
        <w:rPr>
          <w:rFonts w:hint="eastAsia"/>
        </w:rPr>
        <w:t>178.</w:t>
      </w:r>
      <w:r>
        <w:rPr>
          <w:rFonts w:hint="eastAsia"/>
        </w:rPr>
        <w:tab/>
      </w:r>
      <w:r>
        <w:rPr>
          <w:rFonts w:hint="eastAsia"/>
        </w:rPr>
        <w:t>在确定目前最低工资的程序中严格遵守了相关法律第</w:t>
      </w:r>
      <w:r>
        <w:rPr>
          <w:rFonts w:hint="eastAsia"/>
        </w:rPr>
        <w:t>570-571</w:t>
      </w:r>
      <w:r>
        <w:rPr>
          <w:rFonts w:hint="eastAsia"/>
        </w:rPr>
        <w:t>条的规定。这些条款规定在确定最低工资时，工人和雇主可以向国家最低工资委员会提交他们认为对该委员会代表理事会至关重要的任何经济研究报告，供其在有关程序中加以考虑。代表理事会是一个三方机构，其成员包括实际的和替代的工会代表和相同数目的雇主代表（</w:t>
      </w:r>
      <w:r>
        <w:rPr>
          <w:rFonts w:hint="eastAsia"/>
        </w:rPr>
        <w:t>5</w:t>
      </w:r>
      <w:r>
        <w:rPr>
          <w:rFonts w:hint="eastAsia"/>
        </w:rPr>
        <w:t>人以上，</w:t>
      </w:r>
      <w:r>
        <w:rPr>
          <w:rFonts w:hint="eastAsia"/>
        </w:rPr>
        <w:t>15</w:t>
      </w:r>
      <w:r>
        <w:rPr>
          <w:rFonts w:hint="eastAsia"/>
        </w:rPr>
        <w:t>人以下），他们每四年任命一次，另外还有一名政府代表，他是该</w:t>
      </w:r>
      <w:r>
        <w:rPr>
          <w:rFonts w:hint="eastAsia"/>
        </w:rPr>
        <w:t>委员会主席。该法第</w:t>
      </w:r>
      <w:r>
        <w:rPr>
          <w:rFonts w:hint="eastAsia"/>
        </w:rPr>
        <w:t>554</w:t>
      </w:r>
      <w:r>
        <w:rPr>
          <w:rFonts w:hint="eastAsia"/>
        </w:rPr>
        <w:t>条对此作了规定。</w:t>
      </w:r>
    </w:p>
    <w:p w:rsidR="00000000" w:rsidRDefault="00457650">
      <w:pPr>
        <w:widowControl/>
        <w:tabs>
          <w:tab w:val="left" w:pos="630"/>
        </w:tabs>
        <w:spacing w:after="240" w:line="360" w:lineRule="exact"/>
        <w:rPr>
          <w:rFonts w:hint="eastAsia"/>
        </w:rPr>
      </w:pPr>
      <w:r>
        <w:rPr>
          <w:rFonts w:hint="eastAsia"/>
        </w:rPr>
        <w:t>179.</w:t>
      </w:r>
      <w:r>
        <w:rPr>
          <w:rFonts w:hint="eastAsia"/>
        </w:rPr>
        <w:tab/>
      </w:r>
      <w:r>
        <w:rPr>
          <w:rFonts w:hint="eastAsia"/>
        </w:rPr>
        <w:t>技术办公室应在</w:t>
      </w:r>
      <w:r>
        <w:rPr>
          <w:rFonts w:hint="eastAsia"/>
        </w:rPr>
        <w:t>11</w:t>
      </w:r>
      <w:r>
        <w:rPr>
          <w:rFonts w:hint="eastAsia"/>
        </w:rPr>
        <w:t>月</w:t>
      </w:r>
      <w:r>
        <w:rPr>
          <w:rFonts w:hint="eastAsia"/>
        </w:rPr>
        <w:t>30</w:t>
      </w:r>
      <w:r>
        <w:rPr>
          <w:rFonts w:hint="eastAsia"/>
        </w:rPr>
        <w:t>日之前向代表理事会提交《联邦劳动法》第</w:t>
      </w:r>
      <w:r>
        <w:rPr>
          <w:rFonts w:hint="eastAsia"/>
        </w:rPr>
        <w:t>562</w:t>
      </w:r>
      <w:r>
        <w:rPr>
          <w:rFonts w:hint="eastAsia"/>
        </w:rPr>
        <w:t>条第</w:t>
      </w:r>
      <w:r>
        <w:rPr>
          <w:rFonts w:hint="eastAsia"/>
        </w:rPr>
        <w:t>5</w:t>
      </w:r>
      <w:r>
        <w:rPr>
          <w:rFonts w:hint="eastAsia"/>
        </w:rPr>
        <w:t>款所规定的报告。报告内容必须包括物价变动及其对最低工资的购买力所产生的影响，还应包括最重要的国民经济数据，并就工人和雇主提交的报告提供一份相关的调查研究报告。</w:t>
      </w:r>
    </w:p>
    <w:p w:rsidR="00000000" w:rsidRDefault="00457650">
      <w:pPr>
        <w:widowControl/>
        <w:tabs>
          <w:tab w:val="left" w:pos="630"/>
        </w:tabs>
        <w:spacing w:after="240" w:line="360" w:lineRule="exact"/>
        <w:rPr>
          <w:rFonts w:hint="eastAsia"/>
        </w:rPr>
      </w:pPr>
      <w:r>
        <w:rPr>
          <w:rFonts w:hint="eastAsia"/>
        </w:rPr>
        <w:t>180.</w:t>
      </w:r>
      <w:r>
        <w:rPr>
          <w:rFonts w:hint="eastAsia"/>
        </w:rPr>
        <w:tab/>
      </w:r>
      <w:r>
        <w:rPr>
          <w:rFonts w:hint="eastAsia"/>
        </w:rPr>
        <w:t>在</w:t>
      </w:r>
      <w:r>
        <w:rPr>
          <w:rFonts w:hint="eastAsia"/>
        </w:rPr>
        <w:t>12</w:t>
      </w:r>
      <w:r>
        <w:rPr>
          <w:rFonts w:hint="eastAsia"/>
        </w:rPr>
        <w:t>月，代表理事会最迟应于该月的最后一个工作日，在分析完技术办公室的报告及工人和雇主提交的研究报告之后，公布一般性和行业性最低工资决定，并公布不同地理区域的市政府为执行这些工资所应进行的调整。</w:t>
      </w:r>
    </w:p>
    <w:p w:rsidR="00000000" w:rsidRDefault="00457650">
      <w:pPr>
        <w:widowControl/>
        <w:tabs>
          <w:tab w:val="left" w:pos="630"/>
        </w:tabs>
        <w:spacing w:after="240" w:line="360" w:lineRule="exact"/>
        <w:rPr>
          <w:rFonts w:hint="eastAsia"/>
        </w:rPr>
      </w:pPr>
      <w:r>
        <w:rPr>
          <w:rFonts w:hint="eastAsia"/>
        </w:rPr>
        <w:t>181.</w:t>
      </w:r>
      <w:r>
        <w:rPr>
          <w:rFonts w:hint="eastAsia"/>
        </w:rPr>
        <w:tab/>
      </w:r>
      <w:r>
        <w:rPr>
          <w:rFonts w:hint="eastAsia"/>
        </w:rPr>
        <w:t>国家委员会</w:t>
      </w:r>
      <w:r>
        <w:rPr>
          <w:rFonts w:hint="eastAsia"/>
        </w:rPr>
        <w:t>的决定必须说明确定最低工资的理由。</w:t>
      </w:r>
    </w:p>
    <w:p w:rsidR="00000000" w:rsidRDefault="00457650">
      <w:pPr>
        <w:widowControl/>
        <w:tabs>
          <w:tab w:val="left" w:pos="630"/>
        </w:tabs>
        <w:spacing w:after="240" w:line="360" w:lineRule="exact"/>
        <w:rPr>
          <w:rFonts w:hint="eastAsia"/>
        </w:rPr>
      </w:pPr>
      <w:r>
        <w:rPr>
          <w:rFonts w:hint="eastAsia"/>
        </w:rPr>
        <w:t>182.</w:t>
      </w:r>
      <w:r>
        <w:rPr>
          <w:rFonts w:hint="eastAsia"/>
        </w:rPr>
        <w:tab/>
      </w:r>
      <w:r>
        <w:rPr>
          <w:rFonts w:hint="eastAsia"/>
        </w:rPr>
        <w:t>在</w:t>
      </w:r>
      <w:r>
        <w:rPr>
          <w:rFonts w:hint="eastAsia"/>
        </w:rPr>
        <w:t>12</w:t>
      </w:r>
      <w:r>
        <w:rPr>
          <w:rFonts w:hint="eastAsia"/>
        </w:rPr>
        <w:t>月</w:t>
      </w:r>
      <w:r>
        <w:rPr>
          <w:rFonts w:hint="eastAsia"/>
        </w:rPr>
        <w:t>31</w:t>
      </w:r>
      <w:r>
        <w:rPr>
          <w:rFonts w:hint="eastAsia"/>
        </w:rPr>
        <w:t>日之前国家委员会主席发布命令在《联邦政府公报》上公布有关最低工资的决定。</w:t>
      </w:r>
    </w:p>
    <w:p w:rsidR="00000000" w:rsidRDefault="00457650">
      <w:pPr>
        <w:widowControl/>
        <w:tabs>
          <w:tab w:val="left" w:pos="630"/>
        </w:tabs>
        <w:spacing w:after="240" w:line="360" w:lineRule="exact"/>
        <w:rPr>
          <w:rFonts w:hint="eastAsia"/>
        </w:rPr>
      </w:pPr>
      <w:r>
        <w:rPr>
          <w:rFonts w:hint="eastAsia"/>
        </w:rPr>
        <w:t>183.</w:t>
      </w:r>
      <w:r>
        <w:rPr>
          <w:rFonts w:hint="eastAsia"/>
        </w:rPr>
        <w:tab/>
      </w:r>
      <w:r>
        <w:rPr>
          <w:rFonts w:hint="eastAsia"/>
        </w:rPr>
        <w:t>此外，《联邦劳动法》规定如果经济条件认为这样合理，在最低工资生效期间的任何时间都可以对其进行审查。审查在如下情况下进行：</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一、劳工和社会福利部部长提议，由其书面向国家最低工资委员会主席提出请求，并说明提出这一请求的理由；</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二、工会、工人或雇主协会和联合会提出请求，但必须符合下列条件：</w:t>
      </w:r>
    </w:p>
    <w:p w:rsidR="00000000" w:rsidRDefault="00457650" w:rsidP="00457650">
      <w:pPr>
        <w:widowControl/>
        <w:tabs>
          <w:tab w:val="left" w:pos="630"/>
        </w:tabs>
        <w:spacing w:after="240" w:line="360" w:lineRule="exact"/>
        <w:ind w:leftChars="450" w:left="31680" w:hangingChars="250" w:firstLine="31680"/>
        <w:rPr>
          <w:rFonts w:hint="eastAsia"/>
        </w:rPr>
      </w:pPr>
      <w:r>
        <w:rPr>
          <w:rFonts w:hint="eastAsia"/>
        </w:rPr>
        <w:t>（</w:t>
      </w:r>
      <w:r>
        <w:rPr>
          <w:rFonts w:hint="eastAsia"/>
        </w:rPr>
        <w:t>a</w:t>
      </w:r>
      <w:r>
        <w:rPr>
          <w:rFonts w:hint="eastAsia"/>
        </w:rPr>
        <w:t>）请求必须由至少代表</w:t>
      </w:r>
      <w:r>
        <w:rPr>
          <w:rFonts w:hint="eastAsia"/>
        </w:rPr>
        <w:t>51%</w:t>
      </w:r>
      <w:r>
        <w:rPr>
          <w:rFonts w:hint="eastAsia"/>
        </w:rPr>
        <w:t>以上工人的工会、协会和联合会提出，或由至少雇用同样比例</w:t>
      </w:r>
      <w:r>
        <w:rPr>
          <w:rFonts w:hint="eastAsia"/>
        </w:rPr>
        <w:t>工人的雇主提出；</w:t>
      </w:r>
    </w:p>
    <w:p w:rsidR="00000000" w:rsidRDefault="00457650" w:rsidP="00457650">
      <w:pPr>
        <w:widowControl/>
        <w:tabs>
          <w:tab w:val="left" w:pos="630"/>
        </w:tabs>
        <w:spacing w:after="240" w:line="360" w:lineRule="exact"/>
        <w:ind w:leftChars="450" w:left="31680" w:hangingChars="250" w:firstLine="31680"/>
        <w:rPr>
          <w:rFonts w:hint="eastAsia"/>
        </w:rPr>
      </w:pPr>
      <w:r>
        <w:rPr>
          <w:rFonts w:hint="eastAsia"/>
        </w:rPr>
        <w:t>（</w:t>
      </w:r>
      <w:r>
        <w:rPr>
          <w:rFonts w:hint="eastAsia"/>
        </w:rPr>
        <w:t>b</w:t>
      </w:r>
      <w:r>
        <w:rPr>
          <w:rFonts w:hint="eastAsia"/>
        </w:rPr>
        <w:t>）请求必须说明理由，可以附加适当的研究报告和文件；</w:t>
      </w:r>
    </w:p>
    <w:p w:rsidR="00000000" w:rsidRDefault="00457650" w:rsidP="00457650">
      <w:pPr>
        <w:widowControl/>
        <w:tabs>
          <w:tab w:val="left" w:pos="630"/>
        </w:tabs>
        <w:spacing w:after="240" w:line="360" w:lineRule="exact"/>
        <w:ind w:leftChars="450" w:left="31680" w:hangingChars="250" w:firstLine="31680"/>
        <w:rPr>
          <w:rFonts w:hint="eastAsia"/>
        </w:rPr>
      </w:pPr>
      <w:r>
        <w:rPr>
          <w:rFonts w:hint="eastAsia"/>
        </w:rPr>
        <w:t>（</w:t>
      </w:r>
      <w:r>
        <w:rPr>
          <w:rFonts w:hint="eastAsia"/>
        </w:rPr>
        <w:t>c</w:t>
      </w:r>
      <w:r>
        <w:rPr>
          <w:rFonts w:hint="eastAsia"/>
        </w:rPr>
        <w:t>）劳工和社会福利部部长应当自收到请求之日起五日内，并在证实符合上文（</w:t>
      </w:r>
      <w:r>
        <w:rPr>
          <w:rFonts w:hint="eastAsia"/>
        </w:rPr>
        <w:t>a</w:t>
      </w:r>
      <w:r>
        <w:rPr>
          <w:rFonts w:hint="eastAsia"/>
        </w:rPr>
        <w:t>）款要求的必要多数条件之后，将其转交给国家最低工资委员会主席，同时把附带的研究报告和文件一并转交。</w:t>
      </w:r>
    </w:p>
    <w:p w:rsidR="00000000" w:rsidRDefault="00457650">
      <w:pPr>
        <w:widowControl/>
        <w:tabs>
          <w:tab w:val="left" w:pos="630"/>
        </w:tabs>
        <w:spacing w:after="240" w:line="360" w:lineRule="exact"/>
        <w:rPr>
          <w:rFonts w:hint="eastAsia"/>
        </w:rPr>
      </w:pPr>
      <w:r>
        <w:rPr>
          <w:rFonts w:hint="eastAsia"/>
        </w:rPr>
        <w:t>184.</w:t>
      </w:r>
      <w:r>
        <w:rPr>
          <w:rFonts w:hint="eastAsia"/>
        </w:rPr>
        <w:tab/>
      </w:r>
      <w:r>
        <w:rPr>
          <w:rFonts w:hint="eastAsia"/>
        </w:rPr>
        <w:t>自收到劳工和社会福利部部长转交的请求（或者根据个案，由工人或雇主组织提交的请求）之日起三日内，国家最低工资委员会主席应该召集代表理事会开会审议该请求，并决定是否有充分的理由支持启动修改程序。如果决定同意该请求，将指示技术办公室准备一份关于物价变动及其对最</w:t>
      </w:r>
      <w:r>
        <w:rPr>
          <w:rFonts w:hint="eastAsia"/>
        </w:rPr>
        <w:t>低工资购买力影响的报告，还要提供关于国民经济情况的重要数据。这将为代表理事会提供必要的信息以审查当前的最低工资，必要的话，还要制定新的工资等级。如果决定否决该请求，将告知劳工和社会福利部部长。</w:t>
      </w:r>
    </w:p>
    <w:p w:rsidR="00000000" w:rsidRDefault="00457650">
      <w:pPr>
        <w:widowControl/>
        <w:tabs>
          <w:tab w:val="left" w:pos="630"/>
        </w:tabs>
        <w:spacing w:after="240" w:line="360" w:lineRule="exact"/>
        <w:rPr>
          <w:rFonts w:hint="eastAsia"/>
        </w:rPr>
      </w:pPr>
      <w:r>
        <w:rPr>
          <w:rFonts w:hint="eastAsia"/>
        </w:rPr>
        <w:t>185.</w:t>
      </w:r>
      <w:r>
        <w:rPr>
          <w:rFonts w:hint="eastAsia"/>
        </w:rPr>
        <w:tab/>
      </w:r>
      <w:r>
        <w:rPr>
          <w:rFonts w:hint="eastAsia"/>
        </w:rPr>
        <w:t>技术办公室自收到国家最低工资委员会主席的指示之日起有五日内要准备上一段提到的报告并通过委员会主席转交给代表理事会。</w:t>
      </w:r>
    </w:p>
    <w:p w:rsidR="00000000" w:rsidRDefault="00457650">
      <w:pPr>
        <w:widowControl/>
        <w:tabs>
          <w:tab w:val="left" w:pos="630"/>
        </w:tabs>
        <w:spacing w:after="240" w:line="360" w:lineRule="exact"/>
        <w:rPr>
          <w:rFonts w:hint="eastAsia"/>
        </w:rPr>
      </w:pPr>
      <w:r>
        <w:rPr>
          <w:rFonts w:hint="eastAsia"/>
        </w:rPr>
        <w:t>186.</w:t>
      </w:r>
      <w:r>
        <w:rPr>
          <w:rFonts w:hint="eastAsia"/>
        </w:rPr>
        <w:tab/>
      </w:r>
      <w:r>
        <w:rPr>
          <w:rFonts w:hint="eastAsia"/>
        </w:rPr>
        <w:t>收到技术办公室报告后三日内，代表理事会应发布一项适当的决定，必要时须确定新的最低工资。</w:t>
      </w:r>
    </w:p>
    <w:p w:rsidR="00000000" w:rsidRDefault="00457650">
      <w:pPr>
        <w:widowControl/>
        <w:tabs>
          <w:tab w:val="left" w:pos="630"/>
        </w:tabs>
        <w:spacing w:after="240" w:line="360" w:lineRule="exact"/>
        <w:rPr>
          <w:rFonts w:hint="eastAsia"/>
        </w:rPr>
      </w:pPr>
      <w:r>
        <w:rPr>
          <w:rFonts w:hint="eastAsia"/>
        </w:rPr>
        <w:t>187.</w:t>
      </w:r>
      <w:r>
        <w:rPr>
          <w:rFonts w:hint="eastAsia"/>
        </w:rPr>
        <w:tab/>
      </w:r>
      <w:r>
        <w:rPr>
          <w:rFonts w:hint="eastAsia"/>
        </w:rPr>
        <w:t>代表理事会的决定应规定新的最低工资生效日期；该日期不得晚于决定发布之日后</w:t>
      </w:r>
      <w:r>
        <w:rPr>
          <w:rFonts w:hint="eastAsia"/>
        </w:rPr>
        <w:t>10</w:t>
      </w:r>
      <w:r>
        <w:rPr>
          <w:rFonts w:hint="eastAsia"/>
        </w:rPr>
        <w:t>天。</w:t>
      </w:r>
    </w:p>
    <w:p w:rsidR="00000000" w:rsidRDefault="00457650">
      <w:pPr>
        <w:widowControl/>
        <w:tabs>
          <w:tab w:val="left" w:pos="630"/>
        </w:tabs>
        <w:spacing w:after="240" w:line="360" w:lineRule="exact"/>
        <w:rPr>
          <w:rFonts w:hint="eastAsia"/>
        </w:rPr>
      </w:pPr>
      <w:r>
        <w:rPr>
          <w:rFonts w:hint="eastAsia"/>
        </w:rPr>
        <w:t>1</w:t>
      </w:r>
      <w:r>
        <w:rPr>
          <w:rFonts w:hint="eastAsia"/>
        </w:rPr>
        <w:t>88.</w:t>
      </w:r>
      <w:r>
        <w:rPr>
          <w:rFonts w:hint="eastAsia"/>
        </w:rPr>
        <w:tab/>
      </w:r>
      <w:r>
        <w:rPr>
          <w:rFonts w:hint="eastAsia"/>
        </w:rPr>
        <w:t>国家委员会主席应在决定发布后三日内命令在《联邦政府公报》上公布该决定。</w:t>
      </w:r>
    </w:p>
    <w:p w:rsidR="00000000" w:rsidRDefault="00457650">
      <w:pPr>
        <w:widowControl/>
        <w:tabs>
          <w:tab w:val="left" w:pos="630"/>
        </w:tabs>
        <w:spacing w:after="240" w:line="360" w:lineRule="exact"/>
        <w:rPr>
          <w:rFonts w:hint="eastAsia"/>
        </w:rPr>
      </w:pPr>
      <w:r>
        <w:rPr>
          <w:rFonts w:hint="eastAsia"/>
        </w:rPr>
        <w:t>189.</w:t>
      </w:r>
      <w:r>
        <w:rPr>
          <w:rFonts w:hint="eastAsia"/>
        </w:rPr>
        <w:tab/>
      </w:r>
      <w:r>
        <w:rPr>
          <w:rFonts w:hint="eastAsia"/>
        </w:rPr>
        <w:t>因此，墨西哥作为国际劳工组织第</w:t>
      </w:r>
      <w:r>
        <w:rPr>
          <w:rFonts w:hint="eastAsia"/>
        </w:rPr>
        <w:t>26</w:t>
      </w:r>
      <w:r>
        <w:rPr>
          <w:rFonts w:hint="eastAsia"/>
        </w:rPr>
        <w:t>、</w:t>
      </w:r>
      <w:r>
        <w:rPr>
          <w:rFonts w:hint="eastAsia"/>
        </w:rPr>
        <w:t>99</w:t>
      </w:r>
      <w:r>
        <w:rPr>
          <w:rFonts w:hint="eastAsia"/>
        </w:rPr>
        <w:t>和</w:t>
      </w:r>
      <w:r>
        <w:rPr>
          <w:rFonts w:hint="eastAsia"/>
        </w:rPr>
        <w:t>131</w:t>
      </w:r>
      <w:r>
        <w:rPr>
          <w:rFonts w:hint="eastAsia"/>
        </w:rPr>
        <w:t>号公约签署国，已根据上述法律文书第</w:t>
      </w:r>
      <w:r>
        <w:rPr>
          <w:rFonts w:hint="eastAsia"/>
        </w:rPr>
        <w:t>123</w:t>
      </w:r>
      <w:r>
        <w:rPr>
          <w:rFonts w:hint="eastAsia"/>
        </w:rPr>
        <w:t>条将这些公约的条款纳入本国立法。</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15</w:t>
      </w:r>
      <w:r>
        <w:rPr>
          <w:rFonts w:ascii="SimHei" w:eastAsia="SimHei" w:hint="eastAsia"/>
        </w:rPr>
        <w:t>段（</w:t>
      </w:r>
      <w:r>
        <w:rPr>
          <w:rFonts w:ascii="SimHei" w:eastAsia="SimHei" w:hint="eastAsia"/>
        </w:rPr>
        <w:t>b</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190.</w:t>
      </w:r>
      <w:r>
        <w:rPr>
          <w:rFonts w:hint="eastAsia"/>
        </w:rPr>
        <w:tab/>
      </w:r>
      <w:r>
        <w:rPr>
          <w:rFonts w:hint="eastAsia"/>
        </w:rPr>
        <w:t>墨西哥已建立起最低工资体系。《墨西哥合众国宪法》第</w:t>
      </w:r>
      <w:r>
        <w:rPr>
          <w:rFonts w:hint="eastAsia"/>
        </w:rPr>
        <w:t>123</w:t>
      </w:r>
      <w:r>
        <w:rPr>
          <w:rFonts w:hint="eastAsia"/>
        </w:rPr>
        <w:t>条规定“（……）每个人都有权获得正当的并有益于社会的工作。为此应根据法律创造就业机会和建立促进就业的社会组织。”</w:t>
      </w:r>
    </w:p>
    <w:p w:rsidR="00000000" w:rsidRDefault="00457650">
      <w:pPr>
        <w:widowControl/>
        <w:tabs>
          <w:tab w:val="left" w:pos="630"/>
        </w:tabs>
        <w:spacing w:after="240" w:line="360" w:lineRule="exact"/>
        <w:rPr>
          <w:rFonts w:hint="eastAsia"/>
        </w:rPr>
      </w:pPr>
      <w:r>
        <w:rPr>
          <w:rFonts w:hint="eastAsia"/>
        </w:rPr>
        <w:t>191.</w:t>
      </w:r>
      <w:r>
        <w:rPr>
          <w:rFonts w:hint="eastAsia"/>
        </w:rPr>
        <w:tab/>
      </w:r>
      <w:r>
        <w:rPr>
          <w:rFonts w:hint="eastAsia"/>
        </w:rPr>
        <w:t>第</w:t>
      </w:r>
      <w:r>
        <w:rPr>
          <w:rFonts w:hint="eastAsia"/>
        </w:rPr>
        <w:t>6</w:t>
      </w:r>
      <w:r>
        <w:rPr>
          <w:rFonts w:hint="eastAsia"/>
        </w:rPr>
        <w:t>款对最低工资做了如下规定：</w:t>
      </w:r>
    </w:p>
    <w:p w:rsidR="00000000" w:rsidRDefault="00457650" w:rsidP="00457650">
      <w:pPr>
        <w:widowControl/>
        <w:tabs>
          <w:tab w:val="left" w:pos="630"/>
        </w:tabs>
        <w:spacing w:after="240" w:line="360" w:lineRule="exact"/>
        <w:ind w:leftChars="300" w:left="31680" w:hangingChars="300" w:firstLine="31680"/>
        <w:rPr>
          <w:rFonts w:hint="eastAsia"/>
        </w:rPr>
      </w:pPr>
      <w:r>
        <w:rPr>
          <w:rFonts w:hint="eastAsia"/>
        </w:rPr>
        <w:t>“</w:t>
      </w:r>
      <w:r>
        <w:rPr>
          <w:rFonts w:hint="eastAsia"/>
        </w:rPr>
        <w:t>6.</w:t>
      </w:r>
      <w:r>
        <w:rPr>
          <w:rFonts w:hint="eastAsia"/>
        </w:rPr>
        <w:tab/>
      </w:r>
      <w:r>
        <w:rPr>
          <w:rFonts w:hint="eastAsia"/>
        </w:rPr>
        <w:t>工人享有最低工资，包括最低一般工资或最低职业工资。前者</w:t>
      </w:r>
      <w:r>
        <w:rPr>
          <w:rFonts w:hint="eastAsia"/>
        </w:rPr>
        <w:t>应在特定的地理区域内适用；后者应在特定的经济活动领域或特定的专业、职业或工作种类中适用。</w:t>
      </w:r>
    </w:p>
    <w:p w:rsidR="00000000" w:rsidRDefault="00457650" w:rsidP="00457650">
      <w:pPr>
        <w:widowControl/>
        <w:tabs>
          <w:tab w:val="left" w:pos="630"/>
        </w:tabs>
        <w:spacing w:after="240" w:line="360" w:lineRule="exact"/>
        <w:ind w:leftChars="600" w:left="31680" w:firstLineChars="200" w:firstLine="31680"/>
        <w:rPr>
          <w:rFonts w:hint="eastAsia"/>
        </w:rPr>
      </w:pPr>
      <w:r>
        <w:rPr>
          <w:rFonts w:hint="eastAsia"/>
        </w:rPr>
        <w:t>最低一般工资必须能满足家庭户主的正常物质、社会和文化需要，并足以为任何儿童提供义务教育。最低职业工资也考虑了各种经济活动的条件。</w:t>
      </w:r>
    </w:p>
    <w:p w:rsidR="00000000" w:rsidRDefault="00457650" w:rsidP="00457650">
      <w:pPr>
        <w:widowControl/>
        <w:tabs>
          <w:tab w:val="left" w:pos="630"/>
        </w:tabs>
        <w:spacing w:after="240" w:line="360" w:lineRule="exact"/>
        <w:ind w:leftChars="600" w:left="31680" w:firstLineChars="200" w:firstLine="31680"/>
        <w:rPr>
          <w:rFonts w:hint="eastAsia"/>
        </w:rPr>
      </w:pPr>
      <w:r>
        <w:rPr>
          <w:rFonts w:hint="eastAsia"/>
        </w:rPr>
        <w:t>最低工资应该由工人、雇主和政府代表组成的国家委员会确定；为了更好地履行职责，该委员会可以在必要时请专家委员会在其职权范围内给予协助。”</w:t>
      </w:r>
    </w:p>
    <w:p w:rsidR="00000000" w:rsidRDefault="00457650">
      <w:pPr>
        <w:widowControl/>
        <w:tabs>
          <w:tab w:val="left" w:pos="630"/>
        </w:tabs>
        <w:spacing w:after="240" w:line="360" w:lineRule="exact"/>
        <w:rPr>
          <w:rFonts w:hint="eastAsia"/>
        </w:rPr>
      </w:pPr>
      <w:r>
        <w:rPr>
          <w:rFonts w:hint="eastAsia"/>
        </w:rPr>
        <w:t>192.</w:t>
      </w:r>
      <w:r>
        <w:rPr>
          <w:rFonts w:hint="eastAsia"/>
        </w:rPr>
        <w:tab/>
      </w:r>
      <w:r>
        <w:rPr>
          <w:rFonts w:hint="eastAsia"/>
        </w:rPr>
        <w:t>该法（《联邦劳动法》）为落实《宪法》第</w:t>
      </w:r>
      <w:r>
        <w:rPr>
          <w:rFonts w:hint="eastAsia"/>
        </w:rPr>
        <w:t>123</w:t>
      </w:r>
      <w:r>
        <w:rPr>
          <w:rFonts w:hint="eastAsia"/>
        </w:rPr>
        <w:t>条，在其第六章（第</w:t>
      </w:r>
      <w:r>
        <w:rPr>
          <w:rFonts w:hint="eastAsia"/>
        </w:rPr>
        <w:t>90</w:t>
      </w:r>
      <w:r>
        <w:rPr>
          <w:rFonts w:hint="eastAsia"/>
        </w:rPr>
        <w:t>条）中对最低工资做了如下规定：</w:t>
      </w:r>
    </w:p>
    <w:p w:rsidR="00000000" w:rsidRDefault="00457650" w:rsidP="00457650">
      <w:pPr>
        <w:widowControl/>
        <w:tabs>
          <w:tab w:val="left" w:pos="630"/>
        </w:tabs>
        <w:spacing w:after="240" w:line="360" w:lineRule="exact"/>
        <w:ind w:leftChars="300" w:left="31680" w:firstLineChars="200" w:firstLine="31680"/>
        <w:rPr>
          <w:rFonts w:hint="eastAsia"/>
        </w:rPr>
      </w:pPr>
      <w:r>
        <w:rPr>
          <w:rFonts w:hint="eastAsia"/>
        </w:rPr>
        <w:t>“第</w:t>
      </w:r>
      <w:r>
        <w:rPr>
          <w:rFonts w:hint="eastAsia"/>
        </w:rPr>
        <w:t>90</w:t>
      </w:r>
      <w:r>
        <w:rPr>
          <w:rFonts w:hint="eastAsia"/>
        </w:rPr>
        <w:t>条。（……）必须付给工人一个工作日的最低</w:t>
      </w:r>
      <w:r>
        <w:rPr>
          <w:rFonts w:hint="eastAsia"/>
        </w:rPr>
        <w:t>劳动工资。</w:t>
      </w:r>
    </w:p>
    <w:p w:rsidR="00000000" w:rsidRDefault="00457650" w:rsidP="00457650">
      <w:pPr>
        <w:widowControl/>
        <w:tabs>
          <w:tab w:val="left" w:pos="630"/>
        </w:tabs>
        <w:spacing w:after="240" w:line="360" w:lineRule="exact"/>
        <w:ind w:leftChars="300" w:left="31680" w:firstLineChars="200" w:firstLine="31680"/>
        <w:rPr>
          <w:rFonts w:hint="eastAsia"/>
        </w:rPr>
      </w:pPr>
      <w:r>
        <w:rPr>
          <w:rFonts w:hint="eastAsia"/>
        </w:rPr>
        <w:t>最低工资必须足以满足家庭户主的正常物质、社会和文化需要，并足以为任何儿童提供义务教育。”</w:t>
      </w:r>
    </w:p>
    <w:p w:rsidR="00000000" w:rsidRDefault="00457650">
      <w:pPr>
        <w:keepNext/>
        <w:widowControl/>
        <w:tabs>
          <w:tab w:val="left" w:pos="630"/>
        </w:tabs>
        <w:spacing w:after="240" w:line="360" w:lineRule="exact"/>
        <w:rPr>
          <w:rFonts w:hint="eastAsia"/>
        </w:rPr>
      </w:pPr>
      <w:r>
        <w:rPr>
          <w:rFonts w:hint="eastAsia"/>
        </w:rPr>
        <w:t>193.</w:t>
      </w:r>
      <w:r>
        <w:rPr>
          <w:rFonts w:hint="eastAsia"/>
        </w:rPr>
        <w:tab/>
      </w:r>
      <w:r>
        <w:rPr>
          <w:rFonts w:hint="eastAsia"/>
        </w:rPr>
        <w:t>《联邦劳动法》还规定：</w:t>
      </w:r>
    </w:p>
    <w:p w:rsidR="00000000" w:rsidRDefault="00457650" w:rsidP="00457650">
      <w:pPr>
        <w:keepNext/>
        <w:widowControl/>
        <w:tabs>
          <w:tab w:val="left" w:pos="630"/>
        </w:tabs>
        <w:spacing w:after="240" w:line="360" w:lineRule="exact"/>
        <w:ind w:leftChars="300" w:left="31680" w:firstLineChars="200" w:firstLine="31680"/>
        <w:rPr>
          <w:rFonts w:hint="eastAsia"/>
        </w:rPr>
      </w:pPr>
      <w:r>
        <w:rPr>
          <w:rFonts w:hint="eastAsia"/>
        </w:rPr>
        <w:t>“第</w:t>
      </w:r>
      <w:r>
        <w:rPr>
          <w:rFonts w:hint="eastAsia"/>
        </w:rPr>
        <w:t>91</w:t>
      </w:r>
      <w:r>
        <w:rPr>
          <w:rFonts w:hint="eastAsia"/>
        </w:rPr>
        <w:t>条。最低工资可以是一般性的，适用于一个或多个地理区域，可以覆盖一个或多个联邦州；也可以是职业性的，适用于一个或多个地理区域内一个特定经济活动领域或特定的专业、职业或工作种类。</w:t>
      </w:r>
    </w:p>
    <w:p w:rsidR="00000000" w:rsidRDefault="00457650" w:rsidP="00457650">
      <w:pPr>
        <w:widowControl/>
        <w:tabs>
          <w:tab w:val="left" w:pos="630"/>
        </w:tabs>
        <w:spacing w:after="240" w:line="360" w:lineRule="exact"/>
        <w:ind w:leftChars="300" w:left="31680" w:firstLineChars="200" w:firstLine="31680"/>
        <w:rPr>
          <w:rFonts w:hint="eastAsia"/>
        </w:rPr>
      </w:pPr>
      <w:r>
        <w:rPr>
          <w:rFonts w:hint="eastAsia"/>
        </w:rPr>
        <w:t>第</w:t>
      </w:r>
      <w:r>
        <w:rPr>
          <w:rFonts w:hint="eastAsia"/>
        </w:rPr>
        <w:t>92</w:t>
      </w:r>
      <w:r>
        <w:rPr>
          <w:rFonts w:hint="eastAsia"/>
        </w:rPr>
        <w:t>条。最低一般工资应当适用于特定地理区域的所有工人，不受经济活动领域或特定专业、职业或工作种类的限制。</w:t>
      </w:r>
    </w:p>
    <w:p w:rsidR="00000000" w:rsidRDefault="00457650" w:rsidP="00457650">
      <w:pPr>
        <w:widowControl/>
        <w:tabs>
          <w:tab w:val="left" w:pos="630"/>
        </w:tabs>
        <w:spacing w:after="240" w:line="360" w:lineRule="exact"/>
        <w:ind w:leftChars="300" w:left="31680" w:firstLineChars="200" w:firstLine="31680"/>
        <w:rPr>
          <w:rFonts w:hint="eastAsia"/>
        </w:rPr>
      </w:pPr>
      <w:r>
        <w:rPr>
          <w:rFonts w:hint="eastAsia"/>
        </w:rPr>
        <w:t>第</w:t>
      </w:r>
      <w:r>
        <w:rPr>
          <w:rFonts w:hint="eastAsia"/>
        </w:rPr>
        <w:t>93</w:t>
      </w:r>
      <w:r>
        <w:rPr>
          <w:rFonts w:hint="eastAsia"/>
        </w:rPr>
        <w:t>条。最低职业工资适用于所规定的一个或多个地理区域指定的经济活动领域或特定专业、</w:t>
      </w:r>
      <w:r>
        <w:rPr>
          <w:rFonts w:hint="eastAsia"/>
        </w:rPr>
        <w:t>职业或工作种类的所有工人。</w:t>
      </w:r>
    </w:p>
    <w:p w:rsidR="00000000" w:rsidRDefault="00457650" w:rsidP="00457650">
      <w:pPr>
        <w:widowControl/>
        <w:tabs>
          <w:tab w:val="left" w:pos="630"/>
        </w:tabs>
        <w:spacing w:after="240" w:line="360" w:lineRule="exact"/>
        <w:ind w:leftChars="300" w:left="31680" w:firstLineChars="200" w:firstLine="31680"/>
        <w:rPr>
          <w:rFonts w:hint="eastAsia"/>
        </w:rPr>
      </w:pPr>
      <w:r>
        <w:rPr>
          <w:rFonts w:hint="eastAsia"/>
        </w:rPr>
        <w:t>第</w:t>
      </w:r>
      <w:r>
        <w:rPr>
          <w:rFonts w:hint="eastAsia"/>
        </w:rPr>
        <w:t>94</w:t>
      </w:r>
      <w:r>
        <w:rPr>
          <w:rFonts w:hint="eastAsia"/>
        </w:rPr>
        <w:t>条。最低工资应由工人、雇主和政府代表所组成的国家最低工资委员会制定；为了更好地履行职责，该委员会可以在必要时请专家委员会在其职权范围内给予协助。”</w:t>
      </w:r>
    </w:p>
    <w:p w:rsidR="00000000" w:rsidRDefault="00457650">
      <w:pPr>
        <w:widowControl/>
        <w:tabs>
          <w:tab w:val="left" w:pos="630"/>
        </w:tabs>
        <w:spacing w:after="240" w:line="360" w:lineRule="exact"/>
        <w:rPr>
          <w:rFonts w:hint="eastAsia"/>
        </w:rPr>
      </w:pPr>
      <w:r>
        <w:rPr>
          <w:rFonts w:hint="eastAsia"/>
        </w:rPr>
        <w:t>194.</w:t>
      </w:r>
      <w:r>
        <w:rPr>
          <w:rFonts w:hint="eastAsia"/>
        </w:rPr>
        <w:tab/>
      </w:r>
      <w:r>
        <w:rPr>
          <w:rFonts w:hint="eastAsia"/>
        </w:rPr>
        <w:t>通过回答上述问题已经对国家最低工资委员会的成员和职责进行了解释。</w:t>
      </w:r>
    </w:p>
    <w:p w:rsidR="00000000" w:rsidRDefault="00457650">
      <w:pPr>
        <w:widowControl/>
        <w:tabs>
          <w:tab w:val="left" w:pos="630"/>
        </w:tabs>
        <w:spacing w:after="240" w:line="360" w:lineRule="exact"/>
        <w:rPr>
          <w:rFonts w:hint="eastAsia"/>
        </w:rPr>
      </w:pPr>
      <w:r>
        <w:rPr>
          <w:rFonts w:hint="eastAsia"/>
        </w:rPr>
        <w:t>195.</w:t>
      </w:r>
      <w:r>
        <w:rPr>
          <w:rFonts w:hint="eastAsia"/>
        </w:rPr>
        <w:tab/>
      </w:r>
      <w:r>
        <w:rPr>
          <w:rFonts w:hint="eastAsia"/>
        </w:rPr>
        <w:t>对于适用最低工资的工薪人群，《联邦劳动法》第</w:t>
      </w:r>
      <w:r>
        <w:rPr>
          <w:rFonts w:hint="eastAsia"/>
        </w:rPr>
        <w:t>93</w:t>
      </w:r>
      <w:r>
        <w:rPr>
          <w:rFonts w:hint="eastAsia"/>
        </w:rPr>
        <w:t>条规定最低职业工资适用于所规定的一个或多个地理区域指定的经济活动领域或特定专业、职业或工作种类的所有工人。</w:t>
      </w:r>
    </w:p>
    <w:p w:rsidR="00000000" w:rsidRDefault="00457650">
      <w:pPr>
        <w:widowControl/>
        <w:tabs>
          <w:tab w:val="left" w:pos="630"/>
        </w:tabs>
        <w:spacing w:after="240" w:line="360" w:lineRule="exact"/>
        <w:rPr>
          <w:rFonts w:hint="eastAsia"/>
        </w:rPr>
      </w:pPr>
      <w:r>
        <w:rPr>
          <w:rFonts w:hint="eastAsia"/>
        </w:rPr>
        <w:t>196.</w:t>
      </w:r>
      <w:r>
        <w:rPr>
          <w:rFonts w:hint="eastAsia"/>
        </w:rPr>
        <w:tab/>
      </w:r>
      <w:r>
        <w:rPr>
          <w:rFonts w:hint="eastAsia"/>
        </w:rPr>
        <w:t>下表列举了目前组成最低职业工资体系的</w:t>
      </w:r>
      <w:r>
        <w:rPr>
          <w:rFonts w:hint="eastAsia"/>
        </w:rPr>
        <w:t>88</w:t>
      </w:r>
      <w:r>
        <w:rPr>
          <w:rFonts w:hint="eastAsia"/>
        </w:rPr>
        <w:t>种专业、职业和工作种类。</w:t>
      </w:r>
    </w:p>
    <w:p w:rsidR="00000000" w:rsidRDefault="00457650">
      <w:pPr>
        <w:widowControl/>
        <w:tabs>
          <w:tab w:val="left" w:pos="630"/>
        </w:tabs>
        <w:spacing w:after="240" w:line="360" w:lineRule="exact"/>
        <w:jc w:val="center"/>
        <w:rPr>
          <w:rFonts w:eastAsia="SimHei" w:hint="eastAsia"/>
        </w:rPr>
      </w:pPr>
      <w:r>
        <w:rPr>
          <w:rFonts w:eastAsia="SimHei" w:hint="eastAsia"/>
        </w:rPr>
        <w:t>特定的专业、</w:t>
      </w:r>
      <w:r>
        <w:rPr>
          <w:rFonts w:eastAsia="SimHei" w:hint="eastAsia"/>
        </w:rPr>
        <w:t>职业和工作种类</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1"/>
        <w:gridCol w:w="4200"/>
        <w:gridCol w:w="600"/>
        <w:gridCol w:w="4440"/>
      </w:tblGrid>
      <w:tr w:rsidR="00000000">
        <w:tc>
          <w:tcPr>
            <w:tcW w:w="305" w:type="pct"/>
          </w:tcPr>
          <w:p w:rsidR="00000000" w:rsidRDefault="00457650">
            <w:pPr>
              <w:pStyle w:val="Header"/>
              <w:widowControl/>
              <w:pBdr>
                <w:bottom w:val="none" w:sz="0" w:space="0" w:color="auto"/>
              </w:pBdr>
              <w:tabs>
                <w:tab w:val="clear" w:pos="4320"/>
                <w:tab w:val="clear" w:pos="8640"/>
                <w:tab w:val="left" w:pos="630"/>
              </w:tabs>
              <w:spacing w:before="40" w:after="40" w:line="320" w:lineRule="exact"/>
              <w:rPr>
                <w:rFonts w:hint="eastAsia"/>
              </w:rPr>
            </w:pPr>
            <w:r>
              <w:rPr>
                <w:rFonts w:hint="eastAsia"/>
              </w:rPr>
              <w:t>1</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泥瓦工（熟练）</w:t>
            </w:r>
          </w:p>
        </w:tc>
        <w:tc>
          <w:tcPr>
            <w:tcW w:w="305" w:type="pct"/>
          </w:tcPr>
          <w:p w:rsidR="00000000" w:rsidRDefault="00457650">
            <w:pPr>
              <w:pStyle w:val="Header"/>
              <w:widowControl/>
              <w:pBdr>
                <w:bottom w:val="none" w:sz="0" w:space="0" w:color="auto"/>
              </w:pBdr>
              <w:tabs>
                <w:tab w:val="clear" w:pos="4320"/>
                <w:tab w:val="clear" w:pos="8640"/>
                <w:tab w:val="left" w:pos="630"/>
              </w:tabs>
              <w:spacing w:before="40" w:after="40" w:line="320" w:lineRule="exact"/>
              <w:rPr>
                <w:rFonts w:hint="eastAsia"/>
              </w:rPr>
            </w:pPr>
            <w:r>
              <w:rPr>
                <w:rFonts w:hint="eastAsia"/>
              </w:rPr>
              <w:t>45</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养鸡场工人</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2</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办公室档案管理员</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46</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农业机械操作员</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3</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杂货店、药店柜台售货员</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47</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焊接机操作员</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4</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推土机司机</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48</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压凹凸印刷机操作员</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5</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收银机操作员</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49</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普通木工机操作员（熟练）</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6</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排字工人（熟练）</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50</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塑料模塑机操作员</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7</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酒吧饮料调制员</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51</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铣床操作员（熟练）</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8</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木工（室内家具）</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52</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整流器操作员</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9</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木工（建筑物建造和修理）（熟练）</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53</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汽车和卡车维修工（熟练）</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10</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刨工</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54</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调谐器机械师（熟练）</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11</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餐馆</w:t>
            </w:r>
            <w:r>
              <w:rPr>
                <w:rFonts w:hint="eastAsia"/>
                <w:sz w:val="18"/>
              </w:rPr>
              <w:t>、酒馆和其他食品配制和销售单位的厨师（成年）</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55</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打字员</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12</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网垫制作工和维修工（熟练）</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56</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金属熔铸工</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13</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马赛克和瓷砖铺设工（熟练）</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57</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制鞋厂和车间的裁剪和试样工（熟练）</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14</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助理记账员</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58</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载客和载货运输工具副驾驶员</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15</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建筑和住所泥水匠</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59</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金属部件和产品表面镀镍和铬（熟练）</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16</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铁制品工人（建筑）</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60</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理发师和指甲美容师</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17</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制鞋厂和车间的切割工（熟练）</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61</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钻工（风钻）</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18</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车间和工厂里的服装工</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62</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汽车和货车的油漆工（熟练）</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19</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服装工（家庭雇</w:t>
            </w:r>
            <w:r>
              <w:rPr>
                <w:rFonts w:hint="eastAsia"/>
                <w:sz w:val="18"/>
              </w:rPr>
              <w:t>用）</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63</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一般房屋、楼房和建筑物的油漆工（熟练）</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20</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司机服务人员，泊车</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64</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干洗店、洗衣和类似单位的熨烫工</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21</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卡车司机（普通）</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65</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公共厕所水管工（熟练）</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22</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货车司机（普通）</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66</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多色胶印机操作员</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23</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起重机操作员</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67</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压力机操作员</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24</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挖掘机操作员</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68</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无线电技师，电力和电子设备维修工（熟练）</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25</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橱柜工人，制作和修理家具（熟练）</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69</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宾馆、汽车旅馆和其他提供住宿的单位的房间服务员</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26</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电工，安装和修理电器（熟练）</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70</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接待员（普通）</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27</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电工，修理汽</w:t>
            </w:r>
            <w:r>
              <w:rPr>
                <w:rFonts w:hint="eastAsia"/>
                <w:sz w:val="18"/>
              </w:rPr>
              <w:t>车和卡车</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71</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汽车和卡车修理工（展示人员）</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28</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车间发动机和</w:t>
            </w:r>
            <w:r>
              <w:rPr>
                <w:rFonts w:hint="eastAsia"/>
                <w:sz w:val="18"/>
              </w:rPr>
              <w:t>/</w:t>
            </w:r>
            <w:r>
              <w:rPr>
                <w:rFonts w:hint="eastAsia"/>
                <w:sz w:val="18"/>
              </w:rPr>
              <w:t>或发电机的电工、修理工（熟练）</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72</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家用电器修理工（熟练）</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29</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负责仓储、摆放或汽车服务站工作的工人</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73</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日报记者</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30</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店主</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74</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日报插图员</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31</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护士（获得认证的）</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75</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面点和糖果点心师</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32</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有实际经验但未经正式培训的助理护士</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76</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裁缝（家庭雇用）（熟练）</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33</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五金店和油漆店（柜台服务员）</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77</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氧乙炔或电弧铆焊工</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34</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烧炉工人、蒸汽锅炉工人</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78</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马具师，制造和修理皮具（熟练）</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35</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加油站工人</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79</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肉店（柜台服务员）</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36</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铁匠（熟练）</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80</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汽车装饰工（熟练）</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37</w:t>
            </w:r>
          </w:p>
        </w:tc>
        <w:tc>
          <w:tcPr>
            <w:tcW w:w="2134" w:type="pct"/>
          </w:tcPr>
          <w:p w:rsidR="00000000" w:rsidRDefault="00457650">
            <w:pPr>
              <w:pStyle w:val="a3"/>
              <w:widowControl/>
              <w:tabs>
                <w:tab w:val="left" w:pos="630"/>
              </w:tabs>
              <w:adjustRightInd w:val="0"/>
              <w:spacing w:before="40" w:after="40" w:line="320" w:lineRule="exact"/>
              <w:textAlignment w:val="baseline"/>
              <w:rPr>
                <w:rFonts w:hint="eastAsia"/>
                <w:kern w:val="0"/>
                <w:szCs w:val="20"/>
              </w:rPr>
            </w:pPr>
            <w:r>
              <w:rPr>
                <w:rFonts w:hint="eastAsia"/>
                <w:kern w:val="0"/>
                <w:szCs w:val="20"/>
              </w:rPr>
              <w:t>金属板工，汽车和卡车修理（熟练）</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81</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室内装饰工，家具（熟练）</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38</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锅炉操作工，铸造工（熟练）</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82</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西班牙语速记员</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39</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珠宝和银器工人（熟练）</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83</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社会工作者</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40</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家庭珠宝和银器工人（熟练）</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84</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履带车或履带式挖掘机操作员（熟练）</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41</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临床分析实验室助手</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85</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挤奶机操作员</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42</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行型活字铸造机工人（熟练）</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86</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看守</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43</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汽车、卡车和其他车辆加油工</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87</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送货上门的家用产品销售员</w:t>
            </w:r>
          </w:p>
        </w:tc>
      </w:tr>
      <w:tr w:rsidR="00000000">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44</w:t>
            </w:r>
          </w:p>
        </w:tc>
        <w:tc>
          <w:tcPr>
            <w:tcW w:w="2134" w:type="pct"/>
          </w:tcPr>
          <w:p w:rsidR="00000000" w:rsidRDefault="00457650">
            <w:pPr>
              <w:widowControl/>
              <w:tabs>
                <w:tab w:val="left" w:pos="630"/>
              </w:tabs>
              <w:spacing w:before="40" w:after="40" w:line="320" w:lineRule="exact"/>
              <w:rPr>
                <w:rFonts w:hint="eastAsia"/>
                <w:sz w:val="18"/>
              </w:rPr>
            </w:pPr>
            <w:r>
              <w:rPr>
                <w:rFonts w:hint="eastAsia"/>
                <w:sz w:val="18"/>
              </w:rPr>
              <w:t>私立小学教师</w:t>
            </w:r>
          </w:p>
        </w:tc>
        <w:tc>
          <w:tcPr>
            <w:tcW w:w="305" w:type="pct"/>
          </w:tcPr>
          <w:p w:rsidR="00000000" w:rsidRDefault="00457650">
            <w:pPr>
              <w:widowControl/>
              <w:tabs>
                <w:tab w:val="left" w:pos="630"/>
              </w:tabs>
              <w:spacing w:before="40" w:after="40" w:line="320" w:lineRule="exact"/>
              <w:jc w:val="center"/>
              <w:rPr>
                <w:rFonts w:hint="eastAsia"/>
                <w:sz w:val="18"/>
              </w:rPr>
            </w:pPr>
            <w:r>
              <w:rPr>
                <w:rFonts w:hint="eastAsia"/>
                <w:sz w:val="18"/>
              </w:rPr>
              <w:t>88</w:t>
            </w:r>
          </w:p>
        </w:tc>
        <w:tc>
          <w:tcPr>
            <w:tcW w:w="2256" w:type="pct"/>
          </w:tcPr>
          <w:p w:rsidR="00000000" w:rsidRDefault="00457650">
            <w:pPr>
              <w:widowControl/>
              <w:tabs>
                <w:tab w:val="left" w:pos="630"/>
              </w:tabs>
              <w:spacing w:before="40" w:after="40" w:line="320" w:lineRule="exact"/>
              <w:rPr>
                <w:rFonts w:hint="eastAsia"/>
                <w:sz w:val="18"/>
              </w:rPr>
            </w:pPr>
            <w:r>
              <w:rPr>
                <w:rFonts w:hint="eastAsia"/>
                <w:sz w:val="18"/>
              </w:rPr>
              <w:t>修鞋店补鞋匠（熟练）</w:t>
            </w:r>
          </w:p>
        </w:tc>
      </w:tr>
    </w:tbl>
    <w:p w:rsidR="00000000" w:rsidRDefault="00457650">
      <w:pPr>
        <w:pStyle w:val="Date"/>
        <w:widowControl/>
        <w:tabs>
          <w:tab w:val="left" w:pos="630"/>
        </w:tabs>
        <w:spacing w:line="360" w:lineRule="exact"/>
        <w:rPr>
          <w:rFonts w:hint="eastAsia"/>
        </w:rPr>
      </w:pPr>
    </w:p>
    <w:p w:rsidR="00000000" w:rsidRDefault="00457650">
      <w:pPr>
        <w:widowControl/>
        <w:tabs>
          <w:tab w:val="left" w:pos="630"/>
        </w:tabs>
        <w:spacing w:after="240" w:line="360" w:lineRule="exact"/>
        <w:rPr>
          <w:rFonts w:hint="eastAsia"/>
        </w:rPr>
      </w:pPr>
      <w:r>
        <w:rPr>
          <w:rFonts w:hint="eastAsia"/>
        </w:rPr>
        <w:t>197.</w:t>
      </w:r>
      <w:r>
        <w:rPr>
          <w:rFonts w:hint="eastAsia"/>
        </w:rPr>
        <w:tab/>
      </w:r>
      <w:r>
        <w:rPr>
          <w:rFonts w:hint="eastAsia"/>
        </w:rPr>
        <w:t>关于墨西哥正规私营经济部门中领取最低工资的总人数，</w:t>
      </w:r>
      <w:r>
        <w:rPr>
          <w:rFonts w:hint="eastAsia"/>
        </w:rPr>
        <w:t xml:space="preserve"> 2004</w:t>
      </w:r>
      <w:r>
        <w:rPr>
          <w:rFonts w:hint="eastAsia"/>
        </w:rPr>
        <w:t>年</w:t>
      </w:r>
      <w:r>
        <w:rPr>
          <w:rFonts w:hint="eastAsia"/>
        </w:rPr>
        <w:t>5</w:t>
      </w:r>
      <w:r>
        <w:rPr>
          <w:rFonts w:hint="eastAsia"/>
        </w:rPr>
        <w:t>月，共有</w:t>
      </w:r>
      <w:r>
        <w:rPr>
          <w:rFonts w:hint="eastAsia"/>
        </w:rPr>
        <w:t>1 175</w:t>
      </w:r>
      <w:r>
        <w:rPr>
          <w:rFonts w:hint="eastAsia"/>
        </w:rPr>
        <w:t>万名工人向墨西哥社会保障局缴费，其中</w:t>
      </w:r>
      <w:r>
        <w:rPr>
          <w:rFonts w:hint="eastAsia"/>
        </w:rPr>
        <w:t>913 741</w:t>
      </w:r>
      <w:r>
        <w:rPr>
          <w:rFonts w:hint="eastAsia"/>
        </w:rPr>
        <w:t>名工人的工资是最低工资，占总人数的</w:t>
      </w:r>
      <w:r>
        <w:rPr>
          <w:rFonts w:hint="eastAsia"/>
        </w:rPr>
        <w:t>7.9%</w:t>
      </w:r>
      <w:r>
        <w:rPr>
          <w:rFonts w:hint="eastAsia"/>
        </w:rPr>
        <w:t>；另有</w:t>
      </w:r>
      <w:r>
        <w:rPr>
          <w:rFonts w:hint="eastAsia"/>
        </w:rPr>
        <w:t>30.2%</w:t>
      </w:r>
      <w:r>
        <w:rPr>
          <w:rFonts w:hint="eastAsia"/>
        </w:rPr>
        <w:t>的工人工资超过最低工资，但不到最低工资的两倍，剩下的</w:t>
      </w:r>
      <w:r>
        <w:rPr>
          <w:rFonts w:hint="eastAsia"/>
        </w:rPr>
        <w:t>61.8%</w:t>
      </w:r>
      <w:r>
        <w:rPr>
          <w:rFonts w:hint="eastAsia"/>
        </w:rPr>
        <w:t>其工资超过最低工资的两倍。</w:t>
      </w:r>
    </w:p>
    <w:p w:rsidR="00000000" w:rsidRDefault="00457650">
      <w:pPr>
        <w:widowControl/>
        <w:tabs>
          <w:tab w:val="left" w:pos="630"/>
        </w:tabs>
        <w:spacing w:after="240" w:line="360" w:lineRule="exact"/>
        <w:rPr>
          <w:rFonts w:hint="eastAsia"/>
        </w:rPr>
      </w:pPr>
      <w:r>
        <w:rPr>
          <w:rFonts w:hint="eastAsia"/>
        </w:rPr>
        <w:t>198.</w:t>
      </w:r>
      <w:r>
        <w:rPr>
          <w:rFonts w:hint="eastAsia"/>
        </w:rPr>
        <w:tab/>
      </w:r>
      <w:r>
        <w:rPr>
          <w:rFonts w:hint="eastAsia"/>
        </w:rPr>
        <w:t>对于挣工资的劳动者是否没有受到上述最低工资体系的保护，应在法律或事实上说明，《墨西哥合众国宪法》第</w:t>
      </w:r>
      <w:r>
        <w:rPr>
          <w:rFonts w:hint="eastAsia"/>
        </w:rPr>
        <w:t>10</w:t>
      </w:r>
      <w:r>
        <w:rPr>
          <w:rFonts w:hint="eastAsia"/>
        </w:rPr>
        <w:t>条做了如下规定：</w:t>
      </w:r>
    </w:p>
    <w:p w:rsidR="00000000" w:rsidRDefault="00457650" w:rsidP="00457650">
      <w:pPr>
        <w:widowControl/>
        <w:tabs>
          <w:tab w:val="left" w:pos="630"/>
        </w:tabs>
        <w:spacing w:after="240" w:line="360" w:lineRule="exact"/>
        <w:ind w:leftChars="300" w:left="31680" w:firstLineChars="200" w:firstLine="31680"/>
        <w:rPr>
          <w:rFonts w:hint="eastAsia"/>
        </w:rPr>
      </w:pPr>
      <w:r>
        <w:rPr>
          <w:rFonts w:hint="eastAsia"/>
        </w:rPr>
        <w:t>“在墨西哥各州，任何人都应享有本宪法所提供的保障；不得限制</w:t>
      </w:r>
      <w:r>
        <w:rPr>
          <w:rFonts w:hint="eastAsia"/>
        </w:rPr>
        <w:t>或中断这些保障，除非各州另有规定。”</w:t>
      </w:r>
    </w:p>
    <w:p w:rsidR="00000000" w:rsidRDefault="00457650">
      <w:pPr>
        <w:widowControl/>
        <w:tabs>
          <w:tab w:val="left" w:pos="630"/>
        </w:tabs>
        <w:spacing w:after="240" w:line="360" w:lineRule="exact"/>
        <w:rPr>
          <w:rFonts w:hint="eastAsia"/>
        </w:rPr>
      </w:pPr>
      <w:r>
        <w:rPr>
          <w:rFonts w:hint="eastAsia"/>
        </w:rPr>
        <w:t>199.</w:t>
      </w:r>
      <w:r>
        <w:rPr>
          <w:rFonts w:hint="eastAsia"/>
        </w:rPr>
        <w:tab/>
      </w:r>
      <w:r>
        <w:rPr>
          <w:rFonts w:hint="eastAsia"/>
        </w:rPr>
        <w:t>第</w:t>
      </w:r>
      <w:r>
        <w:rPr>
          <w:rFonts w:hint="eastAsia"/>
        </w:rPr>
        <w:t>123</w:t>
      </w:r>
      <w:r>
        <w:rPr>
          <w:rFonts w:hint="eastAsia"/>
        </w:rPr>
        <w:t>条对这一规定做了如下补充：</w:t>
      </w:r>
    </w:p>
    <w:p w:rsidR="00000000" w:rsidRDefault="00457650" w:rsidP="00457650">
      <w:pPr>
        <w:widowControl/>
        <w:tabs>
          <w:tab w:val="left" w:pos="630"/>
        </w:tabs>
        <w:spacing w:after="240" w:line="360" w:lineRule="exact"/>
        <w:ind w:leftChars="300" w:left="31680" w:firstLineChars="200" w:firstLine="31680"/>
        <w:rPr>
          <w:rFonts w:hint="eastAsia"/>
        </w:rPr>
      </w:pPr>
      <w:r>
        <w:rPr>
          <w:rFonts w:hint="eastAsia"/>
        </w:rPr>
        <w:t>“每个人都有权获得正当的并有益于社会的工作。为此应根据法律创造就业机会和建立促进就业的社会组织。”</w:t>
      </w:r>
    </w:p>
    <w:p w:rsidR="00000000" w:rsidRDefault="00457650">
      <w:pPr>
        <w:widowControl/>
        <w:tabs>
          <w:tab w:val="left" w:pos="630"/>
        </w:tabs>
        <w:spacing w:after="240" w:line="360" w:lineRule="exact"/>
        <w:rPr>
          <w:rFonts w:hint="eastAsia"/>
        </w:rPr>
      </w:pPr>
      <w:r>
        <w:rPr>
          <w:rFonts w:hint="eastAsia"/>
        </w:rPr>
        <w:t>200.</w:t>
      </w:r>
      <w:r>
        <w:rPr>
          <w:rFonts w:hint="eastAsia"/>
        </w:rPr>
        <w:tab/>
      </w:r>
      <w:r>
        <w:rPr>
          <w:rFonts w:hint="eastAsia"/>
        </w:rPr>
        <w:t>宪法同一条还规定：</w:t>
      </w:r>
    </w:p>
    <w:p w:rsidR="00000000" w:rsidRDefault="00457650" w:rsidP="00457650">
      <w:pPr>
        <w:widowControl/>
        <w:tabs>
          <w:tab w:val="left" w:pos="630"/>
        </w:tabs>
        <w:spacing w:after="240" w:line="360" w:lineRule="exact"/>
        <w:ind w:leftChars="300" w:left="31680" w:firstLineChars="200" w:firstLine="31680"/>
        <w:rPr>
          <w:rFonts w:hint="eastAsia"/>
        </w:rPr>
      </w:pPr>
      <w:r>
        <w:rPr>
          <w:rFonts w:hint="eastAsia"/>
        </w:rPr>
        <w:t>“在不违反下述基本原则的情况下，墨西哥联邦议会应制定劳动法律，并应适用于：</w:t>
      </w:r>
    </w:p>
    <w:p w:rsidR="00000000" w:rsidRDefault="00457650" w:rsidP="00457650">
      <w:pPr>
        <w:widowControl/>
        <w:tabs>
          <w:tab w:val="left" w:pos="630"/>
        </w:tabs>
        <w:spacing w:after="240" w:line="360" w:lineRule="exact"/>
        <w:ind w:leftChars="500" w:left="31680" w:hangingChars="200" w:firstLine="31680"/>
        <w:rPr>
          <w:rFonts w:hint="eastAsia"/>
        </w:rPr>
      </w:pPr>
      <w:r>
        <w:rPr>
          <w:rFonts w:hint="eastAsia"/>
        </w:rPr>
        <w:t xml:space="preserve">A. </w:t>
      </w:r>
      <w:r>
        <w:rPr>
          <w:rFonts w:hint="eastAsia"/>
        </w:rPr>
        <w:tab/>
      </w:r>
      <w:r>
        <w:rPr>
          <w:rFonts w:hint="eastAsia"/>
        </w:rPr>
        <w:t>工人、散工、家庭佣人、技工，并且一般适用于所有劳动合同：</w:t>
      </w:r>
    </w:p>
    <w:p w:rsidR="00000000" w:rsidRDefault="00457650" w:rsidP="00457650">
      <w:pPr>
        <w:widowControl/>
        <w:tabs>
          <w:tab w:val="left" w:pos="630"/>
        </w:tabs>
        <w:spacing w:after="240" w:line="360" w:lineRule="exact"/>
        <w:ind w:leftChars="700" w:left="31680" w:hangingChars="200" w:firstLine="31680"/>
        <w:rPr>
          <w:rFonts w:hint="eastAsia"/>
        </w:rPr>
      </w:pPr>
      <w:r>
        <w:rPr>
          <w:rFonts w:hint="eastAsia"/>
        </w:rPr>
        <w:t>七、实行同工同酬，不分性别和种族。</w:t>
      </w:r>
    </w:p>
    <w:p w:rsidR="00000000" w:rsidRDefault="00457650" w:rsidP="00457650">
      <w:pPr>
        <w:widowControl/>
        <w:tabs>
          <w:tab w:val="left" w:pos="630"/>
        </w:tabs>
        <w:spacing w:after="240" w:line="360" w:lineRule="exact"/>
        <w:ind w:leftChars="700" w:left="31680" w:hangingChars="200" w:firstLine="31680"/>
        <w:rPr>
          <w:rFonts w:hint="eastAsia"/>
        </w:rPr>
      </w:pPr>
      <w:r>
        <w:rPr>
          <w:rFonts w:hint="eastAsia"/>
        </w:rPr>
        <w:t>八、</w:t>
      </w:r>
      <w:r>
        <w:rPr>
          <w:rFonts w:hint="eastAsia"/>
        </w:rPr>
        <w:t xml:space="preserve"> </w:t>
      </w:r>
      <w:r>
        <w:rPr>
          <w:rFonts w:hint="eastAsia"/>
        </w:rPr>
        <w:t>最低工资应免于扣押、赔偿或扣除。</w:t>
      </w:r>
    </w:p>
    <w:p w:rsidR="00000000" w:rsidRDefault="00457650" w:rsidP="00457650">
      <w:pPr>
        <w:widowControl/>
        <w:tabs>
          <w:tab w:val="left" w:pos="630"/>
        </w:tabs>
        <w:spacing w:after="240" w:line="360" w:lineRule="exact"/>
        <w:ind w:leftChars="500" w:left="31680" w:hangingChars="200" w:firstLine="31680"/>
        <w:rPr>
          <w:rFonts w:hint="eastAsia"/>
        </w:rPr>
      </w:pPr>
      <w:r>
        <w:rPr>
          <w:rFonts w:hint="eastAsia"/>
        </w:rPr>
        <w:t>B.</w:t>
      </w:r>
      <w:r>
        <w:rPr>
          <w:rFonts w:hint="eastAsia"/>
        </w:rPr>
        <w:tab/>
      </w:r>
      <w:r>
        <w:rPr>
          <w:rFonts w:hint="eastAsia"/>
        </w:rPr>
        <w:t>在联邦管辖范围内，联邦区政府及其工人：</w:t>
      </w:r>
    </w:p>
    <w:p w:rsidR="00000000" w:rsidRDefault="00457650" w:rsidP="00457650">
      <w:pPr>
        <w:widowControl/>
        <w:tabs>
          <w:tab w:val="left" w:pos="630"/>
        </w:tabs>
        <w:spacing w:after="240" w:line="360" w:lineRule="exact"/>
        <w:ind w:leftChars="700" w:left="31680" w:hangingChars="200" w:firstLine="31680"/>
        <w:rPr>
          <w:rFonts w:hint="eastAsia"/>
        </w:rPr>
      </w:pPr>
      <w:r>
        <w:rPr>
          <w:rFonts w:hint="eastAsia"/>
        </w:rPr>
        <w:t>四、工资应在各自预算中确定，如果特</w:t>
      </w:r>
      <w:r>
        <w:rPr>
          <w:rFonts w:hint="eastAsia"/>
        </w:rPr>
        <w:t>定预算已经生效，其数额不得减少。”</w:t>
      </w:r>
    </w:p>
    <w:p w:rsidR="00000000" w:rsidRDefault="00457650">
      <w:pPr>
        <w:widowControl/>
        <w:tabs>
          <w:tab w:val="left" w:pos="630"/>
        </w:tabs>
        <w:spacing w:after="240" w:line="360" w:lineRule="exact"/>
        <w:rPr>
          <w:rFonts w:hint="eastAsia"/>
        </w:rPr>
      </w:pPr>
      <w:r>
        <w:rPr>
          <w:rFonts w:hint="eastAsia"/>
        </w:rPr>
        <w:t>201.</w:t>
      </w:r>
      <w:r>
        <w:rPr>
          <w:rFonts w:hint="eastAsia"/>
        </w:rPr>
        <w:tab/>
      </w:r>
      <w:r>
        <w:rPr>
          <w:rFonts w:hint="eastAsia"/>
        </w:rPr>
        <w:t>在任何情况下，工资都不得低于联邦区和国家确定的工人最低一般工资。</w:t>
      </w:r>
    </w:p>
    <w:p w:rsidR="00000000" w:rsidRDefault="00457650">
      <w:pPr>
        <w:widowControl/>
        <w:tabs>
          <w:tab w:val="left" w:pos="630"/>
        </w:tabs>
        <w:spacing w:after="240" w:line="360" w:lineRule="exact"/>
        <w:rPr>
          <w:rFonts w:hint="eastAsia"/>
        </w:rPr>
      </w:pPr>
      <w:r>
        <w:rPr>
          <w:rFonts w:hint="eastAsia"/>
        </w:rPr>
        <w:t>202.</w:t>
      </w:r>
      <w:r>
        <w:rPr>
          <w:rFonts w:hint="eastAsia"/>
        </w:rPr>
        <w:tab/>
      </w:r>
      <w:r>
        <w:rPr>
          <w:rFonts w:hint="eastAsia"/>
        </w:rPr>
        <w:t>在墨西哥，得到合法授权制定最低工资的机构（国家最低工资委员会）若履行了《联邦劳动法》第</w:t>
      </w:r>
      <w:r>
        <w:rPr>
          <w:rFonts w:hint="eastAsia"/>
        </w:rPr>
        <w:t>570-574</w:t>
      </w:r>
      <w:r>
        <w:rPr>
          <w:rFonts w:hint="eastAsia"/>
        </w:rPr>
        <w:t>条所规定的所有程序和事项，其决定的最低工资具有法律效力。</w:t>
      </w:r>
    </w:p>
    <w:p w:rsidR="00000000" w:rsidRDefault="00457650">
      <w:pPr>
        <w:widowControl/>
        <w:tabs>
          <w:tab w:val="left" w:pos="630"/>
        </w:tabs>
        <w:spacing w:after="240" w:line="360" w:lineRule="exact"/>
        <w:rPr>
          <w:rFonts w:hint="eastAsia"/>
        </w:rPr>
      </w:pPr>
      <w:r>
        <w:rPr>
          <w:rFonts w:hint="eastAsia"/>
        </w:rPr>
        <w:t>203.</w:t>
      </w:r>
      <w:r>
        <w:rPr>
          <w:rFonts w:hint="eastAsia"/>
        </w:rPr>
        <w:tab/>
      </w:r>
      <w:r>
        <w:rPr>
          <w:rFonts w:hint="eastAsia"/>
        </w:rPr>
        <w:t>此外，还规定了在制定和审查工资的程序中应包括生产部门，以确保工资不贬值。</w:t>
      </w:r>
    </w:p>
    <w:p w:rsidR="00000000" w:rsidRDefault="00457650">
      <w:pPr>
        <w:widowControl/>
        <w:tabs>
          <w:tab w:val="left" w:pos="630"/>
        </w:tabs>
        <w:spacing w:after="240" w:line="360" w:lineRule="exact"/>
        <w:rPr>
          <w:rFonts w:hint="eastAsia"/>
        </w:rPr>
      </w:pPr>
      <w:r>
        <w:rPr>
          <w:rFonts w:hint="eastAsia"/>
        </w:rPr>
        <w:t>204.</w:t>
      </w:r>
      <w:r>
        <w:rPr>
          <w:rFonts w:hint="eastAsia"/>
        </w:rPr>
        <w:tab/>
      </w:r>
      <w:r>
        <w:rPr>
          <w:rFonts w:hint="eastAsia"/>
        </w:rPr>
        <w:t>上文所提到的该法第</w:t>
      </w:r>
      <w:r>
        <w:rPr>
          <w:rFonts w:hint="eastAsia"/>
        </w:rPr>
        <w:t>570</w:t>
      </w:r>
      <w:r>
        <w:rPr>
          <w:rFonts w:hint="eastAsia"/>
        </w:rPr>
        <w:t>条和第</w:t>
      </w:r>
      <w:r>
        <w:rPr>
          <w:rFonts w:hint="eastAsia"/>
        </w:rPr>
        <w:t>571</w:t>
      </w:r>
      <w:r>
        <w:rPr>
          <w:rFonts w:hint="eastAsia"/>
        </w:rPr>
        <w:t>条规定，在制定最低工资的过程中，工人和雇主可以向国家最低工资委员会递交任何他们认为必要的经济研究报告；</w:t>
      </w:r>
      <w:r>
        <w:rPr>
          <w:rFonts w:hint="eastAsia"/>
        </w:rPr>
        <w:t>以供该委员会代表理事会在制定最低工资时考虑。</w:t>
      </w:r>
    </w:p>
    <w:p w:rsidR="00000000" w:rsidRDefault="00457650">
      <w:pPr>
        <w:widowControl/>
        <w:tabs>
          <w:tab w:val="left" w:pos="630"/>
        </w:tabs>
        <w:spacing w:after="240" w:line="360" w:lineRule="exact"/>
        <w:rPr>
          <w:rFonts w:hint="eastAsia"/>
        </w:rPr>
      </w:pPr>
      <w:r>
        <w:rPr>
          <w:rFonts w:hint="eastAsia"/>
        </w:rPr>
        <w:t>205.</w:t>
      </w:r>
      <w:r>
        <w:rPr>
          <w:rFonts w:hint="eastAsia"/>
        </w:rPr>
        <w:tab/>
      </w:r>
      <w:r>
        <w:rPr>
          <w:rFonts w:hint="eastAsia"/>
        </w:rPr>
        <w:t>更多的信息见关于第</w:t>
      </w:r>
      <w:r>
        <w:rPr>
          <w:rFonts w:hint="eastAsia"/>
        </w:rPr>
        <w:t>7</w:t>
      </w:r>
      <w:r>
        <w:rPr>
          <w:rFonts w:hint="eastAsia"/>
        </w:rPr>
        <w:t>条（第</w:t>
      </w:r>
      <w:r>
        <w:rPr>
          <w:rFonts w:hint="eastAsia"/>
        </w:rPr>
        <w:t>2</w:t>
      </w:r>
      <w:r>
        <w:rPr>
          <w:rFonts w:hint="eastAsia"/>
        </w:rPr>
        <w:t>段</w:t>
      </w:r>
      <w:r>
        <w:t>a</w:t>
      </w:r>
      <w:r>
        <w:rPr>
          <w:rFonts w:hint="eastAsia"/>
        </w:rPr>
        <w:t>）的答复。</w:t>
      </w:r>
    </w:p>
    <w:p w:rsidR="00000000" w:rsidRDefault="00457650">
      <w:pPr>
        <w:widowControl/>
        <w:tabs>
          <w:tab w:val="left" w:pos="630"/>
        </w:tabs>
        <w:spacing w:after="240" w:line="360" w:lineRule="exact"/>
        <w:rPr>
          <w:rFonts w:hint="eastAsia"/>
        </w:rPr>
      </w:pPr>
      <w:r>
        <w:rPr>
          <w:rFonts w:hint="eastAsia"/>
        </w:rPr>
        <w:t>206.</w:t>
      </w:r>
      <w:r>
        <w:rPr>
          <w:rFonts w:hint="eastAsia"/>
        </w:rPr>
        <w:tab/>
      </w:r>
      <w:r>
        <w:rPr>
          <w:rFonts w:hint="eastAsia"/>
        </w:rPr>
        <w:t>如上所述，制定最低工资是该委员会的职责，它进行适当的研究并提出最低一般工资和最低职业工资数额的建议；该委员会代表理事会决定这一数额的变化。委员会所准备的研究报告不仅总结了国民经济中的主要物价指数及其对最低工资购买力的影响，而且还分析了生产指数、公共财政、货币和金融政策、贸易平衡、石油市场、旅游、外来投资、外债、与其他国家的贸易关系、国家经济形式、生产率、就业、工资、劳动管理谈判和就业和培训支持计划以</w:t>
      </w:r>
      <w:r>
        <w:rPr>
          <w:rFonts w:hint="eastAsia"/>
        </w:rPr>
        <w:t>及其他项目。这些报告为代表理事会制定可行的工资标准和</w:t>
      </w:r>
      <w:r>
        <w:rPr>
          <w:rFonts w:hint="eastAsia"/>
        </w:rPr>
        <w:t>/</w:t>
      </w:r>
      <w:r>
        <w:rPr>
          <w:rFonts w:hint="eastAsia"/>
        </w:rPr>
        <w:t>或审查工资级别奠定了基础。</w:t>
      </w:r>
    </w:p>
    <w:p w:rsidR="00000000" w:rsidRDefault="00457650">
      <w:pPr>
        <w:widowControl/>
        <w:tabs>
          <w:tab w:val="left" w:pos="630"/>
        </w:tabs>
        <w:spacing w:after="240" w:line="360" w:lineRule="exact"/>
        <w:rPr>
          <w:rFonts w:hint="eastAsia"/>
        </w:rPr>
      </w:pPr>
      <w:r>
        <w:rPr>
          <w:rFonts w:hint="eastAsia"/>
        </w:rPr>
        <w:t>207.</w:t>
      </w:r>
      <w:r>
        <w:rPr>
          <w:rFonts w:hint="eastAsia"/>
        </w:rPr>
        <w:tab/>
      </w:r>
      <w:r>
        <w:rPr>
          <w:rFonts w:hint="eastAsia"/>
        </w:rPr>
        <w:t>在这种情况下，代表理事会对上述指标进行了考虑，特别是考虑了国家的经济状况和国家现行的和即将采取的经济政策措施。理事会在制定最低工资时还要特别考虑下一年预期的通货膨胀水平，这首先是为了部分或全面避免工资购买力的下降。</w:t>
      </w:r>
    </w:p>
    <w:p w:rsidR="00000000" w:rsidRDefault="00457650">
      <w:pPr>
        <w:widowControl/>
        <w:tabs>
          <w:tab w:val="left" w:pos="630"/>
        </w:tabs>
        <w:spacing w:after="240" w:line="360" w:lineRule="exact"/>
        <w:rPr>
          <w:rFonts w:hint="eastAsia"/>
        </w:rPr>
      </w:pPr>
      <w:r>
        <w:rPr>
          <w:rFonts w:hint="eastAsia"/>
        </w:rPr>
        <w:t>208.</w:t>
      </w:r>
      <w:r>
        <w:rPr>
          <w:rFonts w:hint="eastAsia"/>
        </w:rPr>
        <w:tab/>
      </w:r>
      <w:r>
        <w:rPr>
          <w:rFonts w:hint="eastAsia"/>
        </w:rPr>
        <w:t>制定和调整工资的程序是根据《宪法》第</w:t>
      </w:r>
      <w:r>
        <w:rPr>
          <w:rFonts w:hint="eastAsia"/>
        </w:rPr>
        <w:t>123</w:t>
      </w:r>
      <w:r>
        <w:rPr>
          <w:rFonts w:hint="eastAsia"/>
        </w:rPr>
        <w:t>条第</w:t>
      </w:r>
      <w:r>
        <w:rPr>
          <w:rFonts w:hint="eastAsia"/>
        </w:rPr>
        <w:t>6</w:t>
      </w:r>
      <w:r>
        <w:rPr>
          <w:rFonts w:hint="eastAsia"/>
        </w:rPr>
        <w:t>款和《联邦劳动法》第</w:t>
      </w:r>
      <w:r>
        <w:rPr>
          <w:rFonts w:hint="eastAsia"/>
        </w:rPr>
        <w:t>570</w:t>
      </w:r>
      <w:r>
        <w:t>-</w:t>
      </w:r>
      <w:r>
        <w:rPr>
          <w:rFonts w:hint="eastAsia"/>
        </w:rPr>
        <w:t>574</w:t>
      </w:r>
      <w:r>
        <w:rPr>
          <w:rFonts w:hint="eastAsia"/>
        </w:rPr>
        <w:t>条确定的，包括以下内容：</w:t>
      </w:r>
    </w:p>
    <w:p w:rsidR="00000000" w:rsidRDefault="00457650">
      <w:pPr>
        <w:widowControl/>
        <w:tabs>
          <w:tab w:val="left" w:pos="630"/>
        </w:tabs>
        <w:spacing w:after="240" w:line="360" w:lineRule="exact"/>
        <w:rPr>
          <w:rFonts w:hint="eastAsia"/>
        </w:rPr>
      </w:pPr>
      <w:r>
        <w:rPr>
          <w:rFonts w:hint="eastAsia"/>
        </w:rPr>
        <w:t>209.</w:t>
      </w:r>
      <w:r>
        <w:rPr>
          <w:rFonts w:hint="eastAsia"/>
        </w:rPr>
        <w:tab/>
      </w:r>
      <w:r>
        <w:rPr>
          <w:rFonts w:hint="eastAsia"/>
        </w:rPr>
        <w:t>在制定最低工资时，工人和雇主可以向国家最低工资委员会提交他们认为代表理事会在</w:t>
      </w:r>
      <w:r>
        <w:rPr>
          <w:rFonts w:hint="eastAsia"/>
        </w:rPr>
        <w:t>其工作过程中有必要考虑的经济研究报告。</w:t>
      </w:r>
    </w:p>
    <w:p w:rsidR="00000000" w:rsidRDefault="00457650">
      <w:pPr>
        <w:widowControl/>
        <w:tabs>
          <w:tab w:val="left" w:pos="630"/>
        </w:tabs>
        <w:spacing w:after="240" w:line="360" w:lineRule="exact"/>
        <w:rPr>
          <w:rFonts w:hint="eastAsia"/>
        </w:rPr>
      </w:pPr>
      <w:r>
        <w:rPr>
          <w:rFonts w:hint="eastAsia"/>
        </w:rPr>
        <w:t>210.</w:t>
      </w:r>
      <w:r>
        <w:rPr>
          <w:rFonts w:hint="eastAsia"/>
        </w:rPr>
        <w:tab/>
      </w:r>
      <w:r>
        <w:rPr>
          <w:rFonts w:hint="eastAsia"/>
        </w:rPr>
        <w:t>委员会技术办公室必须按规定在</w:t>
      </w:r>
      <w:r>
        <w:rPr>
          <w:rFonts w:hint="eastAsia"/>
        </w:rPr>
        <w:t>11</w:t>
      </w:r>
      <w:r>
        <w:rPr>
          <w:rFonts w:hint="eastAsia"/>
        </w:rPr>
        <w:t>月</w:t>
      </w:r>
      <w:r>
        <w:rPr>
          <w:rFonts w:hint="eastAsia"/>
        </w:rPr>
        <w:t>30</w:t>
      </w:r>
      <w:r>
        <w:rPr>
          <w:rFonts w:hint="eastAsia"/>
        </w:rPr>
        <w:t>日之前向代表理事会提交《联邦劳动法》第</w:t>
      </w:r>
      <w:r>
        <w:rPr>
          <w:rFonts w:hint="eastAsia"/>
        </w:rPr>
        <w:t>562</w:t>
      </w:r>
      <w:r>
        <w:rPr>
          <w:rFonts w:hint="eastAsia"/>
        </w:rPr>
        <w:t>条第</w:t>
      </w:r>
      <w:r>
        <w:rPr>
          <w:rFonts w:hint="eastAsia"/>
        </w:rPr>
        <w:t>5</w:t>
      </w:r>
      <w:r>
        <w:rPr>
          <w:rFonts w:hint="eastAsia"/>
        </w:rPr>
        <w:t>款规定的报告。报告内容必须包括物价变动及其对最低工资购买力所产生的影响，还应包括最重要的国民经济数据。必须就工人和雇主提交的报告提供一份相关的调查研究报告。</w:t>
      </w:r>
    </w:p>
    <w:p w:rsidR="00000000" w:rsidRDefault="00457650">
      <w:pPr>
        <w:widowControl/>
        <w:tabs>
          <w:tab w:val="left" w:pos="630"/>
        </w:tabs>
        <w:spacing w:after="240" w:line="360" w:lineRule="exact"/>
        <w:rPr>
          <w:rFonts w:hint="eastAsia"/>
        </w:rPr>
      </w:pPr>
      <w:r>
        <w:rPr>
          <w:rFonts w:hint="eastAsia"/>
        </w:rPr>
        <w:t>211.</w:t>
      </w:r>
      <w:r>
        <w:rPr>
          <w:rFonts w:hint="eastAsia"/>
        </w:rPr>
        <w:tab/>
        <w:t>12</w:t>
      </w:r>
      <w:r>
        <w:rPr>
          <w:rFonts w:hint="eastAsia"/>
        </w:rPr>
        <w:t>月，最迟于该月的最后一个工作日，在分析完技术办公室的报告和工人和雇主提交的研究报告之后，代表理事会就应公布有关最低一般工资和最低职业工资的决定，并公布不同地理区域的市政府为执行这些工资所应进行的调整。</w:t>
      </w:r>
    </w:p>
    <w:p w:rsidR="00000000" w:rsidRDefault="00457650">
      <w:pPr>
        <w:widowControl/>
        <w:tabs>
          <w:tab w:val="left" w:pos="630"/>
        </w:tabs>
        <w:spacing w:after="240" w:line="360" w:lineRule="exact"/>
        <w:rPr>
          <w:rFonts w:hint="eastAsia"/>
        </w:rPr>
      </w:pPr>
      <w:r>
        <w:rPr>
          <w:rFonts w:hint="eastAsia"/>
        </w:rPr>
        <w:t>212.</w:t>
      </w:r>
      <w:r>
        <w:rPr>
          <w:rFonts w:hint="eastAsia"/>
        </w:rPr>
        <w:tab/>
      </w:r>
      <w:r>
        <w:rPr>
          <w:rFonts w:hint="eastAsia"/>
        </w:rPr>
        <w:t>在</w:t>
      </w:r>
      <w:r>
        <w:rPr>
          <w:rFonts w:hint="eastAsia"/>
        </w:rPr>
        <w:t>12</w:t>
      </w:r>
      <w:r>
        <w:rPr>
          <w:rFonts w:hint="eastAsia"/>
        </w:rPr>
        <w:t>月</w:t>
      </w:r>
      <w:r>
        <w:rPr>
          <w:rFonts w:hint="eastAsia"/>
        </w:rPr>
        <w:t>31</w:t>
      </w:r>
      <w:r>
        <w:rPr>
          <w:rFonts w:hint="eastAsia"/>
        </w:rPr>
        <w:t>日之前国家委员会主席发布命令，要求《联邦政府公报》上公布有关最低工资的决定。</w:t>
      </w:r>
    </w:p>
    <w:p w:rsidR="00000000" w:rsidRDefault="00457650">
      <w:pPr>
        <w:widowControl/>
        <w:tabs>
          <w:tab w:val="left" w:pos="630"/>
        </w:tabs>
        <w:spacing w:after="240" w:line="360" w:lineRule="exact"/>
        <w:rPr>
          <w:rFonts w:hint="eastAsia"/>
        </w:rPr>
      </w:pPr>
      <w:r>
        <w:rPr>
          <w:rFonts w:hint="eastAsia"/>
        </w:rPr>
        <w:t>213.</w:t>
      </w:r>
      <w:r>
        <w:rPr>
          <w:rFonts w:hint="eastAsia"/>
        </w:rPr>
        <w:tab/>
      </w:r>
      <w:r>
        <w:rPr>
          <w:rFonts w:hint="eastAsia"/>
        </w:rPr>
        <w:t>此外，《联邦劳动法》规定，根据合理的经济条件，可以在最低工资生效期间的任何时候对其进行审查。</w:t>
      </w:r>
    </w:p>
    <w:p w:rsidR="00000000" w:rsidRDefault="00457650">
      <w:pPr>
        <w:widowControl/>
        <w:tabs>
          <w:tab w:val="left" w:pos="630"/>
        </w:tabs>
        <w:spacing w:after="240" w:line="360" w:lineRule="exact"/>
        <w:rPr>
          <w:rFonts w:hint="eastAsia"/>
        </w:rPr>
      </w:pPr>
      <w:r>
        <w:rPr>
          <w:rFonts w:hint="eastAsia"/>
        </w:rPr>
        <w:t>214.</w:t>
      </w:r>
      <w:r>
        <w:rPr>
          <w:rFonts w:hint="eastAsia"/>
        </w:rPr>
        <w:tab/>
      </w:r>
      <w:r>
        <w:rPr>
          <w:rFonts w:hint="eastAsia"/>
        </w:rPr>
        <w:t>更多信息见关于第</w:t>
      </w:r>
      <w:r>
        <w:rPr>
          <w:rFonts w:hint="eastAsia"/>
        </w:rPr>
        <w:t>7</w:t>
      </w:r>
      <w:r>
        <w:rPr>
          <w:rFonts w:hint="eastAsia"/>
        </w:rPr>
        <w:t>条第</w:t>
      </w:r>
      <w:r>
        <w:rPr>
          <w:rFonts w:hint="eastAsia"/>
        </w:rPr>
        <w:t>2</w:t>
      </w:r>
      <w:r>
        <w:rPr>
          <w:rFonts w:hint="eastAsia"/>
        </w:rPr>
        <w:t>段</w:t>
      </w:r>
      <w:r>
        <w:rPr>
          <w:rFonts w:hint="eastAsia"/>
        </w:rPr>
        <w:t>a</w:t>
      </w:r>
      <w:r>
        <w:rPr>
          <w:rFonts w:hint="eastAsia"/>
        </w:rPr>
        <w:t>的答复。</w:t>
      </w:r>
    </w:p>
    <w:p w:rsidR="00000000" w:rsidRDefault="00457650">
      <w:pPr>
        <w:widowControl/>
        <w:tabs>
          <w:tab w:val="left" w:pos="630"/>
        </w:tabs>
        <w:spacing w:after="240" w:line="360" w:lineRule="exact"/>
        <w:rPr>
          <w:rFonts w:hint="eastAsia"/>
        </w:rPr>
      </w:pPr>
      <w:r>
        <w:rPr>
          <w:rFonts w:hint="eastAsia"/>
        </w:rPr>
        <w:t>215.</w:t>
      </w:r>
      <w:r>
        <w:rPr>
          <w:rFonts w:hint="eastAsia"/>
        </w:rPr>
        <w:tab/>
      </w:r>
      <w:r>
        <w:rPr>
          <w:rFonts w:hint="eastAsia"/>
        </w:rPr>
        <w:t>对是否遵守劳动标准的监管，特别是那些关于最低工资标准的监管，是劳动管理机构的职责。管理机构通过所建立的管理机制，或在一方的请求下，同有关的司法机构联系：劳工和社会福利部；联邦各州的劳动管理机构；联邦调解和仲裁委员会；地方调解和仲裁委员会；联邦调解和仲</w:t>
      </w:r>
      <w:r>
        <w:rPr>
          <w:rFonts w:hint="eastAsia"/>
        </w:rPr>
        <w:t>裁庭；地方调解和仲裁庭。</w:t>
      </w:r>
    </w:p>
    <w:p w:rsidR="00000000" w:rsidRDefault="00457650">
      <w:pPr>
        <w:widowControl/>
        <w:tabs>
          <w:tab w:val="left" w:pos="630"/>
        </w:tabs>
        <w:spacing w:after="240" w:line="360" w:lineRule="exact"/>
        <w:rPr>
          <w:rFonts w:hint="eastAsia"/>
        </w:rPr>
      </w:pPr>
      <w:r>
        <w:rPr>
          <w:rFonts w:hint="eastAsia"/>
        </w:rPr>
        <w:t>216.</w:t>
      </w:r>
      <w:r>
        <w:rPr>
          <w:rFonts w:hint="eastAsia"/>
        </w:rPr>
        <w:tab/>
      </w:r>
      <w:r>
        <w:rPr>
          <w:rFonts w:hint="eastAsia"/>
        </w:rPr>
        <w:t>实际上，最近几年通货贬值率一直在下降，</w:t>
      </w:r>
      <w:r>
        <w:rPr>
          <w:rFonts w:hint="eastAsia"/>
        </w:rPr>
        <w:t xml:space="preserve"> 1998</w:t>
      </w:r>
      <w:r>
        <w:rPr>
          <w:rFonts w:hint="eastAsia"/>
        </w:rPr>
        <w:t>年、</w:t>
      </w:r>
      <w:r>
        <w:rPr>
          <w:rFonts w:hint="eastAsia"/>
        </w:rPr>
        <w:t>2000</w:t>
      </w:r>
      <w:r>
        <w:rPr>
          <w:rFonts w:hint="eastAsia"/>
        </w:rPr>
        <w:t>年和</w:t>
      </w:r>
      <w:r>
        <w:rPr>
          <w:rFonts w:hint="eastAsia"/>
        </w:rPr>
        <w:t>2001</w:t>
      </w:r>
      <w:r>
        <w:rPr>
          <w:rFonts w:hint="eastAsia"/>
        </w:rPr>
        <w:t>年，最低工资分别小幅上涨了</w:t>
      </w:r>
      <w:r>
        <w:rPr>
          <w:rFonts w:hint="eastAsia"/>
        </w:rPr>
        <w:t>0.7%</w:t>
      </w:r>
      <w:r>
        <w:rPr>
          <w:rFonts w:hint="eastAsia"/>
        </w:rPr>
        <w:t>、</w:t>
      </w:r>
      <w:r>
        <w:rPr>
          <w:rFonts w:hint="eastAsia"/>
        </w:rPr>
        <w:t>0.8%</w:t>
      </w:r>
      <w:r>
        <w:rPr>
          <w:rFonts w:hint="eastAsia"/>
        </w:rPr>
        <w:t>和</w:t>
      </w:r>
      <w:r>
        <w:rPr>
          <w:rFonts w:hint="eastAsia"/>
        </w:rPr>
        <w:t>0.5%</w:t>
      </w:r>
      <w:r>
        <w:rPr>
          <w:rFonts w:hint="eastAsia"/>
        </w:rPr>
        <w:t>，即便如此，最低一般工资自从</w:t>
      </w:r>
      <w:r>
        <w:rPr>
          <w:rFonts w:hint="eastAsia"/>
        </w:rPr>
        <w:t>1981</w:t>
      </w:r>
      <w:r>
        <w:rPr>
          <w:rFonts w:hint="eastAsia"/>
        </w:rPr>
        <w:t>年以后也没有明显的复苏迹象。在</w:t>
      </w:r>
      <w:r>
        <w:rPr>
          <w:rFonts w:hint="eastAsia"/>
        </w:rPr>
        <w:t>2002</w:t>
      </w:r>
      <w:r>
        <w:rPr>
          <w:rFonts w:hint="eastAsia"/>
        </w:rPr>
        <w:t>年，最低工资平均上涨了</w:t>
      </w:r>
      <w:r>
        <w:rPr>
          <w:rFonts w:hint="eastAsia"/>
        </w:rPr>
        <w:t>0.7%</w:t>
      </w:r>
      <w:r>
        <w:rPr>
          <w:rFonts w:hint="eastAsia"/>
        </w:rPr>
        <w:t>。在</w:t>
      </w:r>
      <w:r>
        <w:rPr>
          <w:rFonts w:hint="eastAsia"/>
        </w:rPr>
        <w:t>2003</w:t>
      </w:r>
      <w:r>
        <w:rPr>
          <w:rFonts w:hint="eastAsia"/>
        </w:rPr>
        <w:t>年上涨了</w:t>
      </w:r>
      <w:r>
        <w:rPr>
          <w:rFonts w:hint="eastAsia"/>
        </w:rPr>
        <w:t>0.26%</w:t>
      </w:r>
      <w:r>
        <w:rPr>
          <w:rFonts w:hint="eastAsia"/>
        </w:rPr>
        <w:t>。</w:t>
      </w:r>
      <w:r>
        <w:rPr>
          <w:rFonts w:hint="eastAsia"/>
        </w:rPr>
        <w:t>2004</w:t>
      </w:r>
      <w:r>
        <w:rPr>
          <w:rFonts w:hint="eastAsia"/>
        </w:rPr>
        <w:t>年前</w:t>
      </w:r>
      <w:r>
        <w:rPr>
          <w:rFonts w:hint="eastAsia"/>
        </w:rPr>
        <w:t>5</w:t>
      </w:r>
      <w:r>
        <w:rPr>
          <w:rFonts w:hint="eastAsia"/>
        </w:rPr>
        <w:t>个月，最低一般工资实际平均增长了</w:t>
      </w:r>
      <w:r>
        <w:rPr>
          <w:rFonts w:hint="eastAsia"/>
        </w:rPr>
        <w:t>2.7%</w:t>
      </w:r>
      <w:r>
        <w:rPr>
          <w:rFonts w:hint="eastAsia"/>
        </w:rPr>
        <w:t>。因此，在本届政府执政的</w:t>
      </w:r>
      <w:r>
        <w:rPr>
          <w:rFonts w:hint="eastAsia"/>
        </w:rPr>
        <w:t>42</w:t>
      </w:r>
      <w:r>
        <w:rPr>
          <w:rFonts w:hint="eastAsia"/>
        </w:rPr>
        <w:t>个月（截止到</w:t>
      </w:r>
      <w:r>
        <w:rPr>
          <w:rFonts w:hint="eastAsia"/>
        </w:rPr>
        <w:t>2004</w:t>
      </w:r>
      <w:r>
        <w:rPr>
          <w:rFonts w:hint="eastAsia"/>
        </w:rPr>
        <w:t>年中期）中，最低工资按照其购买力恢复支持政策实际上涨了</w:t>
      </w:r>
      <w:r>
        <w:rPr>
          <w:rFonts w:hint="eastAsia"/>
        </w:rPr>
        <w:t>4.7%</w:t>
      </w:r>
      <w:r>
        <w:rPr>
          <w:rFonts w:hint="eastAsia"/>
        </w:rPr>
        <w:t>。</w:t>
      </w:r>
    </w:p>
    <w:p w:rsidR="00000000" w:rsidRDefault="00457650">
      <w:pPr>
        <w:widowControl/>
        <w:tabs>
          <w:tab w:val="left" w:pos="630"/>
        </w:tabs>
        <w:spacing w:after="240" w:line="360" w:lineRule="exact"/>
        <w:jc w:val="center"/>
        <w:rPr>
          <w:rFonts w:eastAsia="SimHei" w:hint="eastAsia"/>
        </w:rPr>
      </w:pPr>
      <w:r>
        <w:rPr>
          <w:rFonts w:eastAsia="SimHei" w:hint="eastAsia"/>
        </w:rPr>
        <w:t>最低工资的变化</w:t>
      </w:r>
    </w:p>
    <w:tbl>
      <w:tblPr>
        <w:tblW w:w="0" w:type="auto"/>
        <w:tblInd w:w="108" w:type="dxa"/>
        <w:tblBorders>
          <w:top w:val="single" w:sz="4" w:space="0" w:color="auto"/>
          <w:bottom w:val="single" w:sz="4" w:space="0" w:color="auto"/>
        </w:tblBorders>
        <w:tblLook w:val="0000" w:firstRow="0" w:lastRow="0" w:firstColumn="0" w:lastColumn="0" w:noHBand="0" w:noVBand="0"/>
      </w:tblPr>
      <w:tblGrid>
        <w:gridCol w:w="2408"/>
        <w:gridCol w:w="2516"/>
        <w:gridCol w:w="2517"/>
        <w:gridCol w:w="2399"/>
      </w:tblGrid>
      <w:tr w:rsidR="00000000">
        <w:tblPrEx>
          <w:tblCellMar>
            <w:top w:w="0" w:type="dxa"/>
            <w:bottom w:w="0" w:type="dxa"/>
          </w:tblCellMar>
        </w:tblPrEx>
        <w:trPr>
          <w:tblHeader/>
        </w:trPr>
        <w:tc>
          <w:tcPr>
            <w:tcW w:w="2408" w:type="dxa"/>
            <w:tcBorders>
              <w:top w:val="single" w:sz="4" w:space="0" w:color="auto"/>
              <w:bottom w:val="single" w:sz="4" w:space="0" w:color="auto"/>
            </w:tcBorders>
            <w:vAlign w:val="center"/>
          </w:tcPr>
          <w:p w:rsidR="00000000" w:rsidRDefault="00457650">
            <w:pPr>
              <w:widowControl/>
              <w:spacing w:after="120" w:line="340" w:lineRule="exact"/>
              <w:jc w:val="center"/>
              <w:rPr>
                <w:rFonts w:ascii="KaiTi_GB2312" w:eastAsia="KaiTi_GB2312" w:hint="eastAsia"/>
                <w:sz w:val="18"/>
              </w:rPr>
            </w:pPr>
            <w:r>
              <w:rPr>
                <w:rFonts w:ascii="KaiTi_GB2312" w:eastAsia="KaiTi_GB2312" w:hint="eastAsia"/>
                <w:sz w:val="18"/>
              </w:rPr>
              <w:t>时期</w:t>
            </w:r>
          </w:p>
        </w:tc>
        <w:tc>
          <w:tcPr>
            <w:tcW w:w="2516" w:type="dxa"/>
            <w:tcBorders>
              <w:top w:val="single" w:sz="4" w:space="0" w:color="auto"/>
              <w:bottom w:val="single" w:sz="4" w:space="0" w:color="auto"/>
            </w:tcBorders>
            <w:vAlign w:val="center"/>
          </w:tcPr>
          <w:p w:rsidR="00000000" w:rsidRDefault="00457650">
            <w:pPr>
              <w:widowControl/>
              <w:spacing w:after="120" w:line="340" w:lineRule="exact"/>
              <w:jc w:val="center"/>
              <w:rPr>
                <w:rFonts w:ascii="KaiTi_GB2312" w:eastAsia="KaiTi_GB2312" w:hint="eastAsia"/>
                <w:sz w:val="18"/>
              </w:rPr>
            </w:pPr>
            <w:r>
              <w:rPr>
                <w:rFonts w:ascii="KaiTi_GB2312" w:eastAsia="KaiTi_GB2312" w:hint="eastAsia"/>
                <w:sz w:val="18"/>
              </w:rPr>
              <w:t>全国平均最低工资</w:t>
            </w:r>
            <w:r>
              <w:rPr>
                <w:rFonts w:ascii="KaiTi_GB2312" w:eastAsia="KaiTi_GB2312"/>
                <w:sz w:val="18"/>
              </w:rPr>
              <w:br/>
            </w:r>
            <w:r>
              <w:rPr>
                <w:rFonts w:ascii="KaiTi_GB2312" w:eastAsia="KaiTi_GB2312" w:hint="eastAsia"/>
                <w:sz w:val="18"/>
              </w:rPr>
              <w:t>（按每</w:t>
            </w:r>
            <w:r>
              <w:rPr>
                <w:rFonts w:ascii="KaiTi_GB2312" w:eastAsia="KaiTi_GB2312" w:hint="eastAsia"/>
                <w:sz w:val="18"/>
              </w:rPr>
              <w:t>日比索）¹</w:t>
            </w:r>
          </w:p>
        </w:tc>
        <w:tc>
          <w:tcPr>
            <w:tcW w:w="2517" w:type="dxa"/>
            <w:tcBorders>
              <w:top w:val="single" w:sz="4" w:space="0" w:color="auto"/>
              <w:bottom w:val="single" w:sz="4" w:space="0" w:color="auto"/>
            </w:tcBorders>
            <w:vAlign w:val="center"/>
          </w:tcPr>
          <w:p w:rsidR="00000000" w:rsidRDefault="00457650">
            <w:pPr>
              <w:widowControl/>
              <w:spacing w:after="120" w:line="340" w:lineRule="exact"/>
              <w:jc w:val="center"/>
              <w:rPr>
                <w:rFonts w:ascii="KaiTi_GB2312" w:eastAsia="KaiTi_GB2312" w:hint="eastAsia"/>
                <w:sz w:val="18"/>
              </w:rPr>
            </w:pPr>
            <w:r>
              <w:rPr>
                <w:rFonts w:ascii="KaiTi_GB2312" w:eastAsia="KaiTi_GB2312" w:hint="eastAsia"/>
                <w:sz w:val="18"/>
              </w:rPr>
              <w:t>全国消费物价指数</w:t>
            </w:r>
            <w:r>
              <w:rPr>
                <w:rFonts w:ascii="KaiTi_GB2312" w:eastAsia="KaiTi_GB2312"/>
                <w:sz w:val="18"/>
              </w:rPr>
              <w:br/>
            </w:r>
            <w:r>
              <w:rPr>
                <w:rFonts w:ascii="KaiTi_GB2312" w:eastAsia="KaiTi_GB2312" w:hint="eastAsia"/>
                <w:sz w:val="18"/>
              </w:rPr>
              <w:t>（</w:t>
            </w:r>
            <w:r>
              <w:rPr>
                <w:rFonts w:ascii="KaiTi_GB2312" w:eastAsia="KaiTi_GB2312" w:hint="eastAsia"/>
                <w:sz w:val="18"/>
              </w:rPr>
              <w:t xml:space="preserve">1 </w:t>
            </w:r>
            <w:r>
              <w:rPr>
                <w:rFonts w:ascii="KaiTi_GB2312" w:eastAsia="KaiTi_GB2312" w:hint="eastAsia"/>
                <w:sz w:val="18"/>
              </w:rPr>
              <w:t>级）²</w:t>
            </w:r>
          </w:p>
        </w:tc>
        <w:tc>
          <w:tcPr>
            <w:tcW w:w="2399" w:type="dxa"/>
            <w:tcBorders>
              <w:top w:val="single" w:sz="4" w:space="0" w:color="auto"/>
              <w:bottom w:val="single" w:sz="4" w:space="0" w:color="auto"/>
            </w:tcBorders>
            <w:vAlign w:val="center"/>
          </w:tcPr>
          <w:p w:rsidR="00000000" w:rsidRDefault="00457650">
            <w:pPr>
              <w:widowControl/>
              <w:spacing w:after="120" w:line="340" w:lineRule="exact"/>
              <w:jc w:val="center"/>
              <w:rPr>
                <w:rFonts w:ascii="KaiTi_GB2312" w:eastAsia="KaiTi_GB2312" w:hint="eastAsia"/>
                <w:sz w:val="18"/>
              </w:rPr>
            </w:pPr>
            <w:r>
              <w:rPr>
                <w:rFonts w:ascii="KaiTi_GB2312" w:eastAsia="KaiTi_GB2312" w:hint="eastAsia"/>
                <w:sz w:val="18"/>
              </w:rPr>
              <w:t>实际最低工资</w:t>
            </w:r>
            <w:r>
              <w:rPr>
                <w:rFonts w:ascii="KaiTi_GB2312" w:eastAsia="KaiTi_GB2312"/>
                <w:sz w:val="18"/>
              </w:rPr>
              <w:br/>
            </w:r>
            <w:r>
              <w:rPr>
                <w:rFonts w:ascii="KaiTi_GB2312" w:eastAsia="KaiTi_GB2312" w:hint="eastAsia"/>
                <w:sz w:val="18"/>
              </w:rPr>
              <w:t>（按</w:t>
            </w:r>
            <w:r>
              <w:rPr>
                <w:rFonts w:ascii="KaiTi_GB2312" w:eastAsia="KaiTi_GB2312" w:hint="eastAsia"/>
                <w:sz w:val="18"/>
              </w:rPr>
              <w:t>1994</w:t>
            </w:r>
            <w:r>
              <w:rPr>
                <w:rFonts w:ascii="KaiTi_GB2312" w:eastAsia="KaiTi_GB2312" w:hint="eastAsia"/>
                <w:sz w:val="18"/>
              </w:rPr>
              <w:t>年比索）</w:t>
            </w:r>
          </w:p>
        </w:tc>
      </w:tr>
      <w:tr w:rsidR="00000000">
        <w:tblPrEx>
          <w:tblCellMar>
            <w:top w:w="0" w:type="dxa"/>
            <w:bottom w:w="0" w:type="dxa"/>
          </w:tblCellMar>
        </w:tblPrEx>
        <w:tc>
          <w:tcPr>
            <w:tcW w:w="2408" w:type="dxa"/>
            <w:tcBorders>
              <w:top w:val="single" w:sz="4" w:space="0" w:color="auto"/>
            </w:tcBorders>
          </w:tcPr>
          <w:p w:rsidR="00000000" w:rsidRDefault="00457650">
            <w:pPr>
              <w:pStyle w:val="Header"/>
              <w:widowControl/>
              <w:pBdr>
                <w:bottom w:val="none" w:sz="0" w:space="0" w:color="auto"/>
              </w:pBdr>
              <w:tabs>
                <w:tab w:val="clear" w:pos="4320"/>
                <w:tab w:val="clear" w:pos="8640"/>
              </w:tabs>
              <w:spacing w:after="120" w:line="340" w:lineRule="exact"/>
              <w:rPr>
                <w:rFonts w:hint="eastAsia"/>
              </w:rPr>
            </w:pPr>
            <w:r>
              <w:rPr>
                <w:rFonts w:hint="eastAsia"/>
              </w:rPr>
              <w:t>1994</w:t>
            </w:r>
          </w:p>
        </w:tc>
        <w:tc>
          <w:tcPr>
            <w:tcW w:w="2516" w:type="dxa"/>
            <w:tcBorders>
              <w:top w:val="single" w:sz="4" w:space="0" w:color="auto"/>
            </w:tcBorders>
          </w:tcPr>
          <w:p w:rsidR="00000000" w:rsidRDefault="00457650">
            <w:pPr>
              <w:widowControl/>
              <w:spacing w:after="120" w:line="340" w:lineRule="exact"/>
              <w:jc w:val="center"/>
              <w:rPr>
                <w:rFonts w:hint="eastAsia"/>
                <w:sz w:val="18"/>
              </w:rPr>
            </w:pPr>
            <w:r>
              <w:rPr>
                <w:rFonts w:hint="eastAsia"/>
                <w:sz w:val="18"/>
              </w:rPr>
              <w:t>13.970</w:t>
            </w:r>
          </w:p>
        </w:tc>
        <w:tc>
          <w:tcPr>
            <w:tcW w:w="2517" w:type="dxa"/>
            <w:tcBorders>
              <w:top w:val="single" w:sz="4" w:space="0" w:color="auto"/>
            </w:tcBorders>
          </w:tcPr>
          <w:p w:rsidR="00000000" w:rsidRDefault="00457650">
            <w:pPr>
              <w:widowControl/>
              <w:spacing w:after="120" w:line="340" w:lineRule="exact"/>
              <w:jc w:val="center"/>
              <w:rPr>
                <w:rFonts w:hint="eastAsia"/>
                <w:sz w:val="18"/>
              </w:rPr>
            </w:pPr>
            <w:r>
              <w:rPr>
                <w:rFonts w:hint="eastAsia"/>
                <w:sz w:val="18"/>
              </w:rPr>
              <w:t>100.0</w:t>
            </w:r>
          </w:p>
        </w:tc>
        <w:tc>
          <w:tcPr>
            <w:tcW w:w="2399" w:type="dxa"/>
            <w:tcBorders>
              <w:top w:val="single" w:sz="4" w:space="0" w:color="auto"/>
            </w:tcBorders>
          </w:tcPr>
          <w:p w:rsidR="00000000" w:rsidRDefault="00457650">
            <w:pPr>
              <w:widowControl/>
              <w:spacing w:after="120" w:line="340" w:lineRule="exact"/>
              <w:jc w:val="center"/>
              <w:rPr>
                <w:rFonts w:hint="eastAsia"/>
                <w:sz w:val="18"/>
              </w:rPr>
            </w:pPr>
            <w:r>
              <w:rPr>
                <w:rFonts w:hint="eastAsia"/>
                <w:sz w:val="18"/>
              </w:rPr>
              <w:t>13.97</w:t>
            </w:r>
          </w:p>
        </w:tc>
      </w:tr>
      <w:tr w:rsidR="00000000">
        <w:tblPrEx>
          <w:tblCellMar>
            <w:top w:w="0" w:type="dxa"/>
            <w:bottom w:w="0" w:type="dxa"/>
          </w:tblCellMar>
        </w:tblPrEx>
        <w:tc>
          <w:tcPr>
            <w:tcW w:w="2408" w:type="dxa"/>
          </w:tcPr>
          <w:p w:rsidR="00000000" w:rsidRDefault="00457650">
            <w:pPr>
              <w:pStyle w:val="Header"/>
              <w:widowControl/>
              <w:pBdr>
                <w:bottom w:val="none" w:sz="0" w:space="0" w:color="auto"/>
              </w:pBdr>
              <w:tabs>
                <w:tab w:val="clear" w:pos="4320"/>
                <w:tab w:val="clear" w:pos="8640"/>
              </w:tabs>
              <w:spacing w:after="120" w:line="340" w:lineRule="exact"/>
              <w:rPr>
                <w:rFonts w:hint="eastAsia"/>
              </w:rPr>
            </w:pPr>
            <w:r>
              <w:rPr>
                <w:rFonts w:hint="eastAsia"/>
              </w:rPr>
              <w:t>1995</w:t>
            </w:r>
          </w:p>
        </w:tc>
        <w:tc>
          <w:tcPr>
            <w:tcW w:w="2516" w:type="dxa"/>
          </w:tcPr>
          <w:p w:rsidR="00000000" w:rsidRDefault="00457650">
            <w:pPr>
              <w:widowControl/>
              <w:spacing w:after="120" w:line="340" w:lineRule="exact"/>
              <w:jc w:val="center"/>
              <w:rPr>
                <w:rFonts w:hint="eastAsia"/>
                <w:sz w:val="18"/>
              </w:rPr>
            </w:pPr>
            <w:r>
              <w:rPr>
                <w:rFonts w:hint="eastAsia"/>
                <w:sz w:val="18"/>
              </w:rPr>
              <w:t>16.428</w:t>
            </w:r>
          </w:p>
        </w:tc>
        <w:tc>
          <w:tcPr>
            <w:tcW w:w="2517" w:type="dxa"/>
          </w:tcPr>
          <w:p w:rsidR="00000000" w:rsidRDefault="00457650">
            <w:pPr>
              <w:widowControl/>
              <w:spacing w:after="120" w:line="340" w:lineRule="exact"/>
              <w:jc w:val="center"/>
              <w:rPr>
                <w:rFonts w:hint="eastAsia"/>
                <w:sz w:val="18"/>
              </w:rPr>
            </w:pPr>
            <w:r>
              <w:rPr>
                <w:rFonts w:hint="eastAsia"/>
                <w:sz w:val="18"/>
              </w:rPr>
              <w:t>137.1</w:t>
            </w:r>
          </w:p>
        </w:tc>
        <w:tc>
          <w:tcPr>
            <w:tcW w:w="2399" w:type="dxa"/>
          </w:tcPr>
          <w:p w:rsidR="00000000" w:rsidRDefault="00457650">
            <w:pPr>
              <w:widowControl/>
              <w:spacing w:after="120" w:line="340" w:lineRule="exact"/>
              <w:jc w:val="center"/>
              <w:rPr>
                <w:rFonts w:hint="eastAsia"/>
                <w:sz w:val="18"/>
              </w:rPr>
            </w:pPr>
            <w:r>
              <w:rPr>
                <w:rFonts w:hint="eastAsia"/>
                <w:sz w:val="18"/>
              </w:rPr>
              <w:t>12.08</w:t>
            </w:r>
          </w:p>
        </w:tc>
      </w:tr>
      <w:tr w:rsidR="00000000">
        <w:tblPrEx>
          <w:tblCellMar>
            <w:top w:w="0" w:type="dxa"/>
            <w:bottom w:w="0" w:type="dxa"/>
          </w:tblCellMar>
        </w:tblPrEx>
        <w:tc>
          <w:tcPr>
            <w:tcW w:w="2408" w:type="dxa"/>
          </w:tcPr>
          <w:p w:rsidR="00000000" w:rsidRDefault="00457650">
            <w:pPr>
              <w:pStyle w:val="Header"/>
              <w:widowControl/>
              <w:pBdr>
                <w:bottom w:val="none" w:sz="0" w:space="0" w:color="auto"/>
              </w:pBdr>
              <w:tabs>
                <w:tab w:val="clear" w:pos="4320"/>
                <w:tab w:val="clear" w:pos="8640"/>
              </w:tabs>
              <w:spacing w:after="120" w:line="340" w:lineRule="exact"/>
              <w:rPr>
                <w:rFonts w:hint="eastAsia"/>
              </w:rPr>
            </w:pPr>
            <w:r>
              <w:rPr>
                <w:rFonts w:hint="eastAsia"/>
              </w:rPr>
              <w:t>1996</w:t>
            </w:r>
          </w:p>
        </w:tc>
        <w:tc>
          <w:tcPr>
            <w:tcW w:w="2516" w:type="dxa"/>
          </w:tcPr>
          <w:p w:rsidR="00000000" w:rsidRDefault="00457650">
            <w:pPr>
              <w:widowControl/>
              <w:spacing w:after="120" w:line="340" w:lineRule="exact"/>
              <w:jc w:val="center"/>
              <w:rPr>
                <w:rFonts w:hint="eastAsia"/>
                <w:sz w:val="18"/>
              </w:rPr>
            </w:pPr>
            <w:r>
              <w:rPr>
                <w:rFonts w:hint="eastAsia"/>
                <w:sz w:val="18"/>
              </w:rPr>
              <w:t>20.394</w:t>
            </w:r>
          </w:p>
        </w:tc>
        <w:tc>
          <w:tcPr>
            <w:tcW w:w="2517" w:type="dxa"/>
          </w:tcPr>
          <w:p w:rsidR="00000000" w:rsidRDefault="00457650">
            <w:pPr>
              <w:widowControl/>
              <w:spacing w:after="120" w:line="340" w:lineRule="exact"/>
              <w:jc w:val="center"/>
              <w:rPr>
                <w:rFonts w:hint="eastAsia"/>
                <w:sz w:val="18"/>
              </w:rPr>
            </w:pPr>
            <w:r>
              <w:rPr>
                <w:rFonts w:hint="eastAsia"/>
                <w:sz w:val="18"/>
              </w:rPr>
              <w:t>187.2</w:t>
            </w:r>
          </w:p>
        </w:tc>
        <w:tc>
          <w:tcPr>
            <w:tcW w:w="2399" w:type="dxa"/>
          </w:tcPr>
          <w:p w:rsidR="00000000" w:rsidRDefault="00457650">
            <w:pPr>
              <w:widowControl/>
              <w:spacing w:after="120" w:line="340" w:lineRule="exact"/>
              <w:jc w:val="center"/>
              <w:rPr>
                <w:rFonts w:hint="eastAsia"/>
                <w:sz w:val="18"/>
              </w:rPr>
            </w:pPr>
            <w:r>
              <w:rPr>
                <w:rFonts w:hint="eastAsia"/>
                <w:sz w:val="18"/>
              </w:rPr>
              <w:t>10.89</w:t>
            </w:r>
          </w:p>
        </w:tc>
      </w:tr>
      <w:tr w:rsidR="00000000">
        <w:tblPrEx>
          <w:tblCellMar>
            <w:top w:w="0" w:type="dxa"/>
            <w:bottom w:w="0" w:type="dxa"/>
          </w:tblCellMar>
        </w:tblPrEx>
        <w:tc>
          <w:tcPr>
            <w:tcW w:w="2408" w:type="dxa"/>
          </w:tcPr>
          <w:p w:rsidR="00000000" w:rsidRDefault="00457650">
            <w:pPr>
              <w:widowControl/>
              <w:spacing w:after="120" w:line="340" w:lineRule="exact"/>
              <w:jc w:val="center"/>
              <w:rPr>
                <w:rFonts w:hint="eastAsia"/>
                <w:sz w:val="18"/>
              </w:rPr>
            </w:pPr>
            <w:r>
              <w:rPr>
                <w:rFonts w:hint="eastAsia"/>
                <w:sz w:val="18"/>
              </w:rPr>
              <w:t>1997</w:t>
            </w:r>
          </w:p>
        </w:tc>
        <w:tc>
          <w:tcPr>
            <w:tcW w:w="2516" w:type="dxa"/>
          </w:tcPr>
          <w:p w:rsidR="00000000" w:rsidRDefault="00457650">
            <w:pPr>
              <w:widowControl/>
              <w:spacing w:after="120" w:line="340" w:lineRule="exact"/>
              <w:jc w:val="center"/>
              <w:rPr>
                <w:rFonts w:hint="eastAsia"/>
                <w:sz w:val="18"/>
              </w:rPr>
            </w:pPr>
            <w:r>
              <w:rPr>
                <w:rFonts w:hint="eastAsia"/>
                <w:sz w:val="18"/>
              </w:rPr>
              <w:t>24.300</w:t>
            </w:r>
          </w:p>
        </w:tc>
        <w:tc>
          <w:tcPr>
            <w:tcW w:w="2517" w:type="dxa"/>
          </w:tcPr>
          <w:p w:rsidR="00000000" w:rsidRDefault="00457650">
            <w:pPr>
              <w:widowControl/>
              <w:spacing w:after="120" w:line="340" w:lineRule="exact"/>
              <w:jc w:val="center"/>
              <w:rPr>
                <w:rFonts w:hint="eastAsia"/>
                <w:sz w:val="18"/>
              </w:rPr>
            </w:pPr>
            <w:r>
              <w:rPr>
                <w:rFonts w:hint="eastAsia"/>
                <w:sz w:val="18"/>
              </w:rPr>
              <w:t>224.7</w:t>
            </w:r>
          </w:p>
        </w:tc>
        <w:tc>
          <w:tcPr>
            <w:tcW w:w="2399" w:type="dxa"/>
          </w:tcPr>
          <w:p w:rsidR="00000000" w:rsidRDefault="00457650">
            <w:pPr>
              <w:widowControl/>
              <w:spacing w:after="120" w:line="340" w:lineRule="exact"/>
              <w:jc w:val="center"/>
              <w:rPr>
                <w:rFonts w:hint="eastAsia"/>
                <w:sz w:val="18"/>
              </w:rPr>
            </w:pPr>
            <w:r>
              <w:rPr>
                <w:rFonts w:hint="eastAsia"/>
                <w:sz w:val="18"/>
              </w:rPr>
              <w:t>10.82</w:t>
            </w:r>
          </w:p>
        </w:tc>
      </w:tr>
      <w:tr w:rsidR="00000000">
        <w:tblPrEx>
          <w:tblCellMar>
            <w:top w:w="0" w:type="dxa"/>
            <w:bottom w:w="0" w:type="dxa"/>
          </w:tblCellMar>
        </w:tblPrEx>
        <w:tc>
          <w:tcPr>
            <w:tcW w:w="2408" w:type="dxa"/>
          </w:tcPr>
          <w:p w:rsidR="00000000" w:rsidRDefault="00457650">
            <w:pPr>
              <w:widowControl/>
              <w:spacing w:after="120" w:line="340" w:lineRule="exact"/>
              <w:jc w:val="center"/>
              <w:rPr>
                <w:rFonts w:hint="eastAsia"/>
                <w:sz w:val="18"/>
              </w:rPr>
            </w:pPr>
            <w:r>
              <w:rPr>
                <w:rFonts w:hint="eastAsia"/>
                <w:sz w:val="18"/>
              </w:rPr>
              <w:t>1998</w:t>
            </w:r>
          </w:p>
        </w:tc>
        <w:tc>
          <w:tcPr>
            <w:tcW w:w="2516" w:type="dxa"/>
          </w:tcPr>
          <w:p w:rsidR="00000000" w:rsidRDefault="00457650">
            <w:pPr>
              <w:widowControl/>
              <w:spacing w:after="120" w:line="340" w:lineRule="exact"/>
              <w:jc w:val="center"/>
              <w:rPr>
                <w:rFonts w:hint="eastAsia"/>
                <w:sz w:val="18"/>
              </w:rPr>
            </w:pPr>
            <w:r>
              <w:rPr>
                <w:rFonts w:hint="eastAsia"/>
                <w:sz w:val="18"/>
              </w:rPr>
              <w:t>28.301</w:t>
            </w:r>
          </w:p>
        </w:tc>
        <w:tc>
          <w:tcPr>
            <w:tcW w:w="2517" w:type="dxa"/>
          </w:tcPr>
          <w:p w:rsidR="00000000" w:rsidRDefault="00457650">
            <w:pPr>
              <w:widowControl/>
              <w:spacing w:after="120" w:line="340" w:lineRule="exact"/>
              <w:jc w:val="center"/>
              <w:rPr>
                <w:rFonts w:hint="eastAsia"/>
                <w:sz w:val="18"/>
              </w:rPr>
            </w:pPr>
            <w:r>
              <w:rPr>
                <w:rFonts w:hint="eastAsia"/>
                <w:sz w:val="18"/>
              </w:rPr>
              <w:t>260.0</w:t>
            </w:r>
          </w:p>
        </w:tc>
        <w:tc>
          <w:tcPr>
            <w:tcW w:w="2399" w:type="dxa"/>
          </w:tcPr>
          <w:p w:rsidR="00000000" w:rsidRDefault="00457650">
            <w:pPr>
              <w:widowControl/>
              <w:spacing w:after="120" w:line="340" w:lineRule="exact"/>
              <w:jc w:val="center"/>
              <w:rPr>
                <w:rFonts w:hint="eastAsia"/>
                <w:sz w:val="18"/>
              </w:rPr>
            </w:pPr>
            <w:r>
              <w:rPr>
                <w:rFonts w:hint="eastAsia"/>
                <w:sz w:val="18"/>
              </w:rPr>
              <w:t>10.90</w:t>
            </w:r>
          </w:p>
        </w:tc>
      </w:tr>
      <w:tr w:rsidR="00000000">
        <w:tblPrEx>
          <w:tblCellMar>
            <w:top w:w="0" w:type="dxa"/>
            <w:bottom w:w="0" w:type="dxa"/>
          </w:tblCellMar>
        </w:tblPrEx>
        <w:tc>
          <w:tcPr>
            <w:tcW w:w="2408" w:type="dxa"/>
          </w:tcPr>
          <w:p w:rsidR="00000000" w:rsidRDefault="00457650">
            <w:pPr>
              <w:widowControl/>
              <w:spacing w:after="120" w:line="340" w:lineRule="exact"/>
              <w:jc w:val="center"/>
              <w:rPr>
                <w:rFonts w:hint="eastAsia"/>
                <w:sz w:val="18"/>
              </w:rPr>
            </w:pPr>
            <w:r>
              <w:rPr>
                <w:rFonts w:hint="eastAsia"/>
                <w:sz w:val="18"/>
              </w:rPr>
              <w:t>1999</w:t>
            </w:r>
          </w:p>
        </w:tc>
        <w:tc>
          <w:tcPr>
            <w:tcW w:w="2516" w:type="dxa"/>
          </w:tcPr>
          <w:p w:rsidR="00000000" w:rsidRDefault="00457650">
            <w:pPr>
              <w:widowControl/>
              <w:spacing w:after="120" w:line="340" w:lineRule="exact"/>
              <w:jc w:val="center"/>
              <w:rPr>
                <w:rFonts w:hint="eastAsia"/>
                <w:sz w:val="18"/>
              </w:rPr>
            </w:pPr>
            <w:r>
              <w:rPr>
                <w:rFonts w:hint="eastAsia"/>
                <w:sz w:val="18"/>
              </w:rPr>
              <w:t>31.910</w:t>
            </w:r>
          </w:p>
        </w:tc>
        <w:tc>
          <w:tcPr>
            <w:tcW w:w="2517" w:type="dxa"/>
          </w:tcPr>
          <w:p w:rsidR="00000000" w:rsidRDefault="00457650">
            <w:pPr>
              <w:widowControl/>
              <w:spacing w:after="120" w:line="340" w:lineRule="exact"/>
              <w:jc w:val="center"/>
              <w:rPr>
                <w:rFonts w:hint="eastAsia"/>
                <w:sz w:val="18"/>
              </w:rPr>
            </w:pPr>
            <w:r>
              <w:rPr>
                <w:rFonts w:hint="eastAsia"/>
                <w:sz w:val="18"/>
              </w:rPr>
              <w:t>303.7</w:t>
            </w:r>
          </w:p>
        </w:tc>
        <w:tc>
          <w:tcPr>
            <w:tcW w:w="2399" w:type="dxa"/>
          </w:tcPr>
          <w:p w:rsidR="00000000" w:rsidRDefault="00457650">
            <w:pPr>
              <w:widowControl/>
              <w:spacing w:after="120" w:line="340" w:lineRule="exact"/>
              <w:jc w:val="center"/>
              <w:rPr>
                <w:rFonts w:hint="eastAsia"/>
                <w:sz w:val="18"/>
              </w:rPr>
            </w:pPr>
            <w:r>
              <w:rPr>
                <w:rFonts w:hint="eastAsia"/>
                <w:sz w:val="18"/>
              </w:rPr>
              <w:t>10.51</w:t>
            </w:r>
          </w:p>
        </w:tc>
      </w:tr>
      <w:tr w:rsidR="00000000">
        <w:tblPrEx>
          <w:tblCellMar>
            <w:top w:w="0" w:type="dxa"/>
            <w:bottom w:w="0" w:type="dxa"/>
          </w:tblCellMar>
        </w:tblPrEx>
        <w:tc>
          <w:tcPr>
            <w:tcW w:w="2408" w:type="dxa"/>
          </w:tcPr>
          <w:p w:rsidR="00000000" w:rsidRDefault="00457650">
            <w:pPr>
              <w:widowControl/>
              <w:spacing w:after="120" w:line="340" w:lineRule="exact"/>
              <w:jc w:val="center"/>
              <w:rPr>
                <w:rFonts w:hint="eastAsia"/>
                <w:sz w:val="18"/>
              </w:rPr>
            </w:pPr>
            <w:r>
              <w:rPr>
                <w:rFonts w:hint="eastAsia"/>
                <w:sz w:val="18"/>
              </w:rPr>
              <w:t>2000</w:t>
            </w:r>
          </w:p>
        </w:tc>
        <w:tc>
          <w:tcPr>
            <w:tcW w:w="2516" w:type="dxa"/>
          </w:tcPr>
          <w:p w:rsidR="00000000" w:rsidRDefault="00457650">
            <w:pPr>
              <w:widowControl/>
              <w:spacing w:after="120" w:line="340" w:lineRule="exact"/>
              <w:jc w:val="center"/>
              <w:rPr>
                <w:rFonts w:hint="eastAsia"/>
                <w:sz w:val="18"/>
              </w:rPr>
            </w:pPr>
            <w:r>
              <w:rPr>
                <w:rFonts w:hint="eastAsia"/>
                <w:sz w:val="18"/>
              </w:rPr>
              <w:t>35.120</w:t>
            </w:r>
          </w:p>
        </w:tc>
        <w:tc>
          <w:tcPr>
            <w:tcW w:w="2517" w:type="dxa"/>
          </w:tcPr>
          <w:p w:rsidR="00000000" w:rsidRDefault="00457650">
            <w:pPr>
              <w:widowControl/>
              <w:spacing w:after="120" w:line="340" w:lineRule="exact"/>
              <w:jc w:val="center"/>
              <w:rPr>
                <w:rFonts w:hint="eastAsia"/>
                <w:sz w:val="18"/>
              </w:rPr>
            </w:pPr>
            <w:r>
              <w:rPr>
                <w:rFonts w:hint="eastAsia"/>
                <w:sz w:val="18"/>
              </w:rPr>
              <w:t>331.4</w:t>
            </w:r>
          </w:p>
        </w:tc>
        <w:tc>
          <w:tcPr>
            <w:tcW w:w="2399" w:type="dxa"/>
          </w:tcPr>
          <w:p w:rsidR="00000000" w:rsidRDefault="00457650">
            <w:pPr>
              <w:widowControl/>
              <w:spacing w:after="120" w:line="340" w:lineRule="exact"/>
              <w:jc w:val="center"/>
              <w:rPr>
                <w:rFonts w:hint="eastAsia"/>
                <w:sz w:val="18"/>
              </w:rPr>
            </w:pPr>
            <w:r>
              <w:rPr>
                <w:rFonts w:hint="eastAsia"/>
                <w:sz w:val="18"/>
              </w:rPr>
              <w:t>10.60</w:t>
            </w:r>
          </w:p>
        </w:tc>
      </w:tr>
      <w:tr w:rsidR="00000000">
        <w:tblPrEx>
          <w:tblCellMar>
            <w:top w:w="0" w:type="dxa"/>
            <w:bottom w:w="0" w:type="dxa"/>
          </w:tblCellMar>
        </w:tblPrEx>
        <w:tc>
          <w:tcPr>
            <w:tcW w:w="2408" w:type="dxa"/>
          </w:tcPr>
          <w:p w:rsidR="00000000" w:rsidRDefault="00457650">
            <w:pPr>
              <w:widowControl/>
              <w:spacing w:after="120" w:line="340" w:lineRule="exact"/>
              <w:jc w:val="center"/>
              <w:rPr>
                <w:rFonts w:hint="eastAsia"/>
                <w:sz w:val="18"/>
              </w:rPr>
            </w:pPr>
            <w:r>
              <w:rPr>
                <w:rFonts w:hint="eastAsia"/>
                <w:sz w:val="18"/>
              </w:rPr>
              <w:t>2001</w:t>
            </w:r>
          </w:p>
        </w:tc>
        <w:tc>
          <w:tcPr>
            <w:tcW w:w="2516" w:type="dxa"/>
          </w:tcPr>
          <w:p w:rsidR="00000000" w:rsidRDefault="00457650">
            <w:pPr>
              <w:widowControl/>
              <w:spacing w:after="120" w:line="340" w:lineRule="exact"/>
              <w:jc w:val="center"/>
              <w:rPr>
                <w:rFonts w:hint="eastAsia"/>
                <w:sz w:val="18"/>
              </w:rPr>
            </w:pPr>
            <w:r>
              <w:rPr>
                <w:rFonts w:hint="eastAsia"/>
                <w:sz w:val="18"/>
              </w:rPr>
              <w:t>37.570</w:t>
            </w:r>
          </w:p>
        </w:tc>
        <w:tc>
          <w:tcPr>
            <w:tcW w:w="2517" w:type="dxa"/>
          </w:tcPr>
          <w:p w:rsidR="00000000" w:rsidRDefault="00457650">
            <w:pPr>
              <w:widowControl/>
              <w:spacing w:after="120" w:line="340" w:lineRule="exact"/>
              <w:jc w:val="center"/>
              <w:rPr>
                <w:rFonts w:hint="eastAsia"/>
                <w:sz w:val="18"/>
              </w:rPr>
            </w:pPr>
            <w:r>
              <w:rPr>
                <w:rFonts w:hint="eastAsia"/>
                <w:sz w:val="18"/>
              </w:rPr>
              <w:t>352.8</w:t>
            </w:r>
          </w:p>
        </w:tc>
        <w:tc>
          <w:tcPr>
            <w:tcW w:w="2399" w:type="dxa"/>
          </w:tcPr>
          <w:p w:rsidR="00000000" w:rsidRDefault="00457650">
            <w:pPr>
              <w:widowControl/>
              <w:spacing w:after="120" w:line="340" w:lineRule="exact"/>
              <w:jc w:val="center"/>
              <w:rPr>
                <w:rFonts w:hint="eastAsia"/>
                <w:sz w:val="18"/>
              </w:rPr>
            </w:pPr>
            <w:r>
              <w:rPr>
                <w:rFonts w:hint="eastAsia"/>
                <w:sz w:val="18"/>
              </w:rPr>
              <w:t>10.65</w:t>
            </w:r>
          </w:p>
        </w:tc>
      </w:tr>
      <w:tr w:rsidR="00000000">
        <w:tblPrEx>
          <w:tblCellMar>
            <w:top w:w="0" w:type="dxa"/>
            <w:bottom w:w="0" w:type="dxa"/>
          </w:tblCellMar>
        </w:tblPrEx>
        <w:tc>
          <w:tcPr>
            <w:tcW w:w="2408" w:type="dxa"/>
          </w:tcPr>
          <w:p w:rsidR="00000000" w:rsidRDefault="00457650">
            <w:pPr>
              <w:widowControl/>
              <w:spacing w:after="120" w:line="340" w:lineRule="exact"/>
              <w:jc w:val="center"/>
              <w:rPr>
                <w:rFonts w:hint="eastAsia"/>
                <w:sz w:val="18"/>
              </w:rPr>
            </w:pPr>
            <w:r>
              <w:rPr>
                <w:rFonts w:hint="eastAsia"/>
                <w:sz w:val="18"/>
              </w:rPr>
              <w:t>2002</w:t>
            </w:r>
          </w:p>
        </w:tc>
        <w:tc>
          <w:tcPr>
            <w:tcW w:w="2516" w:type="dxa"/>
          </w:tcPr>
          <w:p w:rsidR="00000000" w:rsidRDefault="00457650">
            <w:pPr>
              <w:widowControl/>
              <w:spacing w:after="120" w:line="340" w:lineRule="exact"/>
              <w:jc w:val="center"/>
              <w:rPr>
                <w:rFonts w:hint="eastAsia"/>
                <w:sz w:val="18"/>
              </w:rPr>
            </w:pPr>
            <w:r>
              <w:rPr>
                <w:rFonts w:hint="eastAsia"/>
                <w:sz w:val="18"/>
              </w:rPr>
              <w:t>39.740</w:t>
            </w:r>
          </w:p>
        </w:tc>
        <w:tc>
          <w:tcPr>
            <w:tcW w:w="2517" w:type="dxa"/>
          </w:tcPr>
          <w:p w:rsidR="00000000" w:rsidRDefault="00457650">
            <w:pPr>
              <w:widowControl/>
              <w:spacing w:after="120" w:line="340" w:lineRule="exact"/>
              <w:jc w:val="center"/>
              <w:rPr>
                <w:rFonts w:hint="eastAsia"/>
                <w:sz w:val="18"/>
              </w:rPr>
            </w:pPr>
            <w:r>
              <w:rPr>
                <w:rFonts w:hint="eastAsia"/>
                <w:sz w:val="18"/>
              </w:rPr>
              <w:t>370</w:t>
            </w:r>
            <w:r>
              <w:rPr>
                <w:rFonts w:hint="eastAsia"/>
                <w:sz w:val="18"/>
              </w:rPr>
              <w:t>.8</w:t>
            </w:r>
          </w:p>
        </w:tc>
        <w:tc>
          <w:tcPr>
            <w:tcW w:w="2399" w:type="dxa"/>
          </w:tcPr>
          <w:p w:rsidR="00000000" w:rsidRDefault="00457650">
            <w:pPr>
              <w:widowControl/>
              <w:spacing w:after="120" w:line="340" w:lineRule="exact"/>
              <w:jc w:val="center"/>
              <w:rPr>
                <w:rFonts w:hint="eastAsia"/>
                <w:sz w:val="18"/>
              </w:rPr>
            </w:pPr>
            <w:r>
              <w:rPr>
                <w:rFonts w:hint="eastAsia"/>
                <w:sz w:val="18"/>
              </w:rPr>
              <w:t>10.72</w:t>
            </w:r>
          </w:p>
        </w:tc>
      </w:tr>
      <w:tr w:rsidR="00000000">
        <w:tblPrEx>
          <w:tblCellMar>
            <w:top w:w="0" w:type="dxa"/>
            <w:bottom w:w="0" w:type="dxa"/>
          </w:tblCellMar>
        </w:tblPrEx>
        <w:tc>
          <w:tcPr>
            <w:tcW w:w="2408" w:type="dxa"/>
          </w:tcPr>
          <w:p w:rsidR="00000000" w:rsidRDefault="00457650">
            <w:pPr>
              <w:widowControl/>
              <w:spacing w:after="120" w:line="340" w:lineRule="exact"/>
              <w:jc w:val="center"/>
              <w:rPr>
                <w:rFonts w:hint="eastAsia"/>
                <w:sz w:val="18"/>
              </w:rPr>
            </w:pPr>
            <w:r>
              <w:rPr>
                <w:rFonts w:hint="eastAsia"/>
                <w:sz w:val="18"/>
              </w:rPr>
              <w:t>2003</w:t>
            </w:r>
          </w:p>
        </w:tc>
        <w:tc>
          <w:tcPr>
            <w:tcW w:w="2516" w:type="dxa"/>
          </w:tcPr>
          <w:p w:rsidR="00000000" w:rsidRDefault="00457650">
            <w:pPr>
              <w:widowControl/>
              <w:spacing w:after="120" w:line="340" w:lineRule="exact"/>
              <w:jc w:val="center"/>
              <w:rPr>
                <w:rFonts w:hint="eastAsia"/>
                <w:sz w:val="18"/>
              </w:rPr>
            </w:pPr>
            <w:r>
              <w:rPr>
                <w:rFonts w:hint="eastAsia"/>
                <w:sz w:val="18"/>
              </w:rPr>
              <w:t>41.530</w:t>
            </w:r>
          </w:p>
        </w:tc>
        <w:tc>
          <w:tcPr>
            <w:tcW w:w="2517" w:type="dxa"/>
          </w:tcPr>
          <w:p w:rsidR="00000000" w:rsidRDefault="00457650">
            <w:pPr>
              <w:widowControl/>
              <w:spacing w:after="120" w:line="340" w:lineRule="exact"/>
              <w:jc w:val="center"/>
              <w:rPr>
                <w:rFonts w:hint="eastAsia"/>
                <w:sz w:val="18"/>
              </w:rPr>
            </w:pPr>
            <w:r>
              <w:rPr>
                <w:rFonts w:hint="eastAsia"/>
                <w:sz w:val="18"/>
              </w:rPr>
              <w:t>390.1</w:t>
            </w:r>
          </w:p>
        </w:tc>
        <w:tc>
          <w:tcPr>
            <w:tcW w:w="2399" w:type="dxa"/>
          </w:tcPr>
          <w:p w:rsidR="00000000" w:rsidRDefault="00457650">
            <w:pPr>
              <w:widowControl/>
              <w:spacing w:after="120" w:line="340" w:lineRule="exact"/>
              <w:jc w:val="center"/>
              <w:rPr>
                <w:rFonts w:hint="eastAsia"/>
                <w:sz w:val="18"/>
              </w:rPr>
            </w:pPr>
            <w:r>
              <w:rPr>
                <w:rFonts w:hint="eastAsia"/>
                <w:sz w:val="18"/>
              </w:rPr>
              <w:t>10.65</w:t>
            </w:r>
          </w:p>
        </w:tc>
      </w:tr>
      <w:tr w:rsidR="00000000">
        <w:tblPrEx>
          <w:tblCellMar>
            <w:top w:w="0" w:type="dxa"/>
            <w:bottom w:w="0" w:type="dxa"/>
          </w:tblCellMar>
        </w:tblPrEx>
        <w:tc>
          <w:tcPr>
            <w:tcW w:w="2408" w:type="dxa"/>
          </w:tcPr>
          <w:p w:rsidR="00000000" w:rsidRDefault="00457650">
            <w:pPr>
              <w:widowControl/>
              <w:spacing w:after="120" w:line="340" w:lineRule="exact"/>
              <w:jc w:val="center"/>
              <w:rPr>
                <w:rFonts w:hint="eastAsia"/>
                <w:sz w:val="18"/>
              </w:rPr>
            </w:pPr>
            <w:r>
              <w:rPr>
                <w:rFonts w:hint="eastAsia"/>
                <w:sz w:val="18"/>
              </w:rPr>
              <w:t>2004*</w:t>
            </w:r>
          </w:p>
        </w:tc>
        <w:tc>
          <w:tcPr>
            <w:tcW w:w="2516" w:type="dxa"/>
          </w:tcPr>
          <w:p w:rsidR="00000000" w:rsidRDefault="00457650">
            <w:pPr>
              <w:widowControl/>
              <w:spacing w:after="120" w:line="340" w:lineRule="exact"/>
              <w:jc w:val="center"/>
              <w:rPr>
                <w:rFonts w:hint="eastAsia"/>
                <w:sz w:val="18"/>
              </w:rPr>
            </w:pPr>
            <w:r>
              <w:rPr>
                <w:rFonts w:hint="eastAsia"/>
                <w:sz w:val="18"/>
              </w:rPr>
              <w:t>43.297</w:t>
            </w:r>
          </w:p>
        </w:tc>
        <w:tc>
          <w:tcPr>
            <w:tcW w:w="2517" w:type="dxa"/>
          </w:tcPr>
          <w:p w:rsidR="00000000" w:rsidRDefault="00457650">
            <w:pPr>
              <w:widowControl/>
              <w:spacing w:after="120" w:line="340" w:lineRule="exact"/>
              <w:jc w:val="center"/>
              <w:rPr>
                <w:rFonts w:hint="eastAsia"/>
                <w:sz w:val="18"/>
              </w:rPr>
            </w:pPr>
            <w:r>
              <w:rPr>
                <w:rFonts w:hint="eastAsia"/>
                <w:sz w:val="18"/>
              </w:rPr>
              <w:t>406.4</w:t>
            </w:r>
          </w:p>
        </w:tc>
        <w:tc>
          <w:tcPr>
            <w:tcW w:w="2399" w:type="dxa"/>
          </w:tcPr>
          <w:p w:rsidR="00000000" w:rsidRDefault="00457650">
            <w:pPr>
              <w:widowControl/>
              <w:spacing w:after="120" w:line="340" w:lineRule="exact"/>
              <w:jc w:val="center"/>
              <w:rPr>
                <w:rFonts w:hint="eastAsia"/>
                <w:sz w:val="18"/>
              </w:rPr>
            </w:pPr>
            <w:r>
              <w:rPr>
                <w:rFonts w:hint="eastAsia"/>
                <w:sz w:val="18"/>
              </w:rPr>
              <w:t>10.66</w:t>
            </w:r>
          </w:p>
        </w:tc>
      </w:tr>
    </w:tbl>
    <w:p w:rsidR="00000000" w:rsidRDefault="00457650">
      <w:pPr>
        <w:widowControl/>
        <w:tabs>
          <w:tab w:val="left" w:pos="630"/>
        </w:tabs>
        <w:spacing w:line="360" w:lineRule="exact"/>
        <w:rPr>
          <w:rFonts w:hint="eastAsia"/>
          <w:sz w:val="18"/>
        </w:rPr>
      </w:pPr>
      <w:r>
        <w:rPr>
          <w:rFonts w:hint="eastAsia"/>
          <w:sz w:val="18"/>
          <w:vertAlign w:val="superscript"/>
        </w:rPr>
        <w:t>*</w:t>
      </w:r>
      <w:r>
        <w:rPr>
          <w:rFonts w:hint="eastAsia"/>
          <w:sz w:val="18"/>
        </w:rPr>
        <w:t xml:space="preserve">  1-6</w:t>
      </w:r>
      <w:r>
        <w:rPr>
          <w:rFonts w:hint="eastAsia"/>
          <w:sz w:val="18"/>
        </w:rPr>
        <w:t>月的平均值。</w:t>
      </w:r>
    </w:p>
    <w:p w:rsidR="00000000" w:rsidRDefault="00457650">
      <w:pPr>
        <w:widowControl/>
        <w:tabs>
          <w:tab w:val="left" w:pos="630"/>
        </w:tabs>
        <w:spacing w:line="360" w:lineRule="exact"/>
        <w:rPr>
          <w:rFonts w:hint="eastAsia"/>
          <w:sz w:val="18"/>
        </w:rPr>
      </w:pPr>
      <w:r>
        <w:rPr>
          <w:rFonts w:hint="eastAsia"/>
          <w:sz w:val="18"/>
        </w:rPr>
        <w:t>¹</w:t>
      </w:r>
      <w:r>
        <w:rPr>
          <w:rFonts w:hint="eastAsia"/>
          <w:sz w:val="18"/>
        </w:rPr>
        <w:t xml:space="preserve">  </w:t>
      </w:r>
      <w:r>
        <w:rPr>
          <w:rFonts w:hint="eastAsia"/>
          <w:sz w:val="18"/>
        </w:rPr>
        <w:t>各地理区域所有参加经济活动的工薪人口的加权平均值。</w:t>
      </w:r>
    </w:p>
    <w:p w:rsidR="00000000" w:rsidRDefault="00457650">
      <w:pPr>
        <w:widowControl/>
        <w:tabs>
          <w:tab w:val="left" w:pos="630"/>
        </w:tabs>
        <w:spacing w:after="240" w:line="360" w:lineRule="exact"/>
        <w:rPr>
          <w:rFonts w:hint="eastAsia"/>
          <w:sz w:val="18"/>
        </w:rPr>
      </w:pPr>
      <w:r>
        <w:rPr>
          <w:rFonts w:hint="eastAsia"/>
          <w:sz w:val="18"/>
        </w:rPr>
        <w:t>²</w:t>
      </w:r>
      <w:r>
        <w:rPr>
          <w:rFonts w:hint="eastAsia"/>
          <w:sz w:val="18"/>
        </w:rPr>
        <w:t xml:space="preserve">  </w:t>
      </w:r>
      <w:r>
        <w:rPr>
          <w:rFonts w:hint="eastAsia"/>
          <w:sz w:val="18"/>
        </w:rPr>
        <w:t>见全国收入不超过一项最低工资的家庭消费物价指数。</w:t>
      </w:r>
    </w:p>
    <w:p w:rsidR="00000000" w:rsidRDefault="00457650">
      <w:pPr>
        <w:widowControl/>
        <w:tabs>
          <w:tab w:val="left" w:pos="630"/>
        </w:tabs>
        <w:spacing w:after="240" w:line="360" w:lineRule="exact"/>
        <w:rPr>
          <w:rFonts w:hint="eastAsia"/>
        </w:rPr>
      </w:pPr>
      <w:r>
        <w:rPr>
          <w:rFonts w:hint="eastAsia"/>
        </w:rPr>
        <w:t>217.</w:t>
      </w:r>
      <w:r>
        <w:rPr>
          <w:rFonts w:hint="eastAsia"/>
        </w:rPr>
        <w:tab/>
      </w:r>
      <w:r>
        <w:rPr>
          <w:rFonts w:hint="eastAsia"/>
        </w:rPr>
        <w:t>墨西哥社会保障局登记的固定工薪工人平均实际福利工资因国民经济的不景气和</w:t>
      </w:r>
      <w:r>
        <w:rPr>
          <w:rFonts w:hint="eastAsia"/>
        </w:rPr>
        <w:t>1995</w:t>
      </w:r>
      <w:r>
        <w:rPr>
          <w:rFonts w:hint="eastAsia"/>
        </w:rPr>
        <w:t>年出现的通货膨胀高峰而发生了大范围的消极变化。自</w:t>
      </w:r>
      <w:r>
        <w:rPr>
          <w:rFonts w:hint="eastAsia"/>
        </w:rPr>
        <w:t>1998</w:t>
      </w:r>
      <w:r>
        <w:rPr>
          <w:rFonts w:hint="eastAsia"/>
        </w:rPr>
        <w:t>年以来，大多数经济领域开始出现回升趋势。</w:t>
      </w:r>
      <w:r>
        <w:rPr>
          <w:rFonts w:hint="eastAsia"/>
        </w:rPr>
        <w:t>2000</w:t>
      </w:r>
      <w:r>
        <w:rPr>
          <w:rFonts w:hint="eastAsia"/>
        </w:rPr>
        <w:t>年和</w:t>
      </w:r>
      <w:r>
        <w:rPr>
          <w:rFonts w:hint="eastAsia"/>
        </w:rPr>
        <w:t>2001</w:t>
      </w:r>
      <w:r>
        <w:rPr>
          <w:rFonts w:hint="eastAsia"/>
        </w:rPr>
        <w:t>年，普遍出现了回升趋势，甚至出现了近年来最大幅</w:t>
      </w:r>
      <w:r>
        <w:rPr>
          <w:rFonts w:hint="eastAsia"/>
        </w:rPr>
        <w:t>度的实际增长。</w:t>
      </w:r>
      <w:r>
        <w:rPr>
          <w:rFonts w:hint="eastAsia"/>
        </w:rPr>
        <w:t>2002</w:t>
      </w:r>
      <w:r>
        <w:rPr>
          <w:rFonts w:hint="eastAsia"/>
        </w:rPr>
        <w:t>年和</w:t>
      </w:r>
      <w:r>
        <w:rPr>
          <w:rFonts w:hint="eastAsia"/>
        </w:rPr>
        <w:t>2003</w:t>
      </w:r>
      <w:r>
        <w:rPr>
          <w:rFonts w:hint="eastAsia"/>
        </w:rPr>
        <w:t>年，平均福利工资继续上涨，但是较之前两年有所放缓。</w:t>
      </w:r>
      <w:r>
        <w:rPr>
          <w:rFonts w:hint="eastAsia"/>
        </w:rPr>
        <w:t>2004</w:t>
      </w:r>
      <w:r>
        <w:rPr>
          <w:rFonts w:hint="eastAsia"/>
        </w:rPr>
        <w:t>年</w:t>
      </w:r>
      <w:r>
        <w:rPr>
          <w:rFonts w:hint="eastAsia"/>
        </w:rPr>
        <w:t>5</w:t>
      </w:r>
      <w:r>
        <w:rPr>
          <w:rFonts w:hint="eastAsia"/>
        </w:rPr>
        <w:t>月，它比上一年的</w:t>
      </w:r>
      <w:r>
        <w:rPr>
          <w:rFonts w:hint="eastAsia"/>
        </w:rPr>
        <w:t>5</w:t>
      </w:r>
      <w:r>
        <w:rPr>
          <w:rFonts w:hint="eastAsia"/>
        </w:rPr>
        <w:t>月增长了</w:t>
      </w:r>
      <w:r>
        <w:rPr>
          <w:rFonts w:hint="eastAsia"/>
        </w:rPr>
        <w:t>2.3%</w:t>
      </w:r>
      <w:r>
        <w:rPr>
          <w:rFonts w:hint="eastAsia"/>
        </w:rPr>
        <w:t>。</w:t>
      </w:r>
      <w:r>
        <w:rPr>
          <w:rFonts w:hint="eastAsia"/>
        </w:rPr>
        <w:t>2000</w:t>
      </w:r>
      <w:r>
        <w:rPr>
          <w:rFonts w:hint="eastAsia"/>
        </w:rPr>
        <w:t>年</w:t>
      </w:r>
      <w:r>
        <w:rPr>
          <w:rFonts w:hint="eastAsia"/>
        </w:rPr>
        <w:t>12</w:t>
      </w:r>
      <w:r>
        <w:rPr>
          <w:rFonts w:hint="eastAsia"/>
        </w:rPr>
        <w:t>月至</w:t>
      </w:r>
      <w:r>
        <w:rPr>
          <w:rFonts w:hint="eastAsia"/>
        </w:rPr>
        <w:t>2004</w:t>
      </w:r>
      <w:r>
        <w:rPr>
          <w:rFonts w:hint="eastAsia"/>
        </w:rPr>
        <w:t>年</w:t>
      </w:r>
      <w:r>
        <w:rPr>
          <w:rFonts w:hint="eastAsia"/>
        </w:rPr>
        <w:t>5</w:t>
      </w:r>
      <w:r>
        <w:rPr>
          <w:rFonts w:hint="eastAsia"/>
        </w:rPr>
        <w:t>月，平均福利工资实际增长了</w:t>
      </w:r>
      <w:r>
        <w:rPr>
          <w:rFonts w:hint="eastAsia"/>
        </w:rPr>
        <w:t>14.3%</w:t>
      </w:r>
      <w:r>
        <w:rPr>
          <w:rFonts w:hint="eastAsia"/>
        </w:rPr>
        <w:t>。</w:t>
      </w:r>
    </w:p>
    <w:p w:rsidR="00000000" w:rsidRDefault="00457650">
      <w:pPr>
        <w:widowControl/>
        <w:tabs>
          <w:tab w:val="left" w:pos="630"/>
        </w:tabs>
        <w:spacing w:after="240" w:line="360" w:lineRule="exact"/>
        <w:rPr>
          <w:rFonts w:hint="eastAsia"/>
        </w:rPr>
      </w:pPr>
      <w:r>
        <w:rPr>
          <w:rFonts w:hint="eastAsia"/>
        </w:rPr>
        <w:t>218.</w:t>
      </w:r>
      <w:r>
        <w:rPr>
          <w:rFonts w:hint="eastAsia"/>
        </w:rPr>
        <w:tab/>
      </w:r>
      <w:r>
        <w:rPr>
          <w:rFonts w:hint="eastAsia"/>
        </w:rPr>
        <w:t>过去几个月各类工资有如下变化：</w:t>
      </w:r>
      <w:r>
        <w:rPr>
          <w:rFonts w:hint="eastAsia"/>
        </w:rPr>
        <w:t xml:space="preserve"> 2003</w:t>
      </w:r>
      <w:r>
        <w:rPr>
          <w:rFonts w:hint="eastAsia"/>
        </w:rPr>
        <w:t>年</w:t>
      </w:r>
      <w:r>
        <w:rPr>
          <w:rFonts w:hint="eastAsia"/>
        </w:rPr>
        <w:t>1</w:t>
      </w:r>
      <w:r>
        <w:rPr>
          <w:rFonts w:hint="eastAsia"/>
        </w:rPr>
        <w:t>月至</w:t>
      </w:r>
      <w:r>
        <w:rPr>
          <w:rFonts w:hint="eastAsia"/>
        </w:rPr>
        <w:t>12</w:t>
      </w:r>
      <w:r>
        <w:rPr>
          <w:rFonts w:hint="eastAsia"/>
        </w:rPr>
        <w:t>月最低工资实际增加</w:t>
      </w:r>
      <w:r>
        <w:rPr>
          <w:rFonts w:hint="eastAsia"/>
        </w:rPr>
        <w:t>0.26%</w:t>
      </w:r>
      <w:r>
        <w:rPr>
          <w:rFonts w:hint="eastAsia"/>
        </w:rPr>
        <w:t>；合同工资实际增加</w:t>
      </w:r>
      <w:r>
        <w:rPr>
          <w:rFonts w:hint="eastAsia"/>
        </w:rPr>
        <w:t>0.15%</w:t>
      </w:r>
      <w:r>
        <w:rPr>
          <w:rFonts w:hint="eastAsia"/>
        </w:rPr>
        <w:t>；</w:t>
      </w:r>
      <w:r>
        <w:rPr>
          <w:rFonts w:hint="eastAsia"/>
        </w:rPr>
        <w:t>2004</w:t>
      </w:r>
      <w:r>
        <w:rPr>
          <w:rFonts w:hint="eastAsia"/>
        </w:rPr>
        <w:t>年</w:t>
      </w:r>
      <w:r>
        <w:rPr>
          <w:rFonts w:hint="eastAsia"/>
        </w:rPr>
        <w:t>1</w:t>
      </w:r>
      <w:r>
        <w:rPr>
          <w:rFonts w:hint="eastAsia"/>
        </w:rPr>
        <w:t>月至</w:t>
      </w:r>
      <w:r>
        <w:rPr>
          <w:rFonts w:hint="eastAsia"/>
        </w:rPr>
        <w:t>10</w:t>
      </w:r>
      <w:r>
        <w:rPr>
          <w:rFonts w:hint="eastAsia"/>
        </w:rPr>
        <w:t>月墨西哥社会保障局的平均福利工资实际增加</w:t>
      </w:r>
      <w:r>
        <w:rPr>
          <w:rFonts w:hint="eastAsia"/>
        </w:rPr>
        <w:t>2.7%</w:t>
      </w:r>
      <w:r>
        <w:rPr>
          <w:rFonts w:hint="eastAsia"/>
        </w:rPr>
        <w:t>。</w:t>
      </w:r>
    </w:p>
    <w:p w:rsidR="00000000" w:rsidRDefault="00457650">
      <w:pPr>
        <w:widowControl/>
        <w:tabs>
          <w:tab w:val="left" w:pos="630"/>
        </w:tabs>
        <w:spacing w:after="120" w:line="360" w:lineRule="exact"/>
        <w:rPr>
          <w:rFonts w:hint="eastAsia"/>
        </w:rPr>
      </w:pPr>
      <w:r>
        <w:rPr>
          <w:rFonts w:hint="eastAsia"/>
        </w:rPr>
        <w:t>219.</w:t>
      </w:r>
      <w:r>
        <w:rPr>
          <w:rFonts w:hint="eastAsia"/>
        </w:rPr>
        <w:tab/>
      </w:r>
      <w:r>
        <w:rPr>
          <w:rFonts w:hint="eastAsia"/>
        </w:rPr>
        <w:t>累计而言，截止到</w:t>
      </w:r>
      <w:r>
        <w:rPr>
          <w:rFonts w:hint="eastAsia"/>
        </w:rPr>
        <w:t>2003</w:t>
      </w:r>
      <w:r>
        <w:rPr>
          <w:rFonts w:hint="eastAsia"/>
        </w:rPr>
        <w:t>年</w:t>
      </w:r>
      <w:r>
        <w:rPr>
          <w:rFonts w:hint="eastAsia"/>
        </w:rPr>
        <w:t>12</w:t>
      </w:r>
      <w:r>
        <w:rPr>
          <w:rFonts w:hint="eastAsia"/>
        </w:rPr>
        <w:t>月的</w:t>
      </w:r>
      <w:r>
        <w:rPr>
          <w:rFonts w:hint="eastAsia"/>
        </w:rPr>
        <w:t>6</w:t>
      </w:r>
      <w:r>
        <w:rPr>
          <w:rFonts w:hint="eastAsia"/>
        </w:rPr>
        <w:t>年间，最低一般工资平均增加了</w:t>
      </w:r>
      <w:r>
        <w:rPr>
          <w:rFonts w:hint="eastAsia"/>
        </w:rPr>
        <w:t>0.61%</w:t>
      </w:r>
      <w:r>
        <w:rPr>
          <w:rFonts w:hint="eastAsia"/>
        </w:rPr>
        <w:t>，而联邦范围内的合同工资实际增加了</w:t>
      </w:r>
      <w:r>
        <w:rPr>
          <w:rFonts w:hint="eastAsia"/>
        </w:rPr>
        <w:t>1.12%</w:t>
      </w:r>
      <w:r>
        <w:rPr>
          <w:rFonts w:hint="eastAsia"/>
        </w:rPr>
        <w:t>。在本届政府执政期间，截止到</w:t>
      </w:r>
      <w:r>
        <w:rPr>
          <w:rFonts w:hint="eastAsia"/>
        </w:rPr>
        <w:t>2004</w:t>
      </w:r>
      <w:r>
        <w:rPr>
          <w:rFonts w:hint="eastAsia"/>
        </w:rPr>
        <w:t>年</w:t>
      </w:r>
      <w:r>
        <w:rPr>
          <w:rFonts w:hint="eastAsia"/>
        </w:rPr>
        <w:t>10</w:t>
      </w:r>
      <w:r>
        <w:rPr>
          <w:rFonts w:hint="eastAsia"/>
        </w:rPr>
        <w:t>月，墨西哥社会保障局的平均福利工资实际增加了</w:t>
      </w:r>
      <w:r>
        <w:rPr>
          <w:rFonts w:hint="eastAsia"/>
        </w:rPr>
        <w:t>11.02%</w:t>
      </w:r>
      <w:r>
        <w:rPr>
          <w:rFonts w:hint="eastAsia"/>
        </w:rPr>
        <w:t>。</w:t>
      </w:r>
    </w:p>
    <w:p w:rsidR="00000000" w:rsidRDefault="00457650">
      <w:pPr>
        <w:widowControl/>
        <w:tabs>
          <w:tab w:val="left" w:pos="630"/>
        </w:tabs>
        <w:spacing w:after="240" w:line="360" w:lineRule="exact"/>
        <w:jc w:val="center"/>
        <w:rPr>
          <w:rFonts w:ascii="SimHei" w:eastAsia="SimHei" w:hint="eastAsia"/>
        </w:rPr>
      </w:pPr>
      <w:r>
        <w:rPr>
          <w:rFonts w:ascii="SimHei" w:eastAsia="SimHei" w:hint="eastAsia"/>
        </w:rPr>
        <w:t>各届总统</w:t>
      </w:r>
      <w:r>
        <w:rPr>
          <w:rFonts w:ascii="SimHei" w:eastAsia="SimHei" w:hint="eastAsia"/>
        </w:rPr>
        <w:t>6</w:t>
      </w:r>
      <w:r>
        <w:rPr>
          <w:rFonts w:ascii="SimHei" w:eastAsia="SimHei" w:hint="eastAsia"/>
        </w:rPr>
        <w:t>年任期内的实际工资变化</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2520"/>
        <w:gridCol w:w="2520"/>
        <w:gridCol w:w="2521"/>
      </w:tblGrid>
      <w:tr w:rsidR="00000000">
        <w:tc>
          <w:tcPr>
            <w:tcW w:w="1158" w:type="pct"/>
            <w:vAlign w:val="center"/>
          </w:tcPr>
          <w:p w:rsidR="00000000" w:rsidRDefault="00457650">
            <w:pPr>
              <w:widowControl/>
              <w:tabs>
                <w:tab w:val="left" w:pos="630"/>
              </w:tabs>
              <w:spacing w:after="120" w:line="320" w:lineRule="exact"/>
              <w:jc w:val="center"/>
              <w:rPr>
                <w:rFonts w:eastAsia="KaiTi_GB2312" w:hint="eastAsia"/>
                <w:sz w:val="18"/>
              </w:rPr>
            </w:pPr>
            <w:r>
              <w:rPr>
                <w:rFonts w:eastAsia="KaiTi_GB2312" w:hint="eastAsia"/>
                <w:sz w:val="18"/>
              </w:rPr>
              <w:t>总统任期</w:t>
            </w:r>
          </w:p>
        </w:tc>
        <w:tc>
          <w:tcPr>
            <w:tcW w:w="1280" w:type="pct"/>
            <w:vAlign w:val="center"/>
          </w:tcPr>
          <w:p w:rsidR="00000000" w:rsidRDefault="00457650">
            <w:pPr>
              <w:widowControl/>
              <w:tabs>
                <w:tab w:val="left" w:pos="630"/>
              </w:tabs>
              <w:spacing w:after="120" w:line="320" w:lineRule="exact"/>
              <w:jc w:val="center"/>
              <w:rPr>
                <w:rFonts w:eastAsia="KaiTi_GB2312" w:hint="eastAsia"/>
                <w:sz w:val="18"/>
              </w:rPr>
            </w:pPr>
            <w:r>
              <w:rPr>
                <w:rFonts w:eastAsia="KaiTi_GB2312" w:hint="eastAsia"/>
                <w:sz w:val="18"/>
              </w:rPr>
              <w:t>最低一般工资</w:t>
            </w:r>
          </w:p>
        </w:tc>
        <w:tc>
          <w:tcPr>
            <w:tcW w:w="1280" w:type="pct"/>
            <w:vAlign w:val="center"/>
          </w:tcPr>
          <w:p w:rsidR="00000000" w:rsidRDefault="00457650">
            <w:pPr>
              <w:widowControl/>
              <w:tabs>
                <w:tab w:val="left" w:pos="630"/>
              </w:tabs>
              <w:spacing w:after="120" w:line="320" w:lineRule="exact"/>
              <w:jc w:val="center"/>
              <w:rPr>
                <w:rFonts w:eastAsia="KaiTi_GB2312" w:hint="eastAsia"/>
                <w:sz w:val="18"/>
              </w:rPr>
            </w:pPr>
            <w:r>
              <w:rPr>
                <w:rFonts w:eastAsia="KaiTi_GB2312" w:hint="eastAsia"/>
                <w:sz w:val="18"/>
              </w:rPr>
              <w:t>合同工资的增长</w:t>
            </w:r>
          </w:p>
        </w:tc>
        <w:tc>
          <w:tcPr>
            <w:tcW w:w="1281" w:type="pct"/>
            <w:vAlign w:val="center"/>
          </w:tcPr>
          <w:p w:rsidR="00000000" w:rsidRDefault="00457650">
            <w:pPr>
              <w:widowControl/>
              <w:tabs>
                <w:tab w:val="left" w:pos="630"/>
              </w:tabs>
              <w:spacing w:after="120" w:line="320" w:lineRule="exact"/>
              <w:jc w:val="center"/>
              <w:rPr>
                <w:rFonts w:eastAsia="KaiTi_GB2312" w:hint="eastAsia"/>
                <w:sz w:val="18"/>
              </w:rPr>
            </w:pPr>
            <w:r>
              <w:rPr>
                <w:rFonts w:eastAsia="KaiTi_GB2312" w:hint="eastAsia"/>
                <w:sz w:val="18"/>
              </w:rPr>
              <w:t>平均福利工资</w:t>
            </w:r>
          </w:p>
        </w:tc>
      </w:tr>
      <w:tr w:rsidR="00000000">
        <w:trPr>
          <w:cantSplit/>
          <w:trHeight w:val="314"/>
        </w:trPr>
        <w:tc>
          <w:tcPr>
            <w:tcW w:w="1158" w:type="pct"/>
            <w:vMerge w:val="restart"/>
          </w:tcPr>
          <w:p w:rsidR="00000000" w:rsidRDefault="00457650">
            <w:pPr>
              <w:widowControl/>
              <w:tabs>
                <w:tab w:val="left" w:pos="630"/>
              </w:tabs>
              <w:spacing w:after="120" w:line="320" w:lineRule="exact"/>
              <w:rPr>
                <w:rFonts w:hint="eastAsia"/>
                <w:sz w:val="18"/>
              </w:rPr>
            </w:pPr>
            <w:r>
              <w:rPr>
                <w:sz w:val="18"/>
              </w:rPr>
              <w:t>比森特</w:t>
            </w:r>
            <w:r>
              <w:rPr>
                <w:rFonts w:hint="eastAsia"/>
                <w:sz w:val="18"/>
              </w:rPr>
              <w:t>·</w:t>
            </w:r>
            <w:r>
              <w:rPr>
                <w:sz w:val="18"/>
              </w:rPr>
              <w:t>福克斯</w:t>
            </w:r>
            <w:r>
              <w:rPr>
                <w:rFonts w:hint="eastAsia"/>
                <w:sz w:val="18"/>
              </w:rPr>
              <w:t>·</w:t>
            </w:r>
            <w:r>
              <w:rPr>
                <w:sz w:val="18"/>
              </w:rPr>
              <w:t>克萨达</w:t>
            </w:r>
            <w:r>
              <w:rPr>
                <w:rFonts w:hint="eastAsia"/>
                <w:sz w:val="18"/>
              </w:rPr>
              <w:t>（</w:t>
            </w:r>
            <w:r>
              <w:rPr>
                <w:rFonts w:hint="eastAsia"/>
                <w:sz w:val="18"/>
              </w:rPr>
              <w:t>2000</w:t>
            </w:r>
            <w:r>
              <w:rPr>
                <w:sz w:val="18"/>
              </w:rPr>
              <w:t>-</w:t>
            </w:r>
            <w:r>
              <w:rPr>
                <w:rFonts w:hint="eastAsia"/>
                <w:sz w:val="18"/>
              </w:rPr>
              <w:t>2006</w:t>
            </w:r>
            <w:r>
              <w:rPr>
                <w:rFonts w:hint="eastAsia"/>
                <w:sz w:val="18"/>
              </w:rPr>
              <w:t>年）</w:t>
            </w:r>
          </w:p>
        </w:tc>
        <w:tc>
          <w:tcPr>
            <w:tcW w:w="1280" w:type="pct"/>
          </w:tcPr>
          <w:p w:rsidR="00000000" w:rsidRDefault="00457650">
            <w:pPr>
              <w:widowControl/>
              <w:tabs>
                <w:tab w:val="left" w:pos="630"/>
              </w:tabs>
              <w:spacing w:after="120" w:line="320" w:lineRule="exact"/>
              <w:jc w:val="center"/>
              <w:rPr>
                <w:rFonts w:hint="eastAsia"/>
                <w:sz w:val="18"/>
              </w:rPr>
            </w:pPr>
            <w:r>
              <w:rPr>
                <w:rFonts w:hint="eastAsia"/>
                <w:sz w:val="18"/>
              </w:rPr>
              <w:t>2000</w:t>
            </w:r>
            <w:r>
              <w:rPr>
                <w:rFonts w:hint="eastAsia"/>
                <w:sz w:val="18"/>
              </w:rPr>
              <w:t>年</w:t>
            </w:r>
            <w:r>
              <w:rPr>
                <w:rFonts w:hint="eastAsia"/>
                <w:sz w:val="18"/>
              </w:rPr>
              <w:t>12</w:t>
            </w:r>
            <w:r>
              <w:rPr>
                <w:rFonts w:hint="eastAsia"/>
                <w:sz w:val="18"/>
              </w:rPr>
              <w:t>月</w:t>
            </w:r>
            <w:r>
              <w:rPr>
                <w:rFonts w:hint="eastAsia"/>
                <w:sz w:val="18"/>
              </w:rPr>
              <w:t>/2003</w:t>
            </w:r>
            <w:r>
              <w:rPr>
                <w:rFonts w:hint="eastAsia"/>
                <w:sz w:val="18"/>
              </w:rPr>
              <w:t>年</w:t>
            </w:r>
            <w:r>
              <w:rPr>
                <w:rFonts w:hint="eastAsia"/>
                <w:sz w:val="18"/>
              </w:rPr>
              <w:t>12</w:t>
            </w:r>
            <w:r>
              <w:rPr>
                <w:rFonts w:hint="eastAsia"/>
                <w:sz w:val="18"/>
              </w:rPr>
              <w:t>月</w:t>
            </w:r>
          </w:p>
        </w:tc>
        <w:tc>
          <w:tcPr>
            <w:tcW w:w="1280" w:type="pct"/>
          </w:tcPr>
          <w:p w:rsidR="00000000" w:rsidRDefault="00457650">
            <w:pPr>
              <w:widowControl/>
              <w:tabs>
                <w:tab w:val="left" w:pos="630"/>
              </w:tabs>
              <w:spacing w:after="120" w:line="320" w:lineRule="exact"/>
              <w:jc w:val="center"/>
              <w:rPr>
                <w:rFonts w:hint="eastAsia"/>
                <w:sz w:val="18"/>
              </w:rPr>
            </w:pPr>
            <w:r>
              <w:rPr>
                <w:rFonts w:hint="eastAsia"/>
                <w:sz w:val="18"/>
              </w:rPr>
              <w:t>2000</w:t>
            </w:r>
            <w:r>
              <w:rPr>
                <w:rFonts w:hint="eastAsia"/>
                <w:sz w:val="18"/>
              </w:rPr>
              <w:t>年</w:t>
            </w:r>
            <w:r>
              <w:rPr>
                <w:rFonts w:hint="eastAsia"/>
                <w:sz w:val="18"/>
              </w:rPr>
              <w:t>12</w:t>
            </w:r>
            <w:r>
              <w:rPr>
                <w:rFonts w:hint="eastAsia"/>
                <w:sz w:val="18"/>
              </w:rPr>
              <w:t>月</w:t>
            </w:r>
            <w:r>
              <w:rPr>
                <w:rFonts w:hint="eastAsia"/>
                <w:sz w:val="18"/>
              </w:rPr>
              <w:t>/2003</w:t>
            </w:r>
            <w:r>
              <w:rPr>
                <w:rFonts w:hint="eastAsia"/>
                <w:sz w:val="18"/>
              </w:rPr>
              <w:t>年</w:t>
            </w:r>
            <w:r>
              <w:rPr>
                <w:rFonts w:hint="eastAsia"/>
                <w:sz w:val="18"/>
              </w:rPr>
              <w:t>12</w:t>
            </w:r>
            <w:r>
              <w:rPr>
                <w:rFonts w:hint="eastAsia"/>
                <w:sz w:val="18"/>
              </w:rPr>
              <w:t>月</w:t>
            </w:r>
          </w:p>
        </w:tc>
        <w:tc>
          <w:tcPr>
            <w:tcW w:w="1281" w:type="pct"/>
          </w:tcPr>
          <w:p w:rsidR="00000000" w:rsidRDefault="00457650">
            <w:pPr>
              <w:widowControl/>
              <w:tabs>
                <w:tab w:val="left" w:pos="630"/>
              </w:tabs>
              <w:spacing w:after="120" w:line="320" w:lineRule="exact"/>
              <w:jc w:val="center"/>
              <w:rPr>
                <w:rFonts w:hint="eastAsia"/>
                <w:sz w:val="18"/>
              </w:rPr>
            </w:pPr>
            <w:r>
              <w:rPr>
                <w:rFonts w:hint="eastAsia"/>
                <w:sz w:val="18"/>
              </w:rPr>
              <w:t>2000</w:t>
            </w:r>
            <w:r>
              <w:rPr>
                <w:rFonts w:hint="eastAsia"/>
                <w:sz w:val="18"/>
              </w:rPr>
              <w:t>年</w:t>
            </w:r>
            <w:r>
              <w:rPr>
                <w:rFonts w:hint="eastAsia"/>
                <w:sz w:val="18"/>
              </w:rPr>
              <w:t>12</w:t>
            </w:r>
            <w:r>
              <w:rPr>
                <w:rFonts w:hint="eastAsia"/>
                <w:sz w:val="18"/>
              </w:rPr>
              <w:t>月</w:t>
            </w:r>
            <w:r>
              <w:rPr>
                <w:rFonts w:hint="eastAsia"/>
                <w:sz w:val="18"/>
              </w:rPr>
              <w:t>/2003</w:t>
            </w:r>
            <w:r>
              <w:rPr>
                <w:rFonts w:hint="eastAsia"/>
                <w:sz w:val="18"/>
              </w:rPr>
              <w:t>年</w:t>
            </w:r>
            <w:r>
              <w:rPr>
                <w:rFonts w:hint="eastAsia"/>
                <w:sz w:val="18"/>
              </w:rPr>
              <w:t>10</w:t>
            </w:r>
            <w:r>
              <w:rPr>
                <w:rFonts w:hint="eastAsia"/>
                <w:sz w:val="18"/>
              </w:rPr>
              <w:t>月</w:t>
            </w:r>
          </w:p>
        </w:tc>
      </w:tr>
      <w:tr w:rsidR="00000000">
        <w:trPr>
          <w:cantSplit/>
          <w:trHeight w:val="313"/>
        </w:trPr>
        <w:tc>
          <w:tcPr>
            <w:tcW w:w="1158" w:type="pct"/>
            <w:vMerge/>
          </w:tcPr>
          <w:p w:rsidR="00000000" w:rsidRDefault="00457650">
            <w:pPr>
              <w:widowControl/>
              <w:tabs>
                <w:tab w:val="left" w:pos="630"/>
              </w:tabs>
              <w:spacing w:after="120" w:line="320" w:lineRule="exact"/>
              <w:rPr>
                <w:rFonts w:hint="eastAsia"/>
                <w:sz w:val="18"/>
              </w:rPr>
            </w:pPr>
          </w:p>
        </w:tc>
        <w:tc>
          <w:tcPr>
            <w:tcW w:w="1280" w:type="pct"/>
          </w:tcPr>
          <w:p w:rsidR="00000000" w:rsidRDefault="00457650">
            <w:pPr>
              <w:widowControl/>
              <w:tabs>
                <w:tab w:val="left" w:pos="630"/>
              </w:tabs>
              <w:spacing w:after="120" w:line="320" w:lineRule="exact"/>
              <w:jc w:val="center"/>
              <w:rPr>
                <w:rFonts w:hint="eastAsia"/>
                <w:sz w:val="18"/>
              </w:rPr>
            </w:pPr>
            <w:r>
              <w:rPr>
                <w:rFonts w:hint="eastAsia"/>
                <w:sz w:val="18"/>
              </w:rPr>
              <w:t>0.61%</w:t>
            </w:r>
          </w:p>
        </w:tc>
        <w:tc>
          <w:tcPr>
            <w:tcW w:w="1280" w:type="pct"/>
          </w:tcPr>
          <w:p w:rsidR="00000000" w:rsidRDefault="00457650">
            <w:pPr>
              <w:widowControl/>
              <w:tabs>
                <w:tab w:val="left" w:pos="630"/>
              </w:tabs>
              <w:spacing w:after="120" w:line="320" w:lineRule="exact"/>
              <w:jc w:val="center"/>
              <w:rPr>
                <w:rFonts w:hint="eastAsia"/>
                <w:sz w:val="18"/>
              </w:rPr>
            </w:pPr>
            <w:r>
              <w:rPr>
                <w:rFonts w:hint="eastAsia"/>
                <w:sz w:val="18"/>
              </w:rPr>
              <w:t>1.12%</w:t>
            </w:r>
          </w:p>
        </w:tc>
        <w:tc>
          <w:tcPr>
            <w:tcW w:w="1281" w:type="pct"/>
          </w:tcPr>
          <w:p w:rsidR="00000000" w:rsidRDefault="00457650">
            <w:pPr>
              <w:widowControl/>
              <w:tabs>
                <w:tab w:val="left" w:pos="630"/>
              </w:tabs>
              <w:spacing w:after="120" w:line="320" w:lineRule="exact"/>
              <w:jc w:val="center"/>
              <w:rPr>
                <w:rFonts w:hint="eastAsia"/>
                <w:sz w:val="18"/>
              </w:rPr>
            </w:pPr>
            <w:r>
              <w:rPr>
                <w:rFonts w:hint="eastAsia"/>
                <w:sz w:val="18"/>
              </w:rPr>
              <w:t>11.02%</w:t>
            </w:r>
          </w:p>
        </w:tc>
      </w:tr>
      <w:tr w:rsidR="00000000">
        <w:trPr>
          <w:cantSplit/>
          <w:trHeight w:val="314"/>
        </w:trPr>
        <w:tc>
          <w:tcPr>
            <w:tcW w:w="1158" w:type="pct"/>
            <w:vMerge w:val="restart"/>
          </w:tcPr>
          <w:p w:rsidR="00000000" w:rsidRDefault="00457650">
            <w:pPr>
              <w:widowControl/>
              <w:tabs>
                <w:tab w:val="left" w:pos="630"/>
              </w:tabs>
              <w:spacing w:after="120" w:line="320" w:lineRule="exact"/>
              <w:rPr>
                <w:rFonts w:hint="eastAsia"/>
                <w:sz w:val="18"/>
              </w:rPr>
            </w:pPr>
            <w:r>
              <w:rPr>
                <w:sz w:val="18"/>
              </w:rPr>
              <w:t>埃内斯托</w:t>
            </w:r>
            <w:r>
              <w:rPr>
                <w:rFonts w:hint="eastAsia"/>
                <w:sz w:val="18"/>
              </w:rPr>
              <w:t>·</w:t>
            </w:r>
            <w:r>
              <w:rPr>
                <w:sz w:val="18"/>
              </w:rPr>
              <w:t>塞迪略</w:t>
            </w:r>
            <w:r>
              <w:rPr>
                <w:rFonts w:hint="eastAsia"/>
                <w:sz w:val="18"/>
              </w:rPr>
              <w:t>·</w:t>
            </w:r>
            <w:r>
              <w:rPr>
                <w:sz w:val="18"/>
              </w:rPr>
              <w:t>庞塞</w:t>
            </w:r>
            <w:r>
              <w:rPr>
                <w:rFonts w:hint="eastAsia"/>
                <w:sz w:val="18"/>
              </w:rPr>
              <w:t>·</w:t>
            </w:r>
            <w:r>
              <w:rPr>
                <w:sz w:val="18"/>
              </w:rPr>
              <w:t>德莱昂</w:t>
            </w:r>
            <w:r>
              <w:rPr>
                <w:rFonts w:hint="eastAsia"/>
                <w:sz w:val="18"/>
              </w:rPr>
              <w:t>（</w:t>
            </w:r>
            <w:r>
              <w:rPr>
                <w:rFonts w:hint="eastAsia"/>
                <w:sz w:val="18"/>
              </w:rPr>
              <w:t>1994</w:t>
            </w:r>
            <w:r>
              <w:rPr>
                <w:sz w:val="18"/>
              </w:rPr>
              <w:t>-</w:t>
            </w:r>
            <w:r>
              <w:rPr>
                <w:rFonts w:hint="eastAsia"/>
                <w:sz w:val="18"/>
              </w:rPr>
              <w:t>2000</w:t>
            </w:r>
            <w:r>
              <w:rPr>
                <w:rFonts w:hint="eastAsia"/>
                <w:sz w:val="18"/>
              </w:rPr>
              <w:t>年）</w:t>
            </w:r>
          </w:p>
        </w:tc>
        <w:tc>
          <w:tcPr>
            <w:tcW w:w="1280" w:type="pct"/>
          </w:tcPr>
          <w:p w:rsidR="00000000" w:rsidRDefault="00457650">
            <w:pPr>
              <w:widowControl/>
              <w:tabs>
                <w:tab w:val="left" w:pos="630"/>
              </w:tabs>
              <w:spacing w:after="120" w:line="320" w:lineRule="exact"/>
              <w:jc w:val="center"/>
              <w:rPr>
                <w:rFonts w:hint="eastAsia"/>
                <w:sz w:val="18"/>
              </w:rPr>
            </w:pPr>
            <w:r>
              <w:rPr>
                <w:rFonts w:hint="eastAsia"/>
                <w:sz w:val="18"/>
              </w:rPr>
              <w:t>1994</w:t>
            </w:r>
            <w:r>
              <w:rPr>
                <w:rFonts w:hint="eastAsia"/>
                <w:sz w:val="18"/>
              </w:rPr>
              <w:t>年</w:t>
            </w:r>
            <w:r>
              <w:rPr>
                <w:rFonts w:hint="eastAsia"/>
                <w:sz w:val="18"/>
              </w:rPr>
              <w:t>12</w:t>
            </w:r>
            <w:r>
              <w:rPr>
                <w:rFonts w:hint="eastAsia"/>
                <w:sz w:val="18"/>
              </w:rPr>
              <w:t>月</w:t>
            </w:r>
            <w:r>
              <w:rPr>
                <w:rFonts w:hint="eastAsia"/>
                <w:sz w:val="18"/>
              </w:rPr>
              <w:t>/1997</w:t>
            </w:r>
            <w:r>
              <w:rPr>
                <w:rFonts w:hint="eastAsia"/>
                <w:sz w:val="18"/>
              </w:rPr>
              <w:t>年</w:t>
            </w:r>
            <w:r>
              <w:rPr>
                <w:rFonts w:hint="eastAsia"/>
                <w:sz w:val="18"/>
              </w:rPr>
              <w:t>12</w:t>
            </w:r>
            <w:r>
              <w:rPr>
                <w:rFonts w:hint="eastAsia"/>
                <w:sz w:val="18"/>
              </w:rPr>
              <w:t>月</w:t>
            </w:r>
          </w:p>
        </w:tc>
        <w:tc>
          <w:tcPr>
            <w:tcW w:w="1280" w:type="pct"/>
          </w:tcPr>
          <w:p w:rsidR="00000000" w:rsidRDefault="00457650">
            <w:pPr>
              <w:widowControl/>
              <w:tabs>
                <w:tab w:val="left" w:pos="630"/>
              </w:tabs>
              <w:spacing w:after="120" w:line="320" w:lineRule="exact"/>
              <w:jc w:val="center"/>
              <w:rPr>
                <w:rFonts w:hint="eastAsia"/>
                <w:sz w:val="18"/>
              </w:rPr>
            </w:pPr>
            <w:r>
              <w:rPr>
                <w:rFonts w:hint="eastAsia"/>
                <w:sz w:val="18"/>
              </w:rPr>
              <w:t>1994</w:t>
            </w:r>
            <w:r>
              <w:rPr>
                <w:rFonts w:hint="eastAsia"/>
                <w:sz w:val="18"/>
              </w:rPr>
              <w:t>年</w:t>
            </w:r>
            <w:r>
              <w:rPr>
                <w:rFonts w:hint="eastAsia"/>
                <w:sz w:val="18"/>
              </w:rPr>
              <w:t>12</w:t>
            </w:r>
            <w:r>
              <w:rPr>
                <w:rFonts w:hint="eastAsia"/>
                <w:sz w:val="18"/>
              </w:rPr>
              <w:t>月</w:t>
            </w:r>
            <w:r>
              <w:rPr>
                <w:rFonts w:hint="eastAsia"/>
                <w:sz w:val="18"/>
              </w:rPr>
              <w:t>/</w:t>
            </w:r>
            <w:r>
              <w:rPr>
                <w:rFonts w:hint="eastAsia"/>
                <w:sz w:val="18"/>
              </w:rPr>
              <w:t>1997</w:t>
            </w:r>
            <w:r>
              <w:rPr>
                <w:rFonts w:hint="eastAsia"/>
                <w:sz w:val="18"/>
              </w:rPr>
              <w:t>年</w:t>
            </w:r>
            <w:r>
              <w:rPr>
                <w:rFonts w:hint="eastAsia"/>
                <w:sz w:val="18"/>
              </w:rPr>
              <w:t>12</w:t>
            </w:r>
            <w:r>
              <w:rPr>
                <w:rFonts w:hint="eastAsia"/>
                <w:sz w:val="18"/>
              </w:rPr>
              <w:t>月</w:t>
            </w:r>
          </w:p>
        </w:tc>
        <w:tc>
          <w:tcPr>
            <w:tcW w:w="1281" w:type="pct"/>
          </w:tcPr>
          <w:p w:rsidR="00000000" w:rsidRDefault="00457650">
            <w:pPr>
              <w:widowControl/>
              <w:tabs>
                <w:tab w:val="left" w:pos="630"/>
              </w:tabs>
              <w:spacing w:after="120" w:line="320" w:lineRule="exact"/>
              <w:jc w:val="center"/>
              <w:rPr>
                <w:rFonts w:hint="eastAsia"/>
                <w:sz w:val="18"/>
              </w:rPr>
            </w:pPr>
            <w:r>
              <w:rPr>
                <w:rFonts w:hint="eastAsia"/>
                <w:sz w:val="18"/>
              </w:rPr>
              <w:t>1994</w:t>
            </w:r>
            <w:r>
              <w:rPr>
                <w:rFonts w:hint="eastAsia"/>
                <w:sz w:val="18"/>
              </w:rPr>
              <w:t>年</w:t>
            </w:r>
            <w:r>
              <w:rPr>
                <w:rFonts w:hint="eastAsia"/>
                <w:sz w:val="18"/>
              </w:rPr>
              <w:t>12</w:t>
            </w:r>
            <w:r>
              <w:rPr>
                <w:rFonts w:hint="eastAsia"/>
                <w:sz w:val="18"/>
              </w:rPr>
              <w:t>月</w:t>
            </w:r>
            <w:r>
              <w:rPr>
                <w:rFonts w:hint="eastAsia"/>
                <w:sz w:val="18"/>
              </w:rPr>
              <w:t>/1997</w:t>
            </w:r>
            <w:r>
              <w:rPr>
                <w:rFonts w:hint="eastAsia"/>
                <w:sz w:val="18"/>
              </w:rPr>
              <w:t>年</w:t>
            </w:r>
            <w:r>
              <w:rPr>
                <w:rFonts w:hint="eastAsia"/>
                <w:sz w:val="18"/>
              </w:rPr>
              <w:t>12</w:t>
            </w:r>
            <w:r>
              <w:rPr>
                <w:rFonts w:hint="eastAsia"/>
                <w:sz w:val="18"/>
              </w:rPr>
              <w:t>月</w:t>
            </w:r>
          </w:p>
        </w:tc>
      </w:tr>
      <w:tr w:rsidR="00000000">
        <w:trPr>
          <w:cantSplit/>
          <w:trHeight w:val="313"/>
        </w:trPr>
        <w:tc>
          <w:tcPr>
            <w:tcW w:w="1158" w:type="pct"/>
            <w:vMerge/>
          </w:tcPr>
          <w:p w:rsidR="00000000" w:rsidRDefault="00457650">
            <w:pPr>
              <w:widowControl/>
              <w:tabs>
                <w:tab w:val="left" w:pos="630"/>
              </w:tabs>
              <w:spacing w:after="120" w:line="320" w:lineRule="exact"/>
              <w:rPr>
                <w:rFonts w:hint="eastAsia"/>
                <w:sz w:val="18"/>
              </w:rPr>
            </w:pPr>
          </w:p>
        </w:tc>
        <w:tc>
          <w:tcPr>
            <w:tcW w:w="1280" w:type="pct"/>
          </w:tcPr>
          <w:p w:rsidR="00000000" w:rsidRDefault="00457650">
            <w:pPr>
              <w:widowControl/>
              <w:tabs>
                <w:tab w:val="left" w:pos="630"/>
              </w:tabs>
              <w:spacing w:after="120" w:line="320" w:lineRule="exact"/>
              <w:jc w:val="center"/>
              <w:rPr>
                <w:rFonts w:hint="eastAsia"/>
                <w:sz w:val="18"/>
              </w:rPr>
            </w:pPr>
            <w:r>
              <w:rPr>
                <w:rFonts w:hint="eastAsia"/>
                <w:sz w:val="18"/>
              </w:rPr>
              <w:t>-24.25%</w:t>
            </w:r>
          </w:p>
        </w:tc>
        <w:tc>
          <w:tcPr>
            <w:tcW w:w="1280" w:type="pct"/>
          </w:tcPr>
          <w:p w:rsidR="00000000" w:rsidRDefault="00457650">
            <w:pPr>
              <w:widowControl/>
              <w:tabs>
                <w:tab w:val="left" w:pos="630"/>
              </w:tabs>
              <w:spacing w:after="120" w:line="320" w:lineRule="exact"/>
              <w:jc w:val="center"/>
              <w:rPr>
                <w:rFonts w:hint="eastAsia"/>
                <w:sz w:val="18"/>
              </w:rPr>
            </w:pPr>
            <w:r>
              <w:rPr>
                <w:rFonts w:hint="eastAsia"/>
                <w:sz w:val="18"/>
              </w:rPr>
              <w:t>-9.10%</w:t>
            </w:r>
          </w:p>
        </w:tc>
        <w:tc>
          <w:tcPr>
            <w:tcW w:w="1281" w:type="pct"/>
          </w:tcPr>
          <w:p w:rsidR="00000000" w:rsidRDefault="00457650">
            <w:pPr>
              <w:widowControl/>
              <w:tabs>
                <w:tab w:val="left" w:pos="630"/>
              </w:tabs>
              <w:spacing w:after="120" w:line="320" w:lineRule="exact"/>
              <w:jc w:val="center"/>
              <w:rPr>
                <w:rFonts w:hint="eastAsia"/>
                <w:sz w:val="18"/>
              </w:rPr>
            </w:pPr>
            <w:r>
              <w:rPr>
                <w:rFonts w:hint="eastAsia"/>
                <w:sz w:val="18"/>
              </w:rPr>
              <w:t>-26.56%</w:t>
            </w:r>
          </w:p>
        </w:tc>
      </w:tr>
      <w:tr w:rsidR="00000000">
        <w:trPr>
          <w:cantSplit/>
          <w:trHeight w:val="314"/>
        </w:trPr>
        <w:tc>
          <w:tcPr>
            <w:tcW w:w="1158" w:type="pct"/>
            <w:vMerge w:val="restart"/>
          </w:tcPr>
          <w:p w:rsidR="00000000" w:rsidRDefault="00457650">
            <w:pPr>
              <w:widowControl/>
              <w:tabs>
                <w:tab w:val="left" w:pos="630"/>
              </w:tabs>
              <w:spacing w:after="120" w:line="320" w:lineRule="exact"/>
              <w:rPr>
                <w:rFonts w:hint="eastAsia"/>
                <w:sz w:val="18"/>
              </w:rPr>
            </w:pPr>
            <w:r>
              <w:rPr>
                <w:sz w:val="18"/>
              </w:rPr>
              <w:t>卡洛斯</w:t>
            </w:r>
            <w:r>
              <w:rPr>
                <w:rFonts w:hint="eastAsia"/>
                <w:sz w:val="18"/>
              </w:rPr>
              <w:t>·</w:t>
            </w:r>
            <w:r>
              <w:rPr>
                <w:sz w:val="18"/>
              </w:rPr>
              <w:t>萨利纳斯</w:t>
            </w:r>
            <w:r>
              <w:rPr>
                <w:rFonts w:hint="eastAsia"/>
                <w:sz w:val="18"/>
              </w:rPr>
              <w:t>·</w:t>
            </w:r>
            <w:r>
              <w:rPr>
                <w:sz w:val="18"/>
              </w:rPr>
              <w:t>德戈塔里</w:t>
            </w:r>
            <w:r>
              <w:rPr>
                <w:rFonts w:hint="eastAsia"/>
                <w:sz w:val="18"/>
              </w:rPr>
              <w:t>（</w:t>
            </w:r>
            <w:r>
              <w:rPr>
                <w:rFonts w:hint="eastAsia"/>
                <w:sz w:val="18"/>
              </w:rPr>
              <w:t>1988</w:t>
            </w:r>
            <w:r>
              <w:rPr>
                <w:sz w:val="18"/>
              </w:rPr>
              <w:t>-</w:t>
            </w:r>
            <w:r>
              <w:rPr>
                <w:rFonts w:hint="eastAsia"/>
                <w:sz w:val="18"/>
              </w:rPr>
              <w:t>1994</w:t>
            </w:r>
            <w:r>
              <w:rPr>
                <w:rFonts w:hint="eastAsia"/>
                <w:sz w:val="18"/>
              </w:rPr>
              <w:t>年）</w:t>
            </w:r>
          </w:p>
        </w:tc>
        <w:tc>
          <w:tcPr>
            <w:tcW w:w="1280" w:type="pct"/>
          </w:tcPr>
          <w:p w:rsidR="00000000" w:rsidRDefault="00457650">
            <w:pPr>
              <w:widowControl/>
              <w:tabs>
                <w:tab w:val="left" w:pos="630"/>
              </w:tabs>
              <w:spacing w:after="120" w:line="320" w:lineRule="exact"/>
              <w:jc w:val="center"/>
              <w:rPr>
                <w:rFonts w:hint="eastAsia"/>
                <w:sz w:val="18"/>
              </w:rPr>
            </w:pPr>
            <w:r>
              <w:rPr>
                <w:rFonts w:hint="eastAsia"/>
                <w:sz w:val="18"/>
              </w:rPr>
              <w:t>1988</w:t>
            </w:r>
            <w:r>
              <w:rPr>
                <w:rFonts w:hint="eastAsia"/>
                <w:sz w:val="18"/>
              </w:rPr>
              <w:t>年</w:t>
            </w:r>
            <w:r>
              <w:rPr>
                <w:rFonts w:hint="eastAsia"/>
                <w:sz w:val="18"/>
              </w:rPr>
              <w:t>12</w:t>
            </w:r>
            <w:r>
              <w:rPr>
                <w:rFonts w:hint="eastAsia"/>
                <w:sz w:val="18"/>
              </w:rPr>
              <w:t>月</w:t>
            </w:r>
            <w:r>
              <w:rPr>
                <w:rFonts w:hint="eastAsia"/>
                <w:sz w:val="18"/>
              </w:rPr>
              <w:t>/1991</w:t>
            </w:r>
            <w:r>
              <w:rPr>
                <w:rFonts w:hint="eastAsia"/>
                <w:sz w:val="18"/>
              </w:rPr>
              <w:t>年</w:t>
            </w:r>
            <w:r>
              <w:rPr>
                <w:rFonts w:hint="eastAsia"/>
                <w:sz w:val="18"/>
              </w:rPr>
              <w:t>12</w:t>
            </w:r>
            <w:r>
              <w:rPr>
                <w:rFonts w:hint="eastAsia"/>
                <w:sz w:val="18"/>
              </w:rPr>
              <w:t>月</w:t>
            </w:r>
          </w:p>
        </w:tc>
        <w:tc>
          <w:tcPr>
            <w:tcW w:w="1280" w:type="pct"/>
          </w:tcPr>
          <w:p w:rsidR="00000000" w:rsidRDefault="00457650">
            <w:pPr>
              <w:widowControl/>
              <w:tabs>
                <w:tab w:val="left" w:pos="630"/>
              </w:tabs>
              <w:spacing w:after="120" w:line="320" w:lineRule="exact"/>
              <w:jc w:val="center"/>
              <w:rPr>
                <w:rFonts w:hint="eastAsia"/>
                <w:sz w:val="18"/>
              </w:rPr>
            </w:pPr>
            <w:r>
              <w:rPr>
                <w:rFonts w:hint="eastAsia"/>
                <w:sz w:val="18"/>
              </w:rPr>
              <w:t>1988</w:t>
            </w:r>
            <w:r>
              <w:rPr>
                <w:rFonts w:hint="eastAsia"/>
                <w:sz w:val="18"/>
              </w:rPr>
              <w:t>年</w:t>
            </w:r>
            <w:r>
              <w:rPr>
                <w:rFonts w:hint="eastAsia"/>
                <w:sz w:val="18"/>
              </w:rPr>
              <w:t>12</w:t>
            </w:r>
            <w:r>
              <w:rPr>
                <w:rFonts w:hint="eastAsia"/>
                <w:sz w:val="18"/>
              </w:rPr>
              <w:t>月</w:t>
            </w:r>
            <w:r>
              <w:rPr>
                <w:rFonts w:hint="eastAsia"/>
                <w:sz w:val="18"/>
              </w:rPr>
              <w:t>/1991</w:t>
            </w:r>
            <w:r>
              <w:rPr>
                <w:rFonts w:hint="eastAsia"/>
                <w:sz w:val="18"/>
              </w:rPr>
              <w:t>年</w:t>
            </w:r>
            <w:r>
              <w:rPr>
                <w:rFonts w:hint="eastAsia"/>
                <w:sz w:val="18"/>
              </w:rPr>
              <w:t>12</w:t>
            </w:r>
            <w:r>
              <w:rPr>
                <w:rFonts w:hint="eastAsia"/>
                <w:sz w:val="18"/>
              </w:rPr>
              <w:t>月</w:t>
            </w:r>
          </w:p>
        </w:tc>
        <w:tc>
          <w:tcPr>
            <w:tcW w:w="1281" w:type="pct"/>
          </w:tcPr>
          <w:p w:rsidR="00000000" w:rsidRDefault="00457650">
            <w:pPr>
              <w:widowControl/>
              <w:tabs>
                <w:tab w:val="left" w:pos="630"/>
              </w:tabs>
              <w:spacing w:after="120" w:line="320" w:lineRule="exact"/>
              <w:jc w:val="center"/>
              <w:rPr>
                <w:rFonts w:hint="eastAsia"/>
                <w:sz w:val="18"/>
              </w:rPr>
            </w:pPr>
            <w:r>
              <w:rPr>
                <w:rFonts w:hint="eastAsia"/>
                <w:sz w:val="18"/>
              </w:rPr>
              <w:t>1988</w:t>
            </w:r>
            <w:r>
              <w:rPr>
                <w:rFonts w:hint="eastAsia"/>
                <w:sz w:val="18"/>
              </w:rPr>
              <w:t>年</w:t>
            </w:r>
            <w:r>
              <w:rPr>
                <w:rFonts w:hint="eastAsia"/>
                <w:sz w:val="18"/>
              </w:rPr>
              <w:t>12</w:t>
            </w:r>
            <w:r>
              <w:rPr>
                <w:rFonts w:hint="eastAsia"/>
                <w:sz w:val="18"/>
              </w:rPr>
              <w:t>月</w:t>
            </w:r>
            <w:r>
              <w:rPr>
                <w:rFonts w:hint="eastAsia"/>
                <w:sz w:val="18"/>
              </w:rPr>
              <w:t>/1991</w:t>
            </w:r>
            <w:r>
              <w:rPr>
                <w:rFonts w:hint="eastAsia"/>
                <w:sz w:val="18"/>
              </w:rPr>
              <w:t>年</w:t>
            </w:r>
            <w:r>
              <w:rPr>
                <w:rFonts w:hint="eastAsia"/>
                <w:sz w:val="18"/>
              </w:rPr>
              <w:t>12</w:t>
            </w:r>
            <w:r>
              <w:rPr>
                <w:rFonts w:hint="eastAsia"/>
                <w:sz w:val="18"/>
              </w:rPr>
              <w:t>月</w:t>
            </w:r>
          </w:p>
        </w:tc>
      </w:tr>
      <w:tr w:rsidR="00000000">
        <w:trPr>
          <w:cantSplit/>
          <w:trHeight w:val="313"/>
        </w:trPr>
        <w:tc>
          <w:tcPr>
            <w:tcW w:w="1158" w:type="pct"/>
            <w:vMerge/>
          </w:tcPr>
          <w:p w:rsidR="00000000" w:rsidRDefault="00457650">
            <w:pPr>
              <w:widowControl/>
              <w:tabs>
                <w:tab w:val="left" w:pos="630"/>
              </w:tabs>
              <w:spacing w:after="120" w:line="320" w:lineRule="exact"/>
              <w:rPr>
                <w:rFonts w:hint="eastAsia"/>
                <w:sz w:val="18"/>
              </w:rPr>
            </w:pPr>
          </w:p>
        </w:tc>
        <w:tc>
          <w:tcPr>
            <w:tcW w:w="1280" w:type="pct"/>
          </w:tcPr>
          <w:p w:rsidR="00000000" w:rsidRDefault="00457650">
            <w:pPr>
              <w:widowControl/>
              <w:tabs>
                <w:tab w:val="left" w:pos="630"/>
              </w:tabs>
              <w:spacing w:after="120" w:line="320" w:lineRule="exact"/>
              <w:jc w:val="center"/>
              <w:rPr>
                <w:rFonts w:hint="eastAsia"/>
                <w:sz w:val="18"/>
              </w:rPr>
            </w:pPr>
            <w:r>
              <w:rPr>
                <w:rFonts w:hint="eastAsia"/>
                <w:sz w:val="18"/>
              </w:rPr>
              <w:t>-16.65%</w:t>
            </w:r>
          </w:p>
        </w:tc>
        <w:tc>
          <w:tcPr>
            <w:tcW w:w="1280" w:type="pct"/>
          </w:tcPr>
          <w:p w:rsidR="00000000" w:rsidRDefault="00457650">
            <w:pPr>
              <w:widowControl/>
              <w:tabs>
                <w:tab w:val="left" w:pos="630"/>
              </w:tabs>
              <w:spacing w:after="120" w:line="320" w:lineRule="exact"/>
              <w:jc w:val="center"/>
              <w:rPr>
                <w:rFonts w:hint="eastAsia"/>
                <w:sz w:val="18"/>
              </w:rPr>
            </w:pPr>
            <w:r>
              <w:rPr>
                <w:rFonts w:hint="eastAsia"/>
                <w:sz w:val="18"/>
              </w:rPr>
              <w:t>-6.00%</w:t>
            </w:r>
          </w:p>
        </w:tc>
        <w:tc>
          <w:tcPr>
            <w:tcW w:w="1281" w:type="pct"/>
          </w:tcPr>
          <w:p w:rsidR="00000000" w:rsidRDefault="00457650">
            <w:pPr>
              <w:widowControl/>
              <w:tabs>
                <w:tab w:val="left" w:pos="630"/>
              </w:tabs>
              <w:spacing w:after="120" w:line="320" w:lineRule="exact"/>
              <w:jc w:val="center"/>
              <w:rPr>
                <w:rFonts w:hint="eastAsia"/>
                <w:sz w:val="18"/>
              </w:rPr>
            </w:pPr>
            <w:r>
              <w:rPr>
                <w:rFonts w:hint="eastAsia"/>
                <w:sz w:val="18"/>
              </w:rPr>
              <w:t>10.07%</w:t>
            </w:r>
          </w:p>
        </w:tc>
      </w:tr>
    </w:tbl>
    <w:p w:rsidR="00000000" w:rsidRDefault="00457650">
      <w:pPr>
        <w:widowControl/>
        <w:tabs>
          <w:tab w:val="left" w:pos="630"/>
        </w:tabs>
        <w:spacing w:before="120" w:after="240" w:line="360" w:lineRule="exact"/>
        <w:rPr>
          <w:rFonts w:hint="eastAsia"/>
        </w:rPr>
      </w:pPr>
      <w:r>
        <w:rPr>
          <w:rFonts w:hint="eastAsia"/>
        </w:rPr>
        <w:t>220.</w:t>
      </w:r>
      <w:r>
        <w:rPr>
          <w:rFonts w:hint="eastAsia"/>
        </w:rPr>
        <w:tab/>
      </w:r>
      <w:r>
        <w:rPr>
          <w:rFonts w:hint="eastAsia"/>
        </w:rPr>
        <w:t>如上所述，对是否遵守劳动标准的监管，特别是对最低工资标准的监管，是劳动管理机构的职责。管理机构通过所建立的管理机制，或在一方的请求下，同有关的司法机构联系：劳工和社会福利部；联邦各州的劳</w:t>
      </w:r>
      <w:r>
        <w:rPr>
          <w:rFonts w:hint="eastAsia"/>
        </w:rPr>
        <w:t>动管理机构；联邦调解和仲裁委员会；地方调解和仲裁委员会；联邦调解和仲裁法庭；地方调解和仲裁法庭。</w:t>
      </w:r>
    </w:p>
    <w:p w:rsidR="00000000" w:rsidRDefault="00457650">
      <w:pPr>
        <w:widowControl/>
        <w:tabs>
          <w:tab w:val="left" w:pos="630"/>
        </w:tabs>
        <w:spacing w:after="240" w:line="360" w:lineRule="exact"/>
        <w:rPr>
          <w:rFonts w:hint="eastAsia"/>
        </w:rPr>
      </w:pPr>
      <w:r>
        <w:rPr>
          <w:rFonts w:hint="eastAsia"/>
        </w:rPr>
        <w:t>221.</w:t>
      </w:r>
      <w:r>
        <w:rPr>
          <w:rFonts w:hint="eastAsia"/>
        </w:rPr>
        <w:tab/>
      </w:r>
      <w:r>
        <w:rPr>
          <w:rFonts w:hint="eastAsia"/>
        </w:rPr>
        <w:t>根据《联邦劳动法》，工人、其受益人和工会可以通过法定救济措施行使他们的劳动权利。劳工和社会福利部内部保障工人权益的联邦检察官办公室向工人及其工会提供免费咨询、调解和法律代理服务，提倡预防性文化，推广快速解决纠纷的调解方法。在必要的情况下，该办公室还代表工人、其受益人和工会出入劳动法庭、司法和行政机构以及所有其他公共和私人部门。更多信息见关于第</w:t>
      </w:r>
      <w:r>
        <w:rPr>
          <w:rFonts w:hint="eastAsia"/>
        </w:rPr>
        <w:t>7</w:t>
      </w:r>
      <w:r>
        <w:rPr>
          <w:rFonts w:hint="eastAsia"/>
        </w:rPr>
        <w:t>条第</w:t>
      </w:r>
      <w:r>
        <w:rPr>
          <w:rFonts w:hint="eastAsia"/>
        </w:rPr>
        <w:t>5</w:t>
      </w:r>
      <w:r>
        <w:rPr>
          <w:rFonts w:hint="eastAsia"/>
        </w:rPr>
        <w:t>段（</w:t>
      </w:r>
      <w:r>
        <w:rPr>
          <w:rFonts w:hint="eastAsia"/>
        </w:rPr>
        <w:t>a</w:t>
      </w:r>
      <w:r>
        <w:rPr>
          <w:rFonts w:hint="eastAsia"/>
        </w:rPr>
        <w:t>）和（</w:t>
      </w:r>
      <w:r>
        <w:rPr>
          <w:rFonts w:hint="eastAsia"/>
        </w:rPr>
        <w:t>b</w:t>
      </w:r>
      <w:r>
        <w:rPr>
          <w:rFonts w:hint="eastAsia"/>
        </w:rPr>
        <w:t>）的答复。</w:t>
      </w:r>
    </w:p>
    <w:p w:rsidR="00000000" w:rsidRDefault="00457650">
      <w:pPr>
        <w:widowControl/>
        <w:tabs>
          <w:tab w:val="left" w:pos="630"/>
        </w:tabs>
        <w:spacing w:after="240" w:line="360" w:lineRule="exact"/>
        <w:rPr>
          <w:rFonts w:hint="eastAsia"/>
        </w:rPr>
      </w:pPr>
      <w:r>
        <w:rPr>
          <w:rFonts w:hint="eastAsia"/>
        </w:rPr>
        <w:t>222.</w:t>
      </w:r>
      <w:r>
        <w:rPr>
          <w:rFonts w:hint="eastAsia"/>
        </w:rPr>
        <w:tab/>
      </w:r>
      <w:r>
        <w:rPr>
          <w:rFonts w:hint="eastAsia"/>
        </w:rPr>
        <w:t>墨西哥政府可以通</w:t>
      </w:r>
      <w:r>
        <w:rPr>
          <w:rFonts w:hint="eastAsia"/>
        </w:rPr>
        <w:t>过劳工和社会福利部，发挥国家工资保护混合委员会的作用。建立该机构是为了与劳动阶级合作并支持劳动阶级。除了保护工薪人群的购买力外，该机构还通过宣传活动提高这类人群的生活水平，并促进工人</w:t>
      </w:r>
      <w:r>
        <w:t>-</w:t>
      </w:r>
      <w:r>
        <w:rPr>
          <w:rFonts w:hint="eastAsia"/>
        </w:rPr>
        <w:t>政府项目；它还努力寻求更公平的劳资关系，推动加强新型劳动文化，实现人的发展。</w:t>
      </w:r>
    </w:p>
    <w:p w:rsidR="00000000" w:rsidRDefault="00457650">
      <w:pPr>
        <w:widowControl/>
        <w:tabs>
          <w:tab w:val="left" w:pos="630"/>
        </w:tabs>
        <w:spacing w:after="240" w:line="360" w:lineRule="exact"/>
        <w:rPr>
          <w:rFonts w:hint="eastAsia"/>
        </w:rPr>
      </w:pPr>
      <w:r>
        <w:rPr>
          <w:rFonts w:hint="eastAsia"/>
        </w:rPr>
        <w:t>223.</w:t>
      </w:r>
      <w:r>
        <w:rPr>
          <w:rFonts w:hint="eastAsia"/>
        </w:rPr>
        <w:tab/>
      </w:r>
      <w:r>
        <w:rPr>
          <w:rFonts w:hint="eastAsia"/>
        </w:rPr>
        <w:t>通过与工人组织的联系和劳工和社会福利部不同部门的支持，混合委员会正在实施一项包括如下四个服务领域的基本方案：与工会的技术合作；社会行动；社会福利；培训及与工会的交流。</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eastAsia="KaiTi_GB2312" w:hint="eastAsia"/>
        </w:rPr>
        <w:t>与工会的技术合作</w:t>
      </w:r>
      <w:r>
        <w:rPr>
          <w:rFonts w:hint="eastAsia"/>
        </w:rPr>
        <w:t>：这包括在准备声明和修改劳动合同过程中支持工人组织，一般</w:t>
      </w:r>
      <w:r>
        <w:rPr>
          <w:rFonts w:hint="eastAsia"/>
        </w:rPr>
        <w:t>在法律、经济和财政上始终努力确保公平和忠实履行已经生效的法律。它还组织协调相关利益分配单位进行干预，例如劳动和社会福利部和财政和公共信贷部。</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spacing w:val="-2"/>
        </w:rPr>
      </w:pPr>
      <w:r>
        <w:rPr>
          <w:rFonts w:eastAsia="KaiTi_GB2312" w:hint="eastAsia"/>
          <w:spacing w:val="-2"/>
        </w:rPr>
        <w:t>社会行动</w:t>
      </w:r>
      <w:r>
        <w:rPr>
          <w:rFonts w:hint="eastAsia"/>
          <w:spacing w:val="-2"/>
        </w:rPr>
        <w:t>：国家这方面工作的核心目标是提高我们社会所有成员的生活水平，特别是那些处于社会边缘地位的群体；这包括消除社会排斥。为了让工人更大程度地参与这一目标的实现，并支持工会为提高工薪者的生活水平所做的努力，混合委员会通过与工人组织的协作并在劳工和社会福利部及其他政府机构的支持下，实施了关于诸如教育设施、保护圣诞奖金、利润分享和社会供给等问题的项目。它还采取措施保证在基</w:t>
      </w:r>
      <w:r>
        <w:rPr>
          <w:rFonts w:hint="eastAsia"/>
          <w:spacing w:val="-2"/>
        </w:rPr>
        <w:t>本产品、供应、住房、文化发展、娱乐和体育方面降低价格。</w:t>
      </w:r>
    </w:p>
    <w:p w:rsidR="00000000" w:rsidRDefault="00457650" w:rsidP="00457650">
      <w:pPr>
        <w:widowControl/>
        <w:tabs>
          <w:tab w:val="left" w:pos="630"/>
        </w:tabs>
        <w:spacing w:after="240" w:line="360" w:lineRule="exact"/>
        <w:ind w:leftChars="500" w:left="31680"/>
        <w:rPr>
          <w:rFonts w:hint="eastAsia"/>
        </w:rPr>
      </w:pPr>
      <w:r>
        <w:rPr>
          <w:rFonts w:hint="eastAsia"/>
        </w:rPr>
        <w:t>此外，它还开展活动，通过各种手段提高工薪者的购买力，如按照优惠条件购买耐用商品或及时公平的分享利润和支付圣诞奖金。</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eastAsia="KaiTi_GB2312" w:hint="eastAsia"/>
        </w:rPr>
        <w:t>社会福利</w:t>
      </w:r>
      <w:r>
        <w:rPr>
          <w:rFonts w:hint="eastAsia"/>
        </w:rPr>
        <w:t>：为了支持政府项目并让工人组织和工人了解这类项目，混合委员会向有关机构及时提供准确的指导，以促进培训和就业，并解决工薪者面临的任何问题或职业危险。委员会配合工人运动采取行动，并采纳了劳工和社会福利部从工会和工人利益出发制定的方案和措施。</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eastAsia="KaiTi_GB2312" w:hint="eastAsia"/>
        </w:rPr>
        <w:t>培训及与工会的交流</w:t>
      </w:r>
      <w:r>
        <w:rPr>
          <w:rFonts w:hint="eastAsia"/>
        </w:rPr>
        <w:t>：另外，委员会负责播放两个电视节目，“劳动论坛”和“前进”。这些节目通常对生</w:t>
      </w:r>
      <w:r>
        <w:rPr>
          <w:rFonts w:hint="eastAsia"/>
        </w:rPr>
        <w:t>产过程中出现的各种问题进行评论报道；它们还包括采访工会领袖和负责劳资关系的政府官员，以此介绍劳动领域的主流形势。包括对论坛、研讨会、代表大会等进行简要报道。在“前进”节目中，播放的第</w:t>
      </w:r>
      <w:r>
        <w:rPr>
          <w:rFonts w:hint="eastAsia"/>
        </w:rPr>
        <w:t>405</w:t>
      </w:r>
      <w:r>
        <w:rPr>
          <w:rFonts w:hint="eastAsia"/>
        </w:rPr>
        <w:t>条信息与墨西哥州有关；包括地方事件的简介和州工会领袖及政府官员的采访。</w:t>
      </w:r>
    </w:p>
    <w:p w:rsidR="00000000" w:rsidRDefault="00457650">
      <w:pPr>
        <w:widowControl/>
        <w:tabs>
          <w:tab w:val="left" w:pos="630"/>
        </w:tabs>
        <w:spacing w:after="240" w:line="360" w:lineRule="exact"/>
        <w:rPr>
          <w:rFonts w:hint="eastAsia"/>
        </w:rPr>
      </w:pPr>
      <w:r>
        <w:rPr>
          <w:rFonts w:hint="eastAsia"/>
        </w:rPr>
        <w:t>224.</w:t>
      </w:r>
      <w:r>
        <w:rPr>
          <w:rFonts w:hint="eastAsia"/>
        </w:rPr>
        <w:tab/>
      </w:r>
      <w:r>
        <w:rPr>
          <w:rFonts w:hint="eastAsia"/>
        </w:rPr>
        <w:t>这四个服务领域所涵盖的措施广泛，不仅包括旨在保护工资和提高工人及其家庭生活水平的措施，而且还包括满足工会组织要求的措施。</w:t>
      </w:r>
    </w:p>
    <w:p w:rsidR="00000000" w:rsidRDefault="00457650">
      <w:pPr>
        <w:widowControl/>
        <w:tabs>
          <w:tab w:val="left" w:pos="630"/>
        </w:tabs>
        <w:spacing w:after="240" w:line="360" w:lineRule="exact"/>
        <w:rPr>
          <w:rFonts w:hint="eastAsia"/>
        </w:rPr>
      </w:pPr>
      <w:r>
        <w:rPr>
          <w:rFonts w:hint="eastAsia"/>
        </w:rPr>
        <w:t>225.</w:t>
      </w:r>
      <w:r>
        <w:rPr>
          <w:rFonts w:hint="eastAsia"/>
        </w:rPr>
        <w:tab/>
      </w:r>
      <w:r>
        <w:rPr>
          <w:rFonts w:hint="eastAsia"/>
        </w:rPr>
        <w:t>根据所制定的目标，混合委员会的整个方案与国家的社会经济战略相吻合。</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15</w:t>
      </w:r>
      <w:r>
        <w:rPr>
          <w:rFonts w:ascii="SimHei" w:eastAsia="SimHei" w:hint="eastAsia"/>
        </w:rPr>
        <w:t>段（</w:t>
      </w:r>
      <w:r>
        <w:rPr>
          <w:rFonts w:ascii="SimHei" w:eastAsia="SimHei" w:hint="eastAsia"/>
        </w:rPr>
        <w:t>c</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226.</w:t>
      </w:r>
      <w:r>
        <w:rPr>
          <w:rFonts w:hint="eastAsia"/>
        </w:rPr>
        <w:tab/>
      </w:r>
      <w:r>
        <w:rPr>
          <w:rFonts w:hint="eastAsia"/>
        </w:rPr>
        <w:t>根据《墨西哥合众</w:t>
      </w:r>
      <w:r>
        <w:rPr>
          <w:rFonts w:hint="eastAsia"/>
        </w:rPr>
        <w:t>国宪法》第</w:t>
      </w:r>
      <w:r>
        <w:rPr>
          <w:rFonts w:hint="eastAsia"/>
        </w:rPr>
        <w:t>1</w:t>
      </w:r>
      <w:r>
        <w:rPr>
          <w:rFonts w:hint="eastAsia"/>
        </w:rPr>
        <w:t>条和第</w:t>
      </w:r>
      <w:r>
        <w:rPr>
          <w:rFonts w:hint="eastAsia"/>
        </w:rPr>
        <w:t>4</w:t>
      </w:r>
      <w:r>
        <w:rPr>
          <w:rFonts w:hint="eastAsia"/>
        </w:rPr>
        <w:t>条，平等原则体现了公共权利，这项权利必须受到各级政府和政府机构的普遍保护，能否实现这项权利对个人和社会利益关系重大。</w:t>
      </w:r>
      <w:r>
        <w:rPr>
          <w:rStyle w:val="FootnoteReference"/>
          <w:szCs w:val="21"/>
        </w:rPr>
        <w:footnoteReference w:id="13"/>
      </w:r>
    </w:p>
    <w:p w:rsidR="00000000" w:rsidRDefault="00457650">
      <w:pPr>
        <w:widowControl/>
        <w:tabs>
          <w:tab w:val="left" w:pos="630"/>
        </w:tabs>
        <w:spacing w:after="120" w:line="360" w:lineRule="exact"/>
        <w:rPr>
          <w:rFonts w:hint="eastAsia"/>
        </w:rPr>
      </w:pPr>
      <w:r>
        <w:rPr>
          <w:rFonts w:hint="eastAsia"/>
        </w:rPr>
        <w:t>227.</w:t>
      </w:r>
      <w:r>
        <w:rPr>
          <w:rFonts w:hint="eastAsia"/>
        </w:rPr>
        <w:tab/>
      </w:r>
      <w:r>
        <w:rPr>
          <w:rFonts w:hint="eastAsia"/>
        </w:rPr>
        <w:t>《宪法》第</w:t>
      </w:r>
      <w:r>
        <w:rPr>
          <w:rFonts w:hint="eastAsia"/>
        </w:rPr>
        <w:t>123</w:t>
      </w:r>
      <w:r>
        <w:rPr>
          <w:rFonts w:hint="eastAsia"/>
        </w:rPr>
        <w:t>条第</w:t>
      </w:r>
      <w:r>
        <w:rPr>
          <w:rFonts w:hint="eastAsia"/>
        </w:rPr>
        <w:t>7</w:t>
      </w:r>
      <w:r>
        <w:rPr>
          <w:rFonts w:hint="eastAsia"/>
        </w:rPr>
        <w:t>款进一步补充了这一保证，它规定：</w:t>
      </w:r>
    </w:p>
    <w:p w:rsidR="00000000" w:rsidRDefault="00457650">
      <w:pPr>
        <w:widowControl/>
        <w:tabs>
          <w:tab w:val="left" w:pos="630"/>
        </w:tabs>
        <w:spacing w:after="120" w:line="360" w:lineRule="exact"/>
        <w:rPr>
          <w:rFonts w:hint="eastAsia"/>
        </w:rPr>
      </w:pPr>
      <w:r>
        <w:tab/>
      </w:r>
      <w:r>
        <w:rPr>
          <w:rFonts w:hint="eastAsia"/>
        </w:rPr>
        <w:t>“七、实行同工同酬，不分性别或种族。”</w:t>
      </w:r>
    </w:p>
    <w:p w:rsidR="00000000" w:rsidRDefault="00457650">
      <w:pPr>
        <w:widowControl/>
        <w:tabs>
          <w:tab w:val="left" w:pos="630"/>
        </w:tabs>
        <w:spacing w:after="120" w:line="360" w:lineRule="exact"/>
        <w:rPr>
          <w:rFonts w:hint="eastAsia"/>
        </w:rPr>
      </w:pPr>
      <w:r>
        <w:rPr>
          <w:rFonts w:hint="eastAsia"/>
        </w:rPr>
        <w:t>228.</w:t>
      </w:r>
      <w:r>
        <w:rPr>
          <w:rFonts w:hint="eastAsia"/>
        </w:rPr>
        <w:tab/>
      </w:r>
      <w:r>
        <w:rPr>
          <w:rFonts w:hint="eastAsia"/>
        </w:rPr>
        <w:t>为了同一目的，旨在实施《宪法》第</w:t>
      </w:r>
      <w:r>
        <w:rPr>
          <w:rFonts w:hint="eastAsia"/>
        </w:rPr>
        <w:t>123</w:t>
      </w:r>
      <w:r>
        <w:rPr>
          <w:rFonts w:hint="eastAsia"/>
        </w:rPr>
        <w:t>条的《联邦劳动法》重申了这一原则，其第</w:t>
      </w:r>
      <w:r>
        <w:rPr>
          <w:rFonts w:hint="eastAsia"/>
        </w:rPr>
        <w:t>86</w:t>
      </w:r>
      <w:r>
        <w:rPr>
          <w:rFonts w:hint="eastAsia"/>
        </w:rPr>
        <w:t>条规定在同一岗位上，从事工作时间和效率标准相同的工作应获得同等工资。</w:t>
      </w:r>
    </w:p>
    <w:p w:rsidR="00000000" w:rsidRDefault="00457650">
      <w:pPr>
        <w:widowControl/>
        <w:tabs>
          <w:tab w:val="left" w:pos="630"/>
        </w:tabs>
        <w:spacing w:after="120" w:line="360" w:lineRule="exact"/>
        <w:rPr>
          <w:rFonts w:hint="eastAsia"/>
        </w:rPr>
      </w:pPr>
      <w:r>
        <w:rPr>
          <w:rFonts w:hint="eastAsia"/>
        </w:rPr>
        <w:t>229.</w:t>
      </w:r>
      <w:r>
        <w:rPr>
          <w:rFonts w:hint="eastAsia"/>
        </w:rPr>
        <w:tab/>
      </w:r>
      <w:r>
        <w:rPr>
          <w:rFonts w:hint="eastAsia"/>
        </w:rPr>
        <w:t>关于最低工资程序的制定，更多的信息见关于第</w:t>
      </w:r>
      <w:r>
        <w:rPr>
          <w:rFonts w:hint="eastAsia"/>
        </w:rPr>
        <w:t>7</w:t>
      </w:r>
      <w:r>
        <w:rPr>
          <w:rFonts w:hint="eastAsia"/>
        </w:rPr>
        <w:t>条第</w:t>
      </w:r>
      <w:r>
        <w:rPr>
          <w:rFonts w:hint="eastAsia"/>
        </w:rPr>
        <w:t>2</w:t>
      </w:r>
      <w:r>
        <w:rPr>
          <w:rFonts w:hint="eastAsia"/>
        </w:rPr>
        <w:t>段（</w:t>
      </w:r>
      <w:r>
        <w:rPr>
          <w:rFonts w:hint="eastAsia"/>
        </w:rPr>
        <w:t>a</w:t>
      </w:r>
      <w:r>
        <w:rPr>
          <w:rFonts w:hint="eastAsia"/>
        </w:rPr>
        <w:t>）的答复。</w:t>
      </w:r>
    </w:p>
    <w:p w:rsidR="00000000" w:rsidRDefault="00457650">
      <w:pPr>
        <w:widowControl/>
        <w:tabs>
          <w:tab w:val="left" w:pos="630"/>
        </w:tabs>
        <w:spacing w:after="120" w:line="360" w:lineRule="exact"/>
        <w:rPr>
          <w:rFonts w:hint="eastAsia"/>
        </w:rPr>
      </w:pPr>
      <w:r>
        <w:rPr>
          <w:rFonts w:hint="eastAsia"/>
        </w:rPr>
        <w:t>230.</w:t>
      </w:r>
      <w:r>
        <w:rPr>
          <w:rFonts w:hint="eastAsia"/>
        </w:rPr>
        <w:tab/>
      </w:r>
      <w:r>
        <w:rPr>
          <w:rFonts w:hint="eastAsia"/>
        </w:rPr>
        <w:t>有鉴于此，并根据</w:t>
      </w:r>
      <w:r>
        <w:rPr>
          <w:rFonts w:hint="eastAsia"/>
        </w:rPr>
        <w:t>《宪法》中关于司法平等和依法办事的原则，在制定最低一般工资的过程中，最低工资制定者无论何时都不得以性别、年龄、社会地位等为由，采取任何标准或行为模式直接或间接歧视任何人或群体——个人、法人，甚至是公法或种族群体中的人。</w:t>
      </w:r>
    </w:p>
    <w:p w:rsidR="00000000" w:rsidRDefault="00457650">
      <w:pPr>
        <w:widowControl/>
        <w:tabs>
          <w:tab w:val="left" w:pos="630"/>
        </w:tabs>
        <w:spacing w:after="120" w:line="360" w:lineRule="exact"/>
        <w:rPr>
          <w:rFonts w:hint="eastAsia"/>
        </w:rPr>
      </w:pPr>
      <w:r>
        <w:rPr>
          <w:rFonts w:hint="eastAsia"/>
        </w:rPr>
        <w:t>231.</w:t>
      </w:r>
      <w:r>
        <w:rPr>
          <w:rFonts w:hint="eastAsia"/>
        </w:rPr>
        <w:tab/>
      </w:r>
      <w:r>
        <w:rPr>
          <w:rFonts w:hint="eastAsia"/>
        </w:rPr>
        <w:t>此外，</w:t>
      </w:r>
      <w:r>
        <w:rPr>
          <w:rFonts w:hint="eastAsia"/>
        </w:rPr>
        <w:t>2004</w:t>
      </w:r>
      <w:r>
        <w:rPr>
          <w:rFonts w:hint="eastAsia"/>
        </w:rPr>
        <w:t>年第一季度全国就业普查中收集的收入信息表明，</w:t>
      </w:r>
      <w:r>
        <w:rPr>
          <w:rFonts w:hint="eastAsia"/>
        </w:rPr>
        <w:t>46.2%</w:t>
      </w:r>
      <w:r>
        <w:rPr>
          <w:rFonts w:hint="eastAsia"/>
        </w:rPr>
        <w:t>的女性工资收入者的收入达到或少于最低工资的两倍；这一百分比远远高于同一收入阶层的男性（</w:t>
      </w:r>
      <w:r>
        <w:rPr>
          <w:rFonts w:hint="eastAsia"/>
        </w:rPr>
        <w:t>32.9%</w:t>
      </w:r>
      <w:r>
        <w:rPr>
          <w:rFonts w:hint="eastAsia"/>
        </w:rPr>
        <w:t>）。但是，为了确定同样价值的工作是否存在不平等的报酬，必须在相同职业的基础上进行分析，另外，其他相关的因素，例如工作时</w:t>
      </w:r>
      <w:r>
        <w:rPr>
          <w:rFonts w:hint="eastAsia"/>
        </w:rPr>
        <w:t>间，也应该加以考虑。一份研究报告提供了初步解决这个问题的方法，它提供了有关边境出口加工业制造部门就业、工资、技术和培训的全国普查信息，通过这些信息可以了解到按主要职业类别和性别划分的薪金和工资情况，并可以据此计算出“工资差距”。这些数字显示，在挣工资的雇员中，</w:t>
      </w:r>
      <w:r>
        <w:rPr>
          <w:rFonts w:hint="eastAsia"/>
        </w:rPr>
        <w:t xml:space="preserve"> 1999</w:t>
      </w:r>
      <w:r>
        <w:rPr>
          <w:rFonts w:hint="eastAsia"/>
        </w:rPr>
        <w:t>年女性工资比男性低</w:t>
      </w:r>
      <w:r>
        <w:rPr>
          <w:rFonts w:hint="eastAsia"/>
        </w:rPr>
        <w:t>10.2%</w:t>
      </w:r>
      <w:r>
        <w:rPr>
          <w:rFonts w:hint="eastAsia"/>
        </w:rPr>
        <w:t>，但是到了</w:t>
      </w:r>
      <w:r>
        <w:rPr>
          <w:rFonts w:hint="eastAsia"/>
        </w:rPr>
        <w:t>2001</w:t>
      </w:r>
      <w:r>
        <w:rPr>
          <w:rFonts w:hint="eastAsia"/>
        </w:rPr>
        <w:t>年，这一差别减少到了</w:t>
      </w:r>
      <w:r>
        <w:rPr>
          <w:rFonts w:hint="eastAsia"/>
        </w:rPr>
        <w:t>5.7%</w:t>
      </w:r>
      <w:r>
        <w:rPr>
          <w:rFonts w:hint="eastAsia"/>
        </w:rPr>
        <w:t>。同样，专业和非专业工人之间不同性别的工资差别从</w:t>
      </w:r>
      <w:r>
        <w:rPr>
          <w:rFonts w:hint="eastAsia"/>
        </w:rPr>
        <w:t>1999</w:t>
      </w:r>
      <w:r>
        <w:rPr>
          <w:rFonts w:hint="eastAsia"/>
        </w:rPr>
        <w:t>年的</w:t>
      </w:r>
      <w:r>
        <w:rPr>
          <w:rFonts w:hint="eastAsia"/>
        </w:rPr>
        <w:t>22.9%</w:t>
      </w:r>
      <w:r>
        <w:rPr>
          <w:rFonts w:hint="eastAsia"/>
        </w:rPr>
        <w:t>和</w:t>
      </w:r>
      <w:r>
        <w:rPr>
          <w:rFonts w:hint="eastAsia"/>
        </w:rPr>
        <w:t>10.8%</w:t>
      </w:r>
      <w:r>
        <w:rPr>
          <w:rFonts w:hint="eastAsia"/>
        </w:rPr>
        <w:t>（男性占优势）下降到</w:t>
      </w:r>
      <w:r>
        <w:rPr>
          <w:rFonts w:hint="eastAsia"/>
        </w:rPr>
        <w:t>7.5%</w:t>
      </w:r>
      <w:r>
        <w:rPr>
          <w:rFonts w:hint="eastAsia"/>
        </w:rPr>
        <w:t>和</w:t>
      </w:r>
      <w:r>
        <w:rPr>
          <w:rFonts w:hint="eastAsia"/>
        </w:rPr>
        <w:t>5.2%</w:t>
      </w:r>
      <w:r>
        <w:rPr>
          <w:rFonts w:hint="eastAsia"/>
        </w:rPr>
        <w:t>。与此相反，同一时期管理岗位的工资差别从</w:t>
      </w:r>
      <w:r>
        <w:rPr>
          <w:rFonts w:hint="eastAsia"/>
        </w:rPr>
        <w:t>18.8</w:t>
      </w:r>
      <w:r>
        <w:rPr>
          <w:rFonts w:hint="eastAsia"/>
        </w:rPr>
        <w:t>%</w:t>
      </w:r>
      <w:r>
        <w:rPr>
          <w:rFonts w:hint="eastAsia"/>
        </w:rPr>
        <w:t>上升到</w:t>
      </w:r>
      <w:r>
        <w:rPr>
          <w:rFonts w:hint="eastAsia"/>
        </w:rPr>
        <w:t>21.6%</w:t>
      </w:r>
      <w:r>
        <w:rPr>
          <w:rFonts w:hint="eastAsia"/>
        </w:rPr>
        <w:t>。但是，这一差别没有提供任何具体的职业比较，只提供了不同等级的比较；这表明了占据最高管理岗位的男性超过女性的趋势。</w:t>
      </w:r>
    </w:p>
    <w:p w:rsidR="00000000" w:rsidRDefault="00457650">
      <w:pPr>
        <w:widowControl/>
        <w:tabs>
          <w:tab w:val="left" w:pos="630"/>
        </w:tabs>
        <w:spacing w:after="120" w:line="360" w:lineRule="exact"/>
        <w:rPr>
          <w:rFonts w:hint="eastAsia"/>
        </w:rPr>
      </w:pPr>
      <w:r>
        <w:rPr>
          <w:rFonts w:hint="eastAsia"/>
        </w:rPr>
        <w:t>232.</w:t>
      </w:r>
      <w:r>
        <w:rPr>
          <w:rFonts w:hint="eastAsia"/>
        </w:rPr>
        <w:tab/>
        <w:t>SMTS</w:t>
      </w:r>
      <w:r>
        <w:rPr>
          <w:rFonts w:hint="eastAsia"/>
        </w:rPr>
        <w:t>促使政府和私营企业签署了</w:t>
      </w:r>
      <w:r>
        <w:rPr>
          <w:rFonts w:hint="eastAsia"/>
        </w:rPr>
        <w:t>16</w:t>
      </w:r>
      <w:r>
        <w:rPr>
          <w:rFonts w:hint="eastAsia"/>
        </w:rPr>
        <w:t>项旨在提高工作妇女地位的协议，</w:t>
      </w:r>
      <w:r>
        <w:rPr>
          <w:rFonts w:hint="eastAsia"/>
        </w:rPr>
        <w:t>470 000</w:t>
      </w:r>
      <w:r>
        <w:rPr>
          <w:rFonts w:hint="eastAsia"/>
        </w:rPr>
        <w:t>名女性工人及其家庭由此受益。</w:t>
      </w:r>
    </w:p>
    <w:p w:rsidR="00000000" w:rsidRDefault="00457650">
      <w:pPr>
        <w:widowControl/>
        <w:tabs>
          <w:tab w:val="left" w:pos="630"/>
        </w:tabs>
        <w:spacing w:after="120" w:line="360" w:lineRule="exact"/>
        <w:rPr>
          <w:rFonts w:hint="eastAsia"/>
        </w:rPr>
      </w:pPr>
      <w:r>
        <w:rPr>
          <w:rFonts w:hint="eastAsia"/>
        </w:rPr>
        <w:t>233.</w:t>
      </w:r>
      <w:r>
        <w:rPr>
          <w:rFonts w:hint="eastAsia"/>
        </w:rPr>
        <w:tab/>
      </w:r>
      <w:r>
        <w:rPr>
          <w:rFonts w:hint="eastAsia"/>
        </w:rPr>
        <w:t>边境加工出口业全国委员会以及劳工和社会福利部签署了一项惠及该行业从业妇女及其家庭的协作协议。这一协议导致另外</w:t>
      </w:r>
      <w:r>
        <w:rPr>
          <w:rFonts w:hint="eastAsia"/>
        </w:rPr>
        <w:t>15</w:t>
      </w:r>
      <w:r>
        <w:rPr>
          <w:rFonts w:hint="eastAsia"/>
        </w:rPr>
        <w:t>个州政府和女企业家协会签订了协议，致力于废除作为就业条件的未孕证明要求，规定保留工作不必证明使用了避孕措施，并促进实施有关家庭责任和母乳</w:t>
      </w:r>
      <w:r>
        <w:rPr>
          <w:rFonts w:hint="eastAsia"/>
        </w:rPr>
        <w:t>喂养的方案。除此以外，劳工和社会福利部还实施了以下项目：</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“为墨西哥妇女提供更多更好的工作”计划正在国际劳工组织（劳工组织）的协调下得到执行。第一个项目于</w:t>
      </w:r>
      <w:r>
        <w:rPr>
          <w:rFonts w:hint="eastAsia"/>
        </w:rPr>
        <w:t>2002</w:t>
      </w:r>
      <w:r>
        <w:rPr>
          <w:rFonts w:hint="eastAsia"/>
        </w:rPr>
        <w:t>年</w:t>
      </w:r>
      <w:r>
        <w:rPr>
          <w:rFonts w:hint="eastAsia"/>
        </w:rPr>
        <w:t>4</w:t>
      </w:r>
      <w:r>
        <w:rPr>
          <w:rFonts w:hint="eastAsia"/>
        </w:rPr>
        <w:t>月至</w:t>
      </w:r>
      <w:r>
        <w:rPr>
          <w:rFonts w:hint="eastAsia"/>
        </w:rPr>
        <w:t>9</w:t>
      </w:r>
      <w:r>
        <w:rPr>
          <w:rFonts w:hint="eastAsia"/>
        </w:rPr>
        <w:t>月实施，旨在提高</w:t>
      </w:r>
      <w:r>
        <w:t>科阿韦拉</w:t>
      </w:r>
      <w:r>
        <w:rPr>
          <w:rFonts w:hint="eastAsia"/>
        </w:rPr>
        <w:t>州边境加工业工薪妇女和</w:t>
      </w:r>
      <w:r>
        <w:t>格雷罗州</w:t>
      </w:r>
      <w:r>
        <w:rPr>
          <w:rFonts w:hint="eastAsia"/>
        </w:rPr>
        <w:t>非正规部门妇女的工作机会和就业条件。鉴于所取得的良好效果，决定发起一个新的项目，为期</w:t>
      </w:r>
      <w:r>
        <w:rPr>
          <w:rFonts w:hint="eastAsia"/>
        </w:rPr>
        <w:t>18</w:t>
      </w:r>
      <w:r>
        <w:rPr>
          <w:rFonts w:hint="eastAsia"/>
        </w:rPr>
        <w:t>个月，目的是为恰帕斯州、韦拉克鲁斯州和尤卡坦州非正规部门的妇女提供新的工作机会，并在奇瓦瓦州和尤卡坦州推动尊重女性工薪者的劳动权利。</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2003</w:t>
      </w:r>
      <w:r>
        <w:rPr>
          <w:rFonts w:hint="eastAsia"/>
        </w:rPr>
        <w:t>年，劳工和社会福利部官员参加了一个由劳工组织的虚拟互动培</w:t>
      </w:r>
      <w:r>
        <w:rPr>
          <w:rFonts w:hint="eastAsia"/>
        </w:rPr>
        <w:t>训政策研讨会，该研讨会的目的是提高人们的就业能力和实现两性平等，并努力增强社会不同行动者在其各自活动领域进行横向性别分析的能力。</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为了从雇主、工人和民间社会中获得帮助，举行了全国性协商会议，讨论就性骚扰问题对《联邦劳动法》的改革、《社会保障法》修正案以及在公司哺乳问题。</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开展了改善妇女工作条件和反对要求妇女证明未孕的永久性活动。一开始是向墨西哥联邦政府各部门和机构分发海报，帮助妇女与主管机构建立联系，特别是在妇女因怀孕而被解雇的情况下。</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通过广播电台宣传劳动妇女的劳动权利和义务，散发赞扬妇女工作价值的手册和</w:t>
      </w:r>
      <w:r>
        <w:rPr>
          <w:rFonts w:hint="eastAsia"/>
        </w:rPr>
        <w:t>海报。</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关于突出性别观点的培训，组织了讲习班和各种会议，向联邦劳动代表团介绍了新型劳动文化。</w:t>
      </w:r>
    </w:p>
    <w:p w:rsidR="00000000" w:rsidRDefault="00457650">
      <w:pPr>
        <w:widowControl/>
        <w:tabs>
          <w:tab w:val="left" w:pos="630"/>
        </w:tabs>
        <w:spacing w:after="240" w:line="360" w:lineRule="exact"/>
        <w:rPr>
          <w:rFonts w:hint="eastAsia"/>
        </w:rPr>
      </w:pPr>
      <w:r>
        <w:rPr>
          <w:noProof/>
          <w:color w:val="0000FF"/>
          <w:sz w:val="20"/>
        </w:rPr>
        <w:pict>
          <v:shape id="_x0000_s1164" type="#_x0000_t202" style="position:absolute;left:0;text-align:left;margin-left:12pt;margin-top:20.15pt;width:491.4pt;height:264.2pt;z-index:13">
            <v:textbox style="mso-next-textbox:#_x0000_s1164">
              <w:txbxContent>
                <w:p w:rsidR="00000000" w:rsidRDefault="00457650">
                  <w:pPr>
                    <w:spacing w:afterLines="50" w:after="120"/>
                    <w:jc w:val="center"/>
                    <w:rPr>
                      <w:rFonts w:eastAsia="SimHei"/>
                    </w:rPr>
                  </w:pPr>
                  <w:r>
                    <w:rPr>
                      <w:rFonts w:eastAsia="SimHei" w:hint="eastAsia"/>
                    </w:rPr>
                    <w:t>新型劳动文化要求更多的妇女参与建设更加美好的国家</w:t>
                  </w:r>
                </w:p>
                <w:p w:rsidR="00000000" w:rsidRDefault="00457650">
                  <w:pPr>
                    <w:spacing w:line="240" w:lineRule="auto"/>
                    <w:jc w:val="center"/>
                  </w:pPr>
                  <w:r>
                    <w:rPr>
                      <w:rFonts w:eastAsia="SimHei" w:hint="eastAsia"/>
                      <w:sz w:val="18"/>
                    </w:rPr>
                    <w:t>按收入水平列示的妇女就业人数</w:t>
                  </w:r>
                  <w:r>
                    <w:rPr>
                      <w:sz w:val="18"/>
                    </w:rPr>
                    <w:br/>
                  </w:r>
                  <w:r>
                    <w:rPr>
                      <w:rFonts w:hint="eastAsia"/>
                      <w:sz w:val="18"/>
                    </w:rPr>
                    <w:t>（千人）</w:t>
                  </w:r>
                  <w:r>
                    <w:object w:dxaOrig="9525" w:dyaOrig="4455">
                      <v:shape id="_x0000_i1037" type="#_x0000_t75" style="width:476.25pt;height:222.75pt" o:ole="">
                        <v:imagedata r:id="rId21" o:title=""/>
                      </v:shape>
                      <o:OLEObject Type="Embed" ProgID="Excel.Chart.8" ShapeID="_x0000_i1037" DrawAspect="Content" ObjectID="_1394895084" r:id="rId22">
                        <o:FieldCodes>\s</o:FieldCodes>
                      </o:OLEObject>
                    </w:object>
                  </w:r>
                </w:p>
                <w:p w:rsidR="00000000" w:rsidRDefault="00457650">
                  <w:pPr>
                    <w:pStyle w:val="a3"/>
                    <w:adjustRightInd w:val="0"/>
                    <w:spacing w:line="312" w:lineRule="atLeast"/>
                    <w:textAlignment w:val="baseline"/>
                    <w:rPr>
                      <w:rFonts w:eastAsia="SimHei"/>
                      <w:kern w:val="0"/>
                      <w:szCs w:val="20"/>
                    </w:rPr>
                  </w:pPr>
                  <w:r>
                    <w:rPr>
                      <w:rFonts w:eastAsia="SimHei" w:hint="eastAsia"/>
                      <w:kern w:val="0"/>
                      <w:szCs w:val="20"/>
                    </w:rPr>
                    <w:t>我们的任务是为妇女创造更多更好的工作机会</w:t>
                  </w:r>
                </w:p>
              </w:txbxContent>
            </v:textbox>
          </v:shape>
        </w:pict>
      </w:r>
      <w:r>
        <w:rPr>
          <w:rFonts w:hint="eastAsia"/>
        </w:rPr>
        <w:t>234.</w:t>
      </w:r>
      <w:r>
        <w:rPr>
          <w:rFonts w:hint="eastAsia"/>
        </w:rPr>
        <w:tab/>
      </w:r>
      <w:r>
        <w:rPr>
          <w:rFonts w:hint="eastAsia"/>
        </w:rPr>
        <w:t>按性别和收入等级对就业人口进行划分的统计资料见附录。（附件四）</w:t>
      </w:r>
    </w:p>
    <w:p w:rsidR="00000000" w:rsidRDefault="00457650">
      <w:pPr>
        <w:widowControl/>
        <w:tabs>
          <w:tab w:val="left" w:pos="630"/>
        </w:tabs>
        <w:spacing w:after="240" w:line="360" w:lineRule="exact"/>
        <w:rPr>
          <w:color w:val="0000FF"/>
          <w:sz w:val="18"/>
        </w:rPr>
      </w:pPr>
    </w:p>
    <w:p w:rsidR="00000000" w:rsidRDefault="00457650">
      <w:pPr>
        <w:widowControl/>
        <w:tabs>
          <w:tab w:val="left" w:pos="630"/>
        </w:tabs>
        <w:spacing w:after="240" w:line="360" w:lineRule="exact"/>
        <w:rPr>
          <w:color w:val="0000FF"/>
          <w:sz w:val="18"/>
        </w:rPr>
      </w:pPr>
    </w:p>
    <w:p w:rsidR="00000000" w:rsidRDefault="00457650">
      <w:pPr>
        <w:widowControl/>
        <w:tabs>
          <w:tab w:val="left" w:pos="630"/>
        </w:tabs>
        <w:spacing w:after="240" w:line="360" w:lineRule="exact"/>
        <w:rPr>
          <w:color w:val="0000FF"/>
          <w:sz w:val="18"/>
        </w:rPr>
      </w:pPr>
    </w:p>
    <w:p w:rsidR="00000000" w:rsidRDefault="00457650">
      <w:pPr>
        <w:widowControl/>
        <w:tabs>
          <w:tab w:val="left" w:pos="630"/>
        </w:tabs>
        <w:spacing w:after="240" w:line="360" w:lineRule="exact"/>
        <w:rPr>
          <w:color w:val="0000FF"/>
          <w:sz w:val="18"/>
        </w:rPr>
      </w:pPr>
    </w:p>
    <w:p w:rsidR="00000000" w:rsidRDefault="00457650">
      <w:pPr>
        <w:widowControl/>
        <w:tabs>
          <w:tab w:val="left" w:pos="630"/>
        </w:tabs>
        <w:spacing w:after="240" w:line="360" w:lineRule="exact"/>
        <w:rPr>
          <w:color w:val="0000FF"/>
          <w:sz w:val="18"/>
        </w:rPr>
      </w:pPr>
    </w:p>
    <w:p w:rsidR="00000000" w:rsidRDefault="00457650">
      <w:pPr>
        <w:widowControl/>
        <w:tabs>
          <w:tab w:val="left" w:pos="630"/>
        </w:tabs>
        <w:spacing w:after="240" w:line="360" w:lineRule="exact"/>
        <w:rPr>
          <w:color w:val="0000FF"/>
          <w:sz w:val="18"/>
        </w:rPr>
      </w:pPr>
    </w:p>
    <w:p w:rsidR="00000000" w:rsidRDefault="00457650">
      <w:pPr>
        <w:widowControl/>
        <w:tabs>
          <w:tab w:val="left" w:pos="630"/>
        </w:tabs>
        <w:spacing w:after="240" w:line="360" w:lineRule="exact"/>
        <w:rPr>
          <w:color w:val="0000FF"/>
          <w:sz w:val="18"/>
        </w:rPr>
      </w:pPr>
    </w:p>
    <w:p w:rsidR="00000000" w:rsidRDefault="00457650">
      <w:pPr>
        <w:widowControl/>
        <w:tabs>
          <w:tab w:val="left" w:pos="630"/>
        </w:tabs>
        <w:spacing w:after="240" w:line="360" w:lineRule="exact"/>
        <w:rPr>
          <w:color w:val="0000FF"/>
          <w:sz w:val="18"/>
        </w:rPr>
      </w:pPr>
    </w:p>
    <w:p w:rsidR="00000000" w:rsidRDefault="00457650">
      <w:pPr>
        <w:widowControl/>
        <w:tabs>
          <w:tab w:val="left" w:pos="630"/>
        </w:tabs>
        <w:spacing w:after="240" w:line="360" w:lineRule="exact"/>
        <w:rPr>
          <w:color w:val="0000FF"/>
          <w:sz w:val="18"/>
        </w:rPr>
      </w:pPr>
    </w:p>
    <w:p w:rsidR="00000000" w:rsidRDefault="00457650">
      <w:pPr>
        <w:widowControl/>
        <w:tabs>
          <w:tab w:val="left" w:pos="630"/>
        </w:tabs>
        <w:spacing w:after="240" w:line="360" w:lineRule="exact"/>
        <w:rPr>
          <w:rFonts w:hint="eastAsia"/>
          <w:sz w:val="18"/>
        </w:rPr>
      </w:pPr>
      <w:r>
        <w:rPr>
          <w:rFonts w:eastAsia="KaiTi_GB2312"/>
          <w:sz w:val="18"/>
        </w:rPr>
        <w:t xml:space="preserve">    </w:t>
      </w:r>
      <w:r>
        <w:rPr>
          <w:rFonts w:eastAsia="KaiTi_GB2312" w:hint="eastAsia"/>
          <w:sz w:val="18"/>
        </w:rPr>
        <w:t>资料来源</w:t>
      </w:r>
      <w:r>
        <w:rPr>
          <w:rFonts w:hint="eastAsia"/>
          <w:sz w:val="18"/>
        </w:rPr>
        <w:t>：劳工和社会福利部。</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15</w:t>
      </w:r>
      <w:r>
        <w:rPr>
          <w:rFonts w:ascii="SimHei" w:eastAsia="SimHei" w:hint="eastAsia"/>
        </w:rPr>
        <w:t>段（</w:t>
      </w:r>
      <w:r>
        <w:rPr>
          <w:rFonts w:ascii="SimHei" w:eastAsia="SimHei" w:hint="eastAsia"/>
        </w:rPr>
        <w:t>d</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235.</w:t>
      </w:r>
      <w:r>
        <w:rPr>
          <w:rFonts w:hint="eastAsia"/>
        </w:rPr>
        <w:tab/>
      </w:r>
      <w:r>
        <w:rPr>
          <w:rFonts w:hint="eastAsia"/>
        </w:rPr>
        <w:t>全国就业普查中收集到的</w:t>
      </w:r>
      <w:r>
        <w:rPr>
          <w:rFonts w:hint="eastAsia"/>
        </w:rPr>
        <w:t>2004</w:t>
      </w:r>
      <w:r>
        <w:rPr>
          <w:rFonts w:hint="eastAsia"/>
        </w:rPr>
        <w:t>年第一季度收入信息表明，公共部门对雇员的收入分配比私营部门更优惠。在公共部门，</w:t>
      </w:r>
      <w:r>
        <w:rPr>
          <w:rFonts w:hint="eastAsia"/>
        </w:rPr>
        <w:t>81.2%</w:t>
      </w:r>
      <w:r>
        <w:rPr>
          <w:rFonts w:hint="eastAsia"/>
        </w:rPr>
        <w:t>的雇员收入超过了最低工资的两倍，而私营部门这一收入群体只占</w:t>
      </w:r>
      <w:r>
        <w:rPr>
          <w:rFonts w:hint="eastAsia"/>
        </w:rPr>
        <w:t>52.6%</w:t>
      </w:r>
      <w:r>
        <w:rPr>
          <w:rFonts w:hint="eastAsia"/>
        </w:rPr>
        <w:t>。对于公共部门和私营部门可比工作岗位的报酬数据，尚没有可供比较分析的信息来</w:t>
      </w:r>
      <w:r>
        <w:rPr>
          <w:rFonts w:hint="eastAsia"/>
        </w:rPr>
        <w:t>源。</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16</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236.</w:t>
      </w:r>
      <w:r>
        <w:rPr>
          <w:rFonts w:hint="eastAsia"/>
        </w:rPr>
        <w:tab/>
      </w:r>
      <w:r>
        <w:rPr>
          <w:rFonts w:hint="eastAsia"/>
        </w:rPr>
        <w:t>关于安全和健康事项的基本立法见于《宪法》第</w:t>
      </w:r>
      <w:r>
        <w:rPr>
          <w:rFonts w:hint="eastAsia"/>
        </w:rPr>
        <w:t>123</w:t>
      </w:r>
      <w:r>
        <w:rPr>
          <w:rFonts w:hint="eastAsia"/>
        </w:rPr>
        <w:t>条第</w:t>
      </w:r>
      <w:r>
        <w:rPr>
          <w:rFonts w:hint="eastAsia"/>
        </w:rPr>
        <w:t>15</w:t>
      </w:r>
      <w:r>
        <w:rPr>
          <w:rFonts w:hint="eastAsia"/>
        </w:rPr>
        <w:t>款、第</w:t>
      </w:r>
      <w:r>
        <w:rPr>
          <w:rFonts w:hint="eastAsia"/>
        </w:rPr>
        <w:t>25</w:t>
      </w:r>
      <w:r>
        <w:rPr>
          <w:rFonts w:hint="eastAsia"/>
        </w:rPr>
        <w:t>款（最后一款）和《联邦劳动法》第</w:t>
      </w:r>
      <w:r>
        <w:rPr>
          <w:rFonts w:hint="eastAsia"/>
        </w:rPr>
        <w:t>132</w:t>
      </w:r>
      <w:r>
        <w:rPr>
          <w:rFonts w:hint="eastAsia"/>
        </w:rPr>
        <w:t>条第</w:t>
      </w:r>
      <w:r>
        <w:rPr>
          <w:rFonts w:hint="eastAsia"/>
        </w:rPr>
        <w:t>16</w:t>
      </w:r>
      <w:r>
        <w:rPr>
          <w:rFonts w:hint="eastAsia"/>
        </w:rPr>
        <w:t>款、第</w:t>
      </w:r>
      <w:r>
        <w:rPr>
          <w:rFonts w:hint="eastAsia"/>
        </w:rPr>
        <w:t>17</w:t>
      </w:r>
      <w:r>
        <w:rPr>
          <w:rFonts w:hint="eastAsia"/>
        </w:rPr>
        <w:t>款、第</w:t>
      </w:r>
      <w:r>
        <w:rPr>
          <w:rFonts w:hint="eastAsia"/>
        </w:rPr>
        <w:t>18</w:t>
      </w:r>
      <w:r>
        <w:rPr>
          <w:rFonts w:hint="eastAsia"/>
        </w:rPr>
        <w:t>款、第</w:t>
      </w:r>
      <w:r>
        <w:rPr>
          <w:rFonts w:hint="eastAsia"/>
        </w:rPr>
        <w:t>27</w:t>
      </w:r>
      <w:r>
        <w:rPr>
          <w:rFonts w:hint="eastAsia"/>
        </w:rPr>
        <w:t>款和第</w:t>
      </w:r>
      <w:r>
        <w:rPr>
          <w:rFonts w:hint="eastAsia"/>
        </w:rPr>
        <w:t>28</w:t>
      </w:r>
      <w:r>
        <w:rPr>
          <w:rFonts w:hint="eastAsia"/>
        </w:rPr>
        <w:t>款，第</w:t>
      </w:r>
      <w:r>
        <w:rPr>
          <w:rFonts w:hint="eastAsia"/>
        </w:rPr>
        <w:t>509</w:t>
      </w:r>
      <w:r>
        <w:rPr>
          <w:rFonts w:hint="eastAsia"/>
        </w:rPr>
        <w:t>条和第</w:t>
      </w:r>
      <w:r>
        <w:rPr>
          <w:rFonts w:hint="eastAsia"/>
        </w:rPr>
        <w:t>512</w:t>
      </w:r>
      <w:r>
        <w:rPr>
          <w:rFonts w:hint="eastAsia"/>
        </w:rPr>
        <w:t>条。墨西哥已经批准了以下关于职业安全和健康问题的劳工组织公约：《辐射防护公约》（第</w:t>
      </w:r>
      <w:r>
        <w:rPr>
          <w:rFonts w:hint="eastAsia"/>
        </w:rPr>
        <w:t>115</w:t>
      </w:r>
      <w:r>
        <w:rPr>
          <w:rFonts w:hint="eastAsia"/>
        </w:rPr>
        <w:t>号），《卫生（商店和办公场所）公约》（第</w:t>
      </w:r>
      <w:r>
        <w:rPr>
          <w:rFonts w:hint="eastAsia"/>
        </w:rPr>
        <w:t>120</w:t>
      </w:r>
      <w:r>
        <w:rPr>
          <w:rFonts w:hint="eastAsia"/>
        </w:rPr>
        <w:t>号），《工人安全和健康公约》（第</w:t>
      </w:r>
      <w:r>
        <w:rPr>
          <w:rFonts w:hint="eastAsia"/>
        </w:rPr>
        <w:t>155</w:t>
      </w:r>
      <w:r>
        <w:rPr>
          <w:rFonts w:hint="eastAsia"/>
        </w:rPr>
        <w:t>号），《职业安全健康服务公约》（第</w:t>
      </w:r>
      <w:r>
        <w:rPr>
          <w:rFonts w:hint="eastAsia"/>
        </w:rPr>
        <w:t>161</w:t>
      </w:r>
      <w:r>
        <w:rPr>
          <w:rFonts w:hint="eastAsia"/>
        </w:rPr>
        <w:t>号），《建筑业安全和健康公约》（第</w:t>
      </w:r>
      <w:r>
        <w:rPr>
          <w:rFonts w:hint="eastAsia"/>
        </w:rPr>
        <w:t>167</w:t>
      </w:r>
      <w:r>
        <w:rPr>
          <w:rFonts w:hint="eastAsia"/>
        </w:rPr>
        <w:t>号）和《化学物质公约》（第</w:t>
      </w:r>
      <w:r>
        <w:rPr>
          <w:rFonts w:hint="eastAsia"/>
        </w:rPr>
        <w:t>170</w:t>
      </w:r>
      <w:r>
        <w:rPr>
          <w:rFonts w:hint="eastAsia"/>
        </w:rPr>
        <w:t>号）。</w:t>
      </w:r>
    </w:p>
    <w:p w:rsidR="00000000" w:rsidRDefault="00457650">
      <w:pPr>
        <w:widowControl/>
        <w:tabs>
          <w:tab w:val="left" w:pos="630"/>
        </w:tabs>
        <w:spacing w:after="240" w:line="360" w:lineRule="exact"/>
        <w:rPr>
          <w:rFonts w:hint="eastAsia"/>
        </w:rPr>
      </w:pPr>
      <w:r>
        <w:rPr>
          <w:rFonts w:hint="eastAsia"/>
        </w:rPr>
        <w:t>237.</w:t>
      </w:r>
      <w:r>
        <w:rPr>
          <w:rFonts w:hint="eastAsia"/>
        </w:rPr>
        <w:tab/>
      </w:r>
      <w:r>
        <w:rPr>
          <w:rFonts w:hint="eastAsia"/>
        </w:rPr>
        <w:t>其他涉及</w:t>
      </w:r>
      <w:r>
        <w:rPr>
          <w:rFonts w:hint="eastAsia"/>
        </w:rPr>
        <w:t>健康和安全状况及工作环境的法律规定包括《关于安全、健康和工作环境的联邦条例》，《关于监察和制裁违反劳动立法行为的一般条例》以及现行的《墨西哥</w:t>
      </w:r>
      <w:r>
        <w:rPr>
          <w:rFonts w:hint="eastAsia"/>
        </w:rPr>
        <w:t>36</w:t>
      </w:r>
      <w:r>
        <w:rPr>
          <w:rFonts w:hint="eastAsia"/>
        </w:rPr>
        <w:t>条官方标准》，它们规定了雇主必须遵守的最低要求，以便确保在不危及其生命和健康的环境下从事工作。</w:t>
      </w:r>
    </w:p>
    <w:p w:rsidR="00000000" w:rsidRDefault="00457650">
      <w:pPr>
        <w:widowControl/>
        <w:tabs>
          <w:tab w:val="left" w:pos="630"/>
        </w:tabs>
        <w:spacing w:after="240" w:line="360" w:lineRule="exact"/>
        <w:rPr>
          <w:rFonts w:hint="eastAsia"/>
        </w:rPr>
      </w:pPr>
      <w:r>
        <w:rPr>
          <w:rFonts w:hint="eastAsia"/>
        </w:rPr>
        <w:t>238.</w:t>
      </w:r>
      <w:r>
        <w:rPr>
          <w:rFonts w:hint="eastAsia"/>
        </w:rPr>
        <w:tab/>
      </w:r>
      <w:r>
        <w:rPr>
          <w:rFonts w:hint="eastAsia"/>
        </w:rPr>
        <w:t>随着</w:t>
      </w:r>
      <w:r>
        <w:rPr>
          <w:rFonts w:hint="eastAsia"/>
        </w:rPr>
        <w:t>2001</w:t>
      </w:r>
      <w:r>
        <w:rPr>
          <w:rFonts w:hint="eastAsia"/>
        </w:rPr>
        <w:t>年</w:t>
      </w:r>
      <w:r>
        <w:rPr>
          <w:rFonts w:hint="eastAsia"/>
        </w:rPr>
        <w:t>12</w:t>
      </w:r>
      <w:r>
        <w:rPr>
          <w:rFonts w:hint="eastAsia"/>
        </w:rPr>
        <w:t>月</w:t>
      </w:r>
      <w:r>
        <w:rPr>
          <w:rFonts w:hint="eastAsia"/>
        </w:rPr>
        <w:t>20</w:t>
      </w:r>
      <w:r>
        <w:rPr>
          <w:rFonts w:hint="eastAsia"/>
        </w:rPr>
        <w:t>日《社会保险法》修正案的正式生效，一整套对职业安全和健康的管理体系已经建立起来，其中规定了对于得到劳工和社会福利部认定的企业在计算预防职业风险的保险费时其保费系数是</w:t>
      </w:r>
      <w:r>
        <w:rPr>
          <w:rFonts w:hint="eastAsia"/>
        </w:rPr>
        <w:t>2.2</w:t>
      </w:r>
      <w:r>
        <w:rPr>
          <w:rFonts w:hint="eastAsia"/>
        </w:rPr>
        <w:t>。</w:t>
      </w:r>
    </w:p>
    <w:p w:rsidR="00000000" w:rsidRDefault="00457650">
      <w:pPr>
        <w:widowControl/>
        <w:tabs>
          <w:tab w:val="left" w:pos="630"/>
        </w:tabs>
        <w:spacing w:after="240" w:line="360" w:lineRule="exact"/>
        <w:rPr>
          <w:rFonts w:hint="eastAsia"/>
        </w:rPr>
      </w:pPr>
      <w:r>
        <w:rPr>
          <w:rFonts w:hint="eastAsia"/>
        </w:rPr>
        <w:t>239.</w:t>
      </w:r>
      <w:r>
        <w:rPr>
          <w:rFonts w:hint="eastAsia"/>
        </w:rPr>
        <w:tab/>
      </w:r>
      <w:r>
        <w:rPr>
          <w:rFonts w:hint="eastAsia"/>
        </w:rPr>
        <w:t>劳工和社会福利部通过对工作场所进行视察保证遵守职业安全</w:t>
      </w:r>
      <w:r>
        <w:rPr>
          <w:rFonts w:hint="eastAsia"/>
        </w:rPr>
        <w:t>和健康条款。在</w:t>
      </w:r>
      <w:r>
        <w:rPr>
          <w:rFonts w:hint="eastAsia"/>
        </w:rPr>
        <w:t>2004</w:t>
      </w:r>
      <w:r>
        <w:rPr>
          <w:rFonts w:hint="eastAsia"/>
        </w:rPr>
        <w:t>年</w:t>
      </w:r>
      <w:r>
        <w:rPr>
          <w:rFonts w:hint="eastAsia"/>
        </w:rPr>
        <w:t>1</w:t>
      </w:r>
      <w:r>
        <w:rPr>
          <w:rFonts w:hint="eastAsia"/>
        </w:rPr>
        <w:t>月至</w:t>
      </w:r>
      <w:r>
        <w:rPr>
          <w:rFonts w:hint="eastAsia"/>
        </w:rPr>
        <w:t>6</w:t>
      </w:r>
      <w:r>
        <w:rPr>
          <w:rFonts w:hint="eastAsia"/>
        </w:rPr>
        <w:t>月，对联邦管理范围内的</w:t>
      </w:r>
      <w:r>
        <w:rPr>
          <w:rFonts w:hint="eastAsia"/>
        </w:rPr>
        <w:t>4 500</w:t>
      </w:r>
      <w:r>
        <w:rPr>
          <w:rFonts w:hint="eastAsia"/>
        </w:rPr>
        <w:t>个企业进行了视察，以确定雇员的工作条件。</w:t>
      </w:r>
    </w:p>
    <w:p w:rsidR="00000000" w:rsidRDefault="00457650">
      <w:pPr>
        <w:widowControl/>
        <w:tabs>
          <w:tab w:val="left" w:pos="630"/>
        </w:tabs>
        <w:spacing w:after="240" w:line="360" w:lineRule="exact"/>
        <w:rPr>
          <w:rFonts w:hint="eastAsia"/>
        </w:rPr>
      </w:pPr>
      <w:r>
        <w:rPr>
          <w:rFonts w:hint="eastAsia"/>
        </w:rPr>
        <w:t>240.</w:t>
      </w:r>
      <w:r>
        <w:rPr>
          <w:rFonts w:hint="eastAsia"/>
        </w:rPr>
        <w:tab/>
      </w:r>
      <w:r>
        <w:rPr>
          <w:rFonts w:hint="eastAsia"/>
        </w:rPr>
        <w:t>还应提到的是除了这种视察，还有保证雇员工作场所符合安全和健康规定的自愿机制：</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雇员和工人负责安全和健康问题计划；</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核查单位——劳工和社会福利部认可和批准的由自然人或法人运作的私人检查机构。</w:t>
      </w:r>
    </w:p>
    <w:p w:rsidR="00000000" w:rsidRDefault="00457650">
      <w:pPr>
        <w:widowControl/>
        <w:tabs>
          <w:tab w:val="left" w:pos="630"/>
        </w:tabs>
        <w:spacing w:after="240" w:line="360" w:lineRule="exact"/>
        <w:rPr>
          <w:rFonts w:hint="eastAsia"/>
        </w:rPr>
      </w:pPr>
      <w:r>
        <w:rPr>
          <w:rFonts w:hint="eastAsia"/>
        </w:rPr>
        <w:t>241.</w:t>
      </w:r>
      <w:r>
        <w:rPr>
          <w:rFonts w:hint="eastAsia"/>
        </w:rPr>
        <w:tab/>
      </w:r>
      <w:r>
        <w:rPr>
          <w:rFonts w:hint="eastAsia"/>
        </w:rPr>
        <w:t>职业安全和健康管理框架适用于墨西哥所有工作场所，无论其活动的性质如何。</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17</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242.</w:t>
      </w:r>
      <w:r>
        <w:rPr>
          <w:rFonts w:hint="eastAsia"/>
        </w:rPr>
        <w:tab/>
      </w:r>
      <w:r>
        <w:rPr>
          <w:rFonts w:hint="eastAsia"/>
        </w:rPr>
        <w:t>今天，参加工作的妇女显著增加。正规的经济市场发生了很大的变化，据记录，妇女参加工作的比例从</w:t>
      </w:r>
      <w:r>
        <w:rPr>
          <w:rFonts w:hint="eastAsia"/>
        </w:rPr>
        <w:t>1970</w:t>
      </w:r>
      <w:r>
        <w:rPr>
          <w:rFonts w:hint="eastAsia"/>
        </w:rPr>
        <w:t>年的</w:t>
      </w:r>
      <w:r>
        <w:rPr>
          <w:rFonts w:hint="eastAsia"/>
        </w:rPr>
        <w:t>1</w:t>
      </w:r>
      <w:r>
        <w:rPr>
          <w:rFonts w:hint="eastAsia"/>
        </w:rPr>
        <w:t>7.6%</w:t>
      </w:r>
      <w:r>
        <w:rPr>
          <w:rFonts w:hint="eastAsia"/>
        </w:rPr>
        <w:t>上升到</w:t>
      </w:r>
      <w:r>
        <w:rPr>
          <w:rFonts w:hint="eastAsia"/>
        </w:rPr>
        <w:t>2000</w:t>
      </w:r>
      <w:r>
        <w:rPr>
          <w:rFonts w:hint="eastAsia"/>
        </w:rPr>
        <w:t>年</w:t>
      </w:r>
      <w:r>
        <w:rPr>
          <w:rFonts w:hint="eastAsia"/>
        </w:rPr>
        <w:t>36.4%</w:t>
      </w:r>
      <w:r>
        <w:rPr>
          <w:rFonts w:hint="eastAsia"/>
        </w:rPr>
        <w:t>。在国民经济的一些活动部门，妇女参加工作的比例已经等同于男性。男性参加工作的比例略有下降，从</w:t>
      </w:r>
      <w:r>
        <w:rPr>
          <w:rFonts w:hint="eastAsia"/>
        </w:rPr>
        <w:t>1995</w:t>
      </w:r>
      <w:r>
        <w:rPr>
          <w:rFonts w:hint="eastAsia"/>
        </w:rPr>
        <w:t>年的</w:t>
      </w:r>
      <w:r>
        <w:rPr>
          <w:rFonts w:hint="eastAsia"/>
        </w:rPr>
        <w:t>78.2%</w:t>
      </w:r>
      <w:r>
        <w:rPr>
          <w:rFonts w:hint="eastAsia"/>
        </w:rPr>
        <w:t>下降到</w:t>
      </w:r>
      <w:r>
        <w:rPr>
          <w:rFonts w:hint="eastAsia"/>
        </w:rPr>
        <w:t>2000</w:t>
      </w:r>
      <w:r>
        <w:rPr>
          <w:rFonts w:hint="eastAsia"/>
        </w:rPr>
        <w:t>年的</w:t>
      </w:r>
      <w:r>
        <w:rPr>
          <w:rFonts w:hint="eastAsia"/>
        </w:rPr>
        <w:t>76.8%</w:t>
      </w:r>
      <w:r>
        <w:rPr>
          <w:rFonts w:hint="eastAsia"/>
        </w:rPr>
        <w:t>。</w:t>
      </w:r>
    </w:p>
    <w:p w:rsidR="00000000" w:rsidRDefault="00457650">
      <w:pPr>
        <w:widowControl/>
        <w:tabs>
          <w:tab w:val="left" w:pos="630"/>
        </w:tabs>
        <w:spacing w:after="240" w:line="360" w:lineRule="exact"/>
        <w:rPr>
          <w:rFonts w:hint="eastAsia"/>
        </w:rPr>
      </w:pPr>
      <w:r>
        <w:rPr>
          <w:rFonts w:hint="eastAsia"/>
        </w:rPr>
        <w:t>243.</w:t>
      </w:r>
      <w:r>
        <w:rPr>
          <w:rFonts w:hint="eastAsia"/>
        </w:rPr>
        <w:tab/>
      </w:r>
      <w:r>
        <w:rPr>
          <w:rFonts w:hint="eastAsia"/>
        </w:rPr>
        <w:t>妇女更多地参与生产性活动首先是为了增加家庭收入；其次是为了适应妇女快速提高的教育水平，这使妇女能够进入自己愿意的工作领域。教育水平越高，进入劳动力市场的比例就越高。根据全国就业普查，</w:t>
      </w:r>
      <w:r>
        <w:rPr>
          <w:rFonts w:hint="eastAsia"/>
        </w:rPr>
        <w:t xml:space="preserve"> 1995</w:t>
      </w:r>
      <w:r>
        <w:rPr>
          <w:rFonts w:hint="eastAsia"/>
        </w:rPr>
        <w:t>年至</w:t>
      </w:r>
      <w:r>
        <w:rPr>
          <w:rFonts w:hint="eastAsia"/>
        </w:rPr>
        <w:t>2000</w:t>
      </w:r>
      <w:r>
        <w:rPr>
          <w:rFonts w:hint="eastAsia"/>
        </w:rPr>
        <w:t>年，受过中等和高等教育的人口分别达到了</w:t>
      </w:r>
      <w:r>
        <w:rPr>
          <w:rFonts w:hint="eastAsia"/>
        </w:rPr>
        <w:t>73.7%</w:t>
      </w:r>
      <w:r>
        <w:rPr>
          <w:rFonts w:hint="eastAsia"/>
        </w:rPr>
        <w:t>和</w:t>
      </w:r>
      <w:r>
        <w:rPr>
          <w:rFonts w:hint="eastAsia"/>
        </w:rPr>
        <w:t>74.3%</w:t>
      </w:r>
      <w:r>
        <w:rPr>
          <w:rFonts w:hint="eastAsia"/>
        </w:rPr>
        <w:t>。</w:t>
      </w:r>
    </w:p>
    <w:p w:rsidR="00000000" w:rsidRDefault="00457650">
      <w:pPr>
        <w:widowControl/>
        <w:tabs>
          <w:tab w:val="left" w:pos="630"/>
        </w:tabs>
        <w:spacing w:after="240" w:line="360" w:lineRule="exact"/>
        <w:rPr>
          <w:rFonts w:hint="eastAsia"/>
        </w:rPr>
      </w:pPr>
      <w:r>
        <w:rPr>
          <w:rFonts w:hint="eastAsia"/>
        </w:rPr>
        <w:t>244.</w:t>
      </w:r>
      <w:r>
        <w:rPr>
          <w:rFonts w:hint="eastAsia"/>
        </w:rPr>
        <w:tab/>
      </w:r>
      <w:r>
        <w:rPr>
          <w:rFonts w:hint="eastAsia"/>
        </w:rPr>
        <w:t>参加工作的已婚妇女从</w:t>
      </w:r>
      <w:r>
        <w:rPr>
          <w:rFonts w:hint="eastAsia"/>
        </w:rPr>
        <w:t>1995</w:t>
      </w:r>
      <w:r>
        <w:rPr>
          <w:rFonts w:hint="eastAsia"/>
        </w:rPr>
        <w:t>年的</w:t>
      </w:r>
      <w:r>
        <w:rPr>
          <w:rFonts w:hint="eastAsia"/>
        </w:rPr>
        <w:t>29.8%</w:t>
      </w:r>
      <w:r>
        <w:rPr>
          <w:rFonts w:hint="eastAsia"/>
        </w:rPr>
        <w:t>上</w:t>
      </w:r>
      <w:r>
        <w:rPr>
          <w:rFonts w:hint="eastAsia"/>
        </w:rPr>
        <w:t>升到</w:t>
      </w:r>
      <w:r>
        <w:rPr>
          <w:rFonts w:hint="eastAsia"/>
        </w:rPr>
        <w:t>2000</w:t>
      </w:r>
      <w:r>
        <w:rPr>
          <w:rFonts w:hint="eastAsia"/>
        </w:rPr>
        <w:t>年的</w:t>
      </w:r>
      <w:r>
        <w:rPr>
          <w:rFonts w:hint="eastAsia"/>
        </w:rPr>
        <w:t>34.5%</w:t>
      </w:r>
      <w:r>
        <w:rPr>
          <w:rFonts w:hint="eastAsia"/>
        </w:rPr>
        <w:t>。但是，对于家庭女户主而言，她们的比例更高。就年龄而言，妇女参加工作的最高年龄是</w:t>
      </w:r>
      <w:r>
        <w:rPr>
          <w:rFonts w:hint="eastAsia"/>
        </w:rPr>
        <w:t>20-49</w:t>
      </w:r>
      <w:r>
        <w:rPr>
          <w:rFonts w:hint="eastAsia"/>
        </w:rPr>
        <w:t>岁；</w:t>
      </w:r>
      <w:r>
        <w:rPr>
          <w:rFonts w:hint="eastAsia"/>
        </w:rPr>
        <w:t xml:space="preserve"> 1995</w:t>
      </w:r>
      <w:r>
        <w:rPr>
          <w:rFonts w:hint="eastAsia"/>
        </w:rPr>
        <w:t>年至</w:t>
      </w:r>
      <w:r>
        <w:rPr>
          <w:rFonts w:hint="eastAsia"/>
        </w:rPr>
        <w:t>2000</w:t>
      </w:r>
      <w:r>
        <w:rPr>
          <w:rFonts w:hint="eastAsia"/>
        </w:rPr>
        <w:t>年，这个年龄段的人口参加工作的比例从</w:t>
      </w:r>
      <w:r>
        <w:rPr>
          <w:rFonts w:hint="eastAsia"/>
        </w:rPr>
        <w:t>43.4%</w:t>
      </w:r>
      <w:r>
        <w:rPr>
          <w:rFonts w:hint="eastAsia"/>
        </w:rPr>
        <w:t>上升到</w:t>
      </w:r>
      <w:r>
        <w:rPr>
          <w:rFonts w:hint="eastAsia"/>
        </w:rPr>
        <w:t>45.8%</w:t>
      </w:r>
      <w:r>
        <w:rPr>
          <w:rFonts w:hint="eastAsia"/>
        </w:rPr>
        <w:t>。</w:t>
      </w:r>
    </w:p>
    <w:p w:rsidR="00000000" w:rsidRDefault="00457650">
      <w:pPr>
        <w:widowControl/>
        <w:tabs>
          <w:tab w:val="left" w:pos="630"/>
        </w:tabs>
        <w:spacing w:after="240" w:line="360" w:lineRule="exact"/>
        <w:rPr>
          <w:rFonts w:hint="eastAsia"/>
        </w:rPr>
      </w:pPr>
      <w:r>
        <w:rPr>
          <w:rFonts w:hint="eastAsia"/>
        </w:rPr>
        <w:t>245.</w:t>
      </w:r>
      <w:r>
        <w:rPr>
          <w:rFonts w:hint="eastAsia"/>
        </w:rPr>
        <w:tab/>
      </w:r>
      <w:r>
        <w:rPr>
          <w:rFonts w:hint="eastAsia"/>
        </w:rPr>
        <w:t>但是，国家妇女协会（一个负责制定妇女公共政策指南的政府组织）承认，近年来妇女参加工作的比例在逐步变化，但参加工作的妇女人数却在日益增加，不过，她们始终面临各种严重困难，如职业隔离，这导致妇女集中在特定的工作领域或经济活动中，例如服务业（医药、教育、娱乐和家政）或商业领域，而男性则集中在其他领域</w:t>
      </w:r>
      <w:r>
        <w:rPr>
          <w:rFonts w:hint="eastAsia"/>
        </w:rPr>
        <w:t>（通常报酬更高），例如建筑业、交通运输、公共管理和防务。</w:t>
      </w:r>
    </w:p>
    <w:p w:rsidR="00000000" w:rsidRDefault="00457650">
      <w:pPr>
        <w:widowControl/>
        <w:tabs>
          <w:tab w:val="left" w:pos="630"/>
        </w:tabs>
        <w:spacing w:after="240" w:line="360" w:lineRule="exact"/>
        <w:rPr>
          <w:rFonts w:hint="eastAsia"/>
        </w:rPr>
      </w:pPr>
      <w:r>
        <w:rPr>
          <w:rFonts w:hint="eastAsia"/>
        </w:rPr>
        <w:t>246.</w:t>
      </w:r>
      <w:r>
        <w:rPr>
          <w:rFonts w:hint="eastAsia"/>
        </w:rPr>
        <w:tab/>
      </w:r>
      <w:r>
        <w:rPr>
          <w:rFonts w:hint="eastAsia"/>
        </w:rPr>
        <w:t>妇女协会认为还存在另一种形式的歧视，即根据从业人员的不同而对某个特定活动给予不同的价值，例如，对男性称呼是“销售代理商”，而对女性称呼是“女售货员”；男性以此为由获得了多于女性的收入。另一种经常出现的情况是，女性担任的职务社会声望低于男性，而且没有机会在其工作的组织中参与管理决策；或者她们在获得或保留工作时被要求提供证据证明自己未怀孕。其中最严重的一个问题是性骚扰，这个问题在很多工作场所都会遇到；这表明上司和同事许多具有性倾向的行为模式是令</w:t>
      </w:r>
      <w:r>
        <w:rPr>
          <w:rFonts w:hint="eastAsia"/>
        </w:rPr>
        <w:t>女性反感的，冒犯到她们的尊严并使她们的工作面临危险。</w:t>
      </w:r>
    </w:p>
    <w:p w:rsidR="00000000" w:rsidRDefault="00457650">
      <w:pPr>
        <w:widowControl/>
        <w:tabs>
          <w:tab w:val="left" w:pos="630"/>
        </w:tabs>
        <w:spacing w:after="240" w:line="360" w:lineRule="exact"/>
        <w:rPr>
          <w:rFonts w:eastAsia="SimHei" w:hint="eastAsia"/>
        </w:rPr>
      </w:pPr>
      <w:r>
        <w:rPr>
          <w:rFonts w:eastAsia="SimHei" w:hint="eastAsia"/>
        </w:rPr>
        <w:tab/>
      </w:r>
      <w:r>
        <w:rPr>
          <w:rFonts w:eastAsia="SimHei" w:hint="eastAsia"/>
        </w:rPr>
        <w:t>妇女</w:t>
      </w:r>
    </w:p>
    <w:p w:rsidR="00000000" w:rsidRDefault="00457650">
      <w:pPr>
        <w:widowControl/>
        <w:tabs>
          <w:tab w:val="left" w:pos="630"/>
        </w:tabs>
        <w:spacing w:after="240" w:line="360" w:lineRule="exact"/>
        <w:rPr>
          <w:rFonts w:hint="eastAsia"/>
        </w:rPr>
      </w:pPr>
      <w:r>
        <w:rPr>
          <w:rFonts w:hint="eastAsia"/>
        </w:rPr>
        <w:t>247.</w:t>
      </w:r>
      <w:r>
        <w:rPr>
          <w:rFonts w:hint="eastAsia"/>
        </w:rPr>
        <w:tab/>
        <w:t>5</w:t>
      </w:r>
      <w:r>
        <w:rPr>
          <w:rFonts w:hint="eastAsia"/>
        </w:rPr>
        <w:t>个州的企业、州政府和妇女协会签署了</w:t>
      </w:r>
      <w:r>
        <w:rPr>
          <w:rFonts w:hint="eastAsia"/>
        </w:rPr>
        <w:t>13</w:t>
      </w:r>
      <w:r>
        <w:rPr>
          <w:rFonts w:hint="eastAsia"/>
        </w:rPr>
        <w:t>项协议，内容涉及禁止在女性求职时，以要求提供未怀孕证明、禁止承担家庭责任和在公司哺乳为获得工作的条件。此外，劳工和社会福利部和尤卡坦州政府缔结了一份合作协议，开展活动帮助改善妇女的工作条件。一个名为“妇女工作条件更有尊严”的节目开始在电台播放，散发了</w:t>
      </w:r>
      <w:r>
        <w:rPr>
          <w:rFonts w:hint="eastAsia"/>
        </w:rPr>
        <w:t>105 000</w:t>
      </w:r>
      <w:r>
        <w:rPr>
          <w:rFonts w:hint="eastAsia"/>
        </w:rPr>
        <w:t>份信件阐述工作妇女的权利和义务，并发放了</w:t>
      </w:r>
      <w:r>
        <w:rPr>
          <w:rFonts w:hint="eastAsia"/>
        </w:rPr>
        <w:t>21 035</w:t>
      </w:r>
      <w:r>
        <w:rPr>
          <w:rFonts w:hint="eastAsia"/>
        </w:rPr>
        <w:t>份关于未孕证明和妇女工作意义的海报。</w:t>
      </w:r>
    </w:p>
    <w:p w:rsidR="00000000" w:rsidRDefault="00457650">
      <w:pPr>
        <w:widowControl/>
        <w:tabs>
          <w:tab w:val="left" w:pos="630"/>
        </w:tabs>
        <w:spacing w:after="240" w:line="360" w:lineRule="exact"/>
        <w:rPr>
          <w:rFonts w:hint="eastAsia"/>
        </w:rPr>
      </w:pPr>
      <w:r>
        <w:rPr>
          <w:rFonts w:hint="eastAsia"/>
        </w:rPr>
        <w:t>248.</w:t>
      </w:r>
      <w:r>
        <w:rPr>
          <w:rFonts w:hint="eastAsia"/>
        </w:rPr>
        <w:tab/>
      </w:r>
      <w:r>
        <w:rPr>
          <w:rFonts w:hint="eastAsia"/>
        </w:rPr>
        <w:t>与墨西哥地区工人联合会联合举行了“第</w:t>
      </w:r>
      <w:r>
        <w:rPr>
          <w:rFonts w:hint="eastAsia"/>
        </w:rPr>
        <w:t>一次全国工作妇女大会：保护母亲：工会促进两性平等运动”。在这次会议上，来自墨西哥全国不同地区的</w:t>
      </w:r>
      <w:r>
        <w:rPr>
          <w:rFonts w:hint="eastAsia"/>
        </w:rPr>
        <w:t>800</w:t>
      </w:r>
      <w:r>
        <w:rPr>
          <w:rFonts w:hint="eastAsia"/>
        </w:rPr>
        <w:t>多名女工提出了关于社会保障、</w:t>
      </w:r>
      <w:r>
        <w:rPr>
          <w:rFonts w:hint="eastAsia"/>
        </w:rPr>
        <w:t>INFONAVIT</w:t>
      </w:r>
      <w:r>
        <w:rPr>
          <w:rFonts w:hint="eastAsia"/>
        </w:rPr>
        <w:t>和家庭责任的具体建议。此外，与莫雷洛斯州妇女协会合作组织了关于性骚扰和工作中的暴力行为论坛；讨论的议题包括“性别和暴力”、“工作环境中的暴力”和“家庭暴力在工作环境中的反映”。</w:t>
      </w:r>
    </w:p>
    <w:p w:rsidR="00000000" w:rsidRDefault="00457650">
      <w:pPr>
        <w:keepNext/>
        <w:widowControl/>
        <w:tabs>
          <w:tab w:val="left" w:pos="630"/>
        </w:tabs>
        <w:spacing w:after="240" w:line="360" w:lineRule="exact"/>
        <w:rPr>
          <w:rFonts w:eastAsia="SimHei" w:hint="eastAsia"/>
        </w:rPr>
      </w:pPr>
      <w:r>
        <w:rPr>
          <w:rFonts w:eastAsia="SimHei" w:hint="eastAsia"/>
        </w:rPr>
        <w:tab/>
      </w:r>
      <w:r>
        <w:rPr>
          <w:rFonts w:eastAsia="SimHei" w:hint="eastAsia"/>
        </w:rPr>
        <w:t>未成年人</w:t>
      </w:r>
    </w:p>
    <w:p w:rsidR="00000000" w:rsidRDefault="00457650">
      <w:pPr>
        <w:keepNext/>
        <w:widowControl/>
        <w:tabs>
          <w:tab w:val="left" w:pos="630"/>
        </w:tabs>
        <w:spacing w:after="240" w:line="360" w:lineRule="exact"/>
        <w:rPr>
          <w:rFonts w:hint="eastAsia"/>
        </w:rPr>
      </w:pPr>
      <w:r>
        <w:rPr>
          <w:rFonts w:hint="eastAsia"/>
        </w:rPr>
        <w:t>249.</w:t>
      </w:r>
      <w:r>
        <w:rPr>
          <w:rFonts w:hint="eastAsia"/>
        </w:rPr>
        <w:tab/>
      </w:r>
      <w:r>
        <w:rPr>
          <w:rFonts w:hint="eastAsia"/>
        </w:rPr>
        <w:t>作为“禁止使用童工项目”的一部分，阿瓜斯卡连特斯州和瓦哈卡州州政府签订了合作协议，另外还建立了一个三方委员会，负责落实劳工组织第</w:t>
      </w:r>
      <w:r>
        <w:rPr>
          <w:rFonts w:hint="eastAsia"/>
        </w:rPr>
        <w:t>182</w:t>
      </w:r>
      <w:r>
        <w:rPr>
          <w:rFonts w:hint="eastAsia"/>
        </w:rPr>
        <w:t>号公约。与雇主和工人组织代表联合</w:t>
      </w:r>
      <w:r>
        <w:rPr>
          <w:rFonts w:hint="eastAsia"/>
        </w:rPr>
        <w:t>组织了一次会议和一个工作组，旨在防止和取消最恶劣的童工形式。</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为了保护已到达可雇用年龄的未成年人的权利，发放手册介绍未成年人作为工人的权利和责任。此外，设计了一种传单，内容是：“你认识未成年人吗？你雇用未成年人了吗？更多地了解他们的权利和保护他们的措施。”</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为了纪念“世界反童工日”，举行了主题为“你认为最恶劣的童工形式是什么？”的绘画比赛。</w:t>
      </w:r>
      <w:r>
        <w:rPr>
          <w:rFonts w:hint="eastAsia"/>
        </w:rPr>
        <w:t>27</w:t>
      </w:r>
      <w:r>
        <w:rPr>
          <w:rFonts w:hint="eastAsia"/>
        </w:rPr>
        <w:t>个州参加了这一比赛。</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作为“墨西哥支持预防与消除对儿童的商业性剥削和保护商业性剥削受害者”项目的一部分，在工厂为工会组织进行了防止和打击最恶劣童工形式的培训，并为教员</w:t>
      </w:r>
      <w:r>
        <w:rPr>
          <w:rFonts w:hint="eastAsia"/>
        </w:rPr>
        <w:t>和参加人员精心准备了培训手册。</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此外，为政府官员制定了行动程序标准，以确定、保护和照顾受到商业性剥削的男孩和女孩以及青少年受害者。已经完成了针对商业性剥削儿童的刑事司法研究。劳工组织、劳工和社会福利部和国际刑法科学研究所为在墨西哥联合采取行动奠定了基础。性剥削鉴定网络系统已经规划、建立并且投入运营。联邦警察接受了训练。</w:t>
      </w:r>
    </w:p>
    <w:p w:rsidR="00000000" w:rsidRDefault="00457650">
      <w:pPr>
        <w:widowControl/>
        <w:tabs>
          <w:tab w:val="left" w:pos="630"/>
        </w:tabs>
        <w:spacing w:after="240" w:line="360" w:lineRule="exact"/>
        <w:rPr>
          <w:rFonts w:eastAsia="SimHei" w:hint="eastAsia"/>
        </w:rPr>
      </w:pPr>
      <w:r>
        <w:rPr>
          <w:rFonts w:eastAsia="SimHei" w:hint="eastAsia"/>
        </w:rPr>
        <w:tab/>
      </w:r>
      <w:r>
        <w:rPr>
          <w:rFonts w:eastAsia="SimHei" w:hint="eastAsia"/>
        </w:rPr>
        <w:t>老年人</w:t>
      </w:r>
    </w:p>
    <w:p w:rsidR="00000000" w:rsidRDefault="00457650">
      <w:pPr>
        <w:widowControl/>
        <w:tabs>
          <w:tab w:val="left" w:pos="630"/>
        </w:tabs>
        <w:spacing w:after="240" w:line="360" w:lineRule="exact"/>
        <w:rPr>
          <w:rFonts w:hint="eastAsia"/>
        </w:rPr>
      </w:pPr>
      <w:r>
        <w:rPr>
          <w:rFonts w:hint="eastAsia"/>
        </w:rPr>
        <w:t>250.</w:t>
      </w:r>
      <w:r>
        <w:rPr>
          <w:rFonts w:hint="eastAsia"/>
        </w:rPr>
        <w:tab/>
      </w:r>
      <w:r>
        <w:rPr>
          <w:rFonts w:hint="eastAsia"/>
        </w:rPr>
        <w:t>国际老年人研究所与多个政府机构合作推动了以下活动：</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通过第二职业指导研讨会推动自营职业。这些研讨会的目的是提供必要的工具，使老年人通过第二职业指导找到新的生活方向，推动为</w:t>
      </w:r>
      <w:r>
        <w:rPr>
          <w:rFonts w:hint="eastAsia"/>
        </w:rPr>
        <w:t>工作而培训的活动并且指导创造自营职业和设立微型企业。</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组织企业家研讨会（作为第二职业指导研讨会的后续第二部分）；经济部负责主持这些研讨会。它们的目的是向未来的微型和小型企业主提供办法帮助他们了解为制定商业计划而需要采取的步骤。</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促进老年人参加工作。努力在普通社会和企业范围内宣传老年人的权利和义务，以此保证遵守这些规定。</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组织主题为“经验结硕果”的研讨会。其目的是进一步提高企业和社会的认识，使老年人的技术、能力和经验得到认可，以便他们获得、改善和保持工作，以此提高他们的生活质量。</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组织“经验在早期、学前和学校</w:t>
      </w:r>
      <w:r>
        <w:rPr>
          <w:rFonts w:hint="eastAsia"/>
        </w:rPr>
        <w:t>教育中对家庭的作用”课程。它的目标是为老年人创造工作机会，满足他们的经济需要，通过照顾儿童发展培养凝聚力，加强家庭关系。</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在企业部门宣传不歧视老年人、残疾人和艾滋病患者的就业原则。它的目的是通过在企业鼓励和提高意识来推动老年人、残疾人和艾滋病患者加入到劳动者队伍。</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spacing w:val="-2"/>
        </w:rPr>
      </w:pPr>
      <w:r>
        <w:rPr>
          <w:rFonts w:hint="eastAsia"/>
          <w:spacing w:val="-2"/>
        </w:rPr>
        <w:t>“残疾人和老年人就业专门匹配网络的协调”。它努力寻求协调加入该网络的公共、私人和民间组织的活动，通过匹配寻找工作者和用工单位，旨在推动、传播、便利和加速残疾人和老年人就业。</w:t>
      </w:r>
    </w:p>
    <w:p w:rsidR="00000000" w:rsidRDefault="00457650">
      <w:pPr>
        <w:widowControl/>
        <w:tabs>
          <w:tab w:val="left" w:pos="630"/>
        </w:tabs>
        <w:spacing w:after="240" w:line="360" w:lineRule="exact"/>
        <w:rPr>
          <w:rFonts w:eastAsia="SimHei" w:hint="eastAsia"/>
        </w:rPr>
      </w:pPr>
      <w:r>
        <w:rPr>
          <w:rFonts w:eastAsia="SimHei" w:hint="eastAsia"/>
        </w:rPr>
        <w:tab/>
      </w:r>
      <w:r>
        <w:rPr>
          <w:rFonts w:eastAsia="SimHei" w:hint="eastAsia"/>
        </w:rPr>
        <w:t>残疾人</w:t>
      </w:r>
    </w:p>
    <w:p w:rsidR="00000000" w:rsidRDefault="00457650">
      <w:pPr>
        <w:widowControl/>
        <w:tabs>
          <w:tab w:val="left" w:pos="630"/>
        </w:tabs>
        <w:spacing w:after="240" w:line="360" w:lineRule="exact"/>
        <w:rPr>
          <w:rFonts w:hint="eastAsia"/>
        </w:rPr>
      </w:pPr>
      <w:r>
        <w:rPr>
          <w:rFonts w:hint="eastAsia"/>
        </w:rPr>
        <w:t>251.</w:t>
      </w:r>
      <w:r>
        <w:rPr>
          <w:rFonts w:hint="eastAsia"/>
        </w:rPr>
        <w:tab/>
      </w:r>
      <w:r>
        <w:rPr>
          <w:rFonts w:hint="eastAsia"/>
        </w:rPr>
        <w:t>就业小组委员会是一个通过联合项目协调其组成单位工作以</w:t>
      </w:r>
      <w:r>
        <w:rPr>
          <w:rFonts w:hint="eastAsia"/>
        </w:rPr>
        <w:t>帮助残疾人就业的机构。其组成单位根据“</w:t>
      </w:r>
      <w:r>
        <w:rPr>
          <w:rFonts w:hint="eastAsia"/>
        </w:rPr>
        <w:t>2001</w:t>
      </w:r>
      <w:r>
        <w:t>-</w:t>
      </w:r>
      <w:r>
        <w:rPr>
          <w:rFonts w:hint="eastAsia"/>
        </w:rPr>
        <w:t>2006</w:t>
      </w:r>
      <w:r>
        <w:rPr>
          <w:rFonts w:hint="eastAsia"/>
        </w:rPr>
        <w:t>年残疾人就业计划”提出建议。该小组委员会包括三个工作小组，分别是“第</w:t>
      </w:r>
      <w:r>
        <w:rPr>
          <w:rFonts w:hint="eastAsia"/>
        </w:rPr>
        <w:t>159</w:t>
      </w:r>
      <w:r>
        <w:rPr>
          <w:rFonts w:hint="eastAsia"/>
        </w:rPr>
        <w:t>号公约后续活动工作小组”、“促进自营职业工作小组”和“恢复就业工作小组”。这些工作小组总共举行了</w:t>
      </w:r>
      <w:r>
        <w:rPr>
          <w:rFonts w:hint="eastAsia"/>
        </w:rPr>
        <w:t>32</w:t>
      </w:r>
      <w:r>
        <w:rPr>
          <w:rFonts w:hint="eastAsia"/>
        </w:rPr>
        <w:t>次会议，最终促使举行了“全国恢复就业大会”，聚集专家分析墨西哥残疾人恢复就业的形式，会议的目标是统一标准，简化程序并找出短期、中期和长期的问题和解决办法。</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制定了“建立残疾人就业中心计划”，利用“多重护理中心”的基础设施和人员提供职业培训，以便在这些中心内部建立就业机构，为需要这种</w:t>
      </w:r>
      <w:r>
        <w:rPr>
          <w:rFonts w:hint="eastAsia"/>
        </w:rPr>
        <w:t>服务的住院或非住院残疾人提供服务。此外，国家职业技术教育学院开展了社会职业服务活动，以支持实地工作，并进行社区残疾人就业机会普查。为此，在公共教育部组织的全国特别教育会议期间为来自全国各州的州协调员和多重护理中心就业经理组织了两个培训班。通过残疾人和老年人就业专门匹配网络为</w:t>
      </w:r>
      <w:r>
        <w:rPr>
          <w:rFonts w:hint="eastAsia"/>
        </w:rPr>
        <w:t>8</w:t>
      </w:r>
      <w:r>
        <w:rPr>
          <w:rFonts w:hint="eastAsia"/>
        </w:rPr>
        <w:t>个州提供支持建立就业中心。</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在恰帕斯州举行了四次非歧视研讨会，以提高对残疾人和艾滋病患者真实状况的注意，提高他们的受认同程度，并促进他们完全融入工作环境和社会，提供理论和现实的帮助以促进更好地了解他们生活的方式。</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同“墨西哥精神残疾者服</w:t>
      </w:r>
      <w:r>
        <w:rPr>
          <w:rFonts w:hint="eastAsia"/>
        </w:rPr>
        <w:t>务组织联合会”签署了合作协议，协议目标是联合各州推动和加强残疾人和老年人就业专门匹配网络的工作和扩大残疾人就业并提供咨询的服务。</w:t>
      </w:r>
    </w:p>
    <w:p w:rsidR="00000000" w:rsidRDefault="00457650">
      <w:pPr>
        <w:widowControl/>
        <w:tabs>
          <w:tab w:val="left" w:pos="630"/>
        </w:tabs>
        <w:spacing w:after="240" w:line="360" w:lineRule="exact"/>
        <w:rPr>
          <w:rFonts w:eastAsia="SimHei" w:hint="eastAsia"/>
        </w:rPr>
      </w:pPr>
      <w:r>
        <w:rPr>
          <w:rFonts w:eastAsia="SimHei" w:hint="eastAsia"/>
        </w:rPr>
        <w:tab/>
      </w:r>
      <w:r>
        <w:rPr>
          <w:rFonts w:eastAsia="SimHei" w:hint="eastAsia"/>
        </w:rPr>
        <w:t>土著居民</w:t>
      </w:r>
    </w:p>
    <w:p w:rsidR="00000000" w:rsidRDefault="00457650">
      <w:pPr>
        <w:widowControl/>
        <w:tabs>
          <w:tab w:val="left" w:pos="630"/>
        </w:tabs>
        <w:spacing w:after="240" w:line="360" w:lineRule="exact"/>
      </w:pPr>
      <w:r>
        <w:rPr>
          <w:rFonts w:hint="eastAsia"/>
        </w:rPr>
        <w:t>252.</w:t>
      </w:r>
      <w:r>
        <w:rPr>
          <w:rFonts w:hint="eastAsia"/>
        </w:rPr>
        <w:tab/>
      </w:r>
      <w:r>
        <w:rPr>
          <w:rFonts w:hint="eastAsia"/>
        </w:rPr>
        <w:t>这里的任务是在公平、非歧视和促进实现幸福和福利的条件下推动土著群体的就业和自营职业。为此，采取了如下措施：（</w:t>
      </w:r>
      <w:r>
        <w:rPr>
          <w:rFonts w:hint="eastAsia"/>
        </w:rPr>
        <w:t>a</w:t>
      </w:r>
      <w:r>
        <w:rPr>
          <w:rFonts w:hint="eastAsia"/>
        </w:rPr>
        <w:t>）推动这一群体的就业和自营职业；（</w:t>
      </w:r>
      <w:r>
        <w:rPr>
          <w:rFonts w:hint="eastAsia"/>
        </w:rPr>
        <w:t>b</w:t>
      </w:r>
      <w:r>
        <w:rPr>
          <w:rFonts w:hint="eastAsia"/>
        </w:rPr>
        <w:t>）将这一群体融入就业队伍。</w:t>
      </w:r>
    </w:p>
    <w:p w:rsidR="00000000" w:rsidRDefault="00457650">
      <w:pPr>
        <w:pStyle w:val="Date"/>
        <w:widowControl/>
        <w:tabs>
          <w:tab w:val="left" w:pos="630"/>
        </w:tabs>
        <w:spacing w:after="240" w:line="360" w:lineRule="exact"/>
        <w:rPr>
          <w:rFonts w:hint="eastAsia"/>
        </w:rPr>
      </w:pPr>
      <w:r>
        <w:br w:type="page"/>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促进尊重临时工劳动权利并在工作环境中不断加以实施。这可以通过以下途径实现：（</w:t>
      </w:r>
      <w:r>
        <w:rPr>
          <w:rFonts w:hint="eastAsia"/>
        </w:rPr>
        <w:t>a</w:t>
      </w:r>
      <w:r>
        <w:rPr>
          <w:rFonts w:hint="eastAsia"/>
        </w:rPr>
        <w:t>）提高雇主与临时工的社会责任（提高认识、意识）；（</w:t>
      </w:r>
      <w:r>
        <w:rPr>
          <w:rFonts w:hint="eastAsia"/>
        </w:rPr>
        <w:t>b</w:t>
      </w:r>
      <w:r>
        <w:rPr>
          <w:rFonts w:hint="eastAsia"/>
        </w:rPr>
        <w:t>）采取行动消除土著人口在工作领域所面临的不平等条件。</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针对土著居民的计划包括：（</w:t>
      </w:r>
      <w:r>
        <w:rPr>
          <w:rFonts w:hint="eastAsia"/>
        </w:rPr>
        <w:t>1</w:t>
      </w:r>
      <w:r>
        <w:rPr>
          <w:rFonts w:hint="eastAsia"/>
        </w:rPr>
        <w:t>）“</w:t>
      </w:r>
      <w:r>
        <w:rPr>
          <w:rFonts w:hint="eastAsia"/>
        </w:rPr>
        <w:t>2003</w:t>
      </w:r>
      <w:r>
        <w:rPr>
          <w:rFonts w:hint="eastAsia"/>
        </w:rPr>
        <w:t>年土著人口自营职业和就业战略计划”；（</w:t>
      </w:r>
      <w:r>
        <w:rPr>
          <w:rFonts w:hint="eastAsia"/>
        </w:rPr>
        <w:t>2</w:t>
      </w:r>
      <w:r>
        <w:rPr>
          <w:rFonts w:hint="eastAsia"/>
        </w:rPr>
        <w:t>）“农业临时工计划”。</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根据这些计划开展的活动包括：（</w:t>
      </w:r>
      <w:r>
        <w:rPr>
          <w:rFonts w:hint="eastAsia"/>
        </w:rPr>
        <w:t>1</w:t>
      </w:r>
      <w:r>
        <w:rPr>
          <w:rFonts w:hint="eastAsia"/>
        </w:rPr>
        <w:t>）通过签订合作协议促进劳工和社会福利部与各市政府的联系，以进行企业主鉴定和支持市政府为推动正式自营职业而进行的生产性项目；（</w:t>
      </w:r>
      <w:r>
        <w:rPr>
          <w:rFonts w:hint="eastAsia"/>
        </w:rPr>
        <w:t>2</w:t>
      </w:r>
      <w:r>
        <w:rPr>
          <w:rFonts w:hint="eastAsia"/>
        </w:rPr>
        <w:t>）通过签订协议促进与参加国家对话委员会的生产部门的联系；（</w:t>
      </w:r>
      <w:r>
        <w:rPr>
          <w:rFonts w:hint="eastAsia"/>
        </w:rPr>
        <w:t>3</w:t>
      </w:r>
      <w:r>
        <w:rPr>
          <w:rFonts w:hint="eastAsia"/>
        </w:rPr>
        <w:t>）为自营职业生产性计划的最终确定和执行编写和发放手册；（</w:t>
      </w:r>
      <w:r>
        <w:rPr>
          <w:rFonts w:hint="eastAsia"/>
        </w:rPr>
        <w:t>4</w:t>
      </w:r>
      <w:r>
        <w:rPr>
          <w:rFonts w:hint="eastAsia"/>
        </w:rPr>
        <w:t>）用土著语言宣传有关劳动权利的信息。</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18</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253.</w:t>
      </w:r>
      <w:r>
        <w:rPr>
          <w:rFonts w:hint="eastAsia"/>
        </w:rPr>
        <w:tab/>
      </w:r>
      <w:r>
        <w:rPr>
          <w:rFonts w:hint="eastAsia"/>
        </w:rPr>
        <w:t>《联邦劳动法》规定：</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只要始终遵守关于时限和每日工作时间的有关规定（白天</w:t>
      </w:r>
      <w:r>
        <w:rPr>
          <w:rFonts w:hint="eastAsia"/>
        </w:rPr>
        <w:t>工作</w:t>
      </w:r>
      <w:r>
        <w:rPr>
          <w:rFonts w:hint="eastAsia"/>
        </w:rPr>
        <w:t>8</w:t>
      </w:r>
      <w:r>
        <w:rPr>
          <w:rFonts w:hint="eastAsia"/>
        </w:rPr>
        <w:t>小时；夜晚工作</w:t>
      </w:r>
      <w:r>
        <w:rPr>
          <w:rFonts w:hint="eastAsia"/>
        </w:rPr>
        <w:t>7</w:t>
      </w:r>
      <w:r>
        <w:rPr>
          <w:rFonts w:hint="eastAsia"/>
        </w:rPr>
        <w:t>小时；部分白天、部分夜晚工作</w:t>
      </w:r>
      <w:r>
        <w:rPr>
          <w:rFonts w:hint="eastAsia"/>
        </w:rPr>
        <w:t>7</w:t>
      </w:r>
      <w:r>
        <w:rPr>
          <w:rFonts w:hint="eastAsia"/>
        </w:rPr>
        <w:t>小时</w:t>
      </w:r>
      <w:r>
        <w:rPr>
          <w:rFonts w:hint="eastAsia"/>
        </w:rPr>
        <w:t>30</w:t>
      </w:r>
      <w:r>
        <w:rPr>
          <w:rFonts w:hint="eastAsia"/>
        </w:rPr>
        <w:t>分），雇主和工人可自由确定最方便适合的工作时间。所有的工人都有</w:t>
      </w:r>
      <w:r>
        <w:rPr>
          <w:rFonts w:hint="eastAsia"/>
        </w:rPr>
        <w:t>30</w:t>
      </w:r>
      <w:r>
        <w:rPr>
          <w:rFonts w:hint="eastAsia"/>
        </w:rPr>
        <w:t>分钟的休息时间。关于加班，该法规定如果工人超过正常工作时间，他应按照额外工作的时间获得报酬：加班头</w:t>
      </w:r>
      <w:r>
        <w:rPr>
          <w:rFonts w:hint="eastAsia"/>
        </w:rPr>
        <w:t>9</w:t>
      </w:r>
      <w:r>
        <w:rPr>
          <w:rFonts w:hint="eastAsia"/>
        </w:rPr>
        <w:t>个小时获得两倍报酬，超过</w:t>
      </w:r>
      <w:r>
        <w:rPr>
          <w:rFonts w:hint="eastAsia"/>
        </w:rPr>
        <w:t>9</w:t>
      </w:r>
      <w:r>
        <w:rPr>
          <w:rFonts w:hint="eastAsia"/>
        </w:rPr>
        <w:t>个小时部分获得</w:t>
      </w:r>
      <w:r>
        <w:rPr>
          <w:rFonts w:hint="eastAsia"/>
        </w:rPr>
        <w:t>3</w:t>
      </w:r>
      <w:r>
        <w:rPr>
          <w:rFonts w:hint="eastAsia"/>
        </w:rPr>
        <w:t>倍报酬。不能强迫工人超过法律规定的时间工作。如果需要在周日或公共假日工作，工人应按照前者工资和后者两倍工资的</w:t>
      </w:r>
      <w:r>
        <w:rPr>
          <w:rFonts w:hint="eastAsia"/>
        </w:rPr>
        <w:t>25%</w:t>
      </w:r>
      <w:r>
        <w:rPr>
          <w:rFonts w:hint="eastAsia"/>
        </w:rPr>
        <w:t>获得奖金。</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对于定期休假，该法规定工人在工资一年之后有权获得</w:t>
      </w:r>
      <w:r>
        <w:rPr>
          <w:rFonts w:hint="eastAsia"/>
        </w:rPr>
        <w:t>6</w:t>
      </w:r>
      <w:r>
        <w:rPr>
          <w:rFonts w:hint="eastAsia"/>
        </w:rPr>
        <w:t>天休息时间；每工作</w:t>
      </w:r>
      <w:r>
        <w:rPr>
          <w:rFonts w:hint="eastAsia"/>
        </w:rPr>
        <w:t>5</w:t>
      </w:r>
      <w:r>
        <w:rPr>
          <w:rFonts w:hint="eastAsia"/>
        </w:rPr>
        <w:t>年增加</w:t>
      </w:r>
      <w:r>
        <w:rPr>
          <w:rFonts w:hint="eastAsia"/>
        </w:rPr>
        <w:t>2</w:t>
      </w:r>
      <w:r>
        <w:rPr>
          <w:rFonts w:hint="eastAsia"/>
        </w:rPr>
        <w:t>天休息时间。在所有情况下他都毫无例外地获</w:t>
      </w:r>
      <w:r>
        <w:rPr>
          <w:rFonts w:hint="eastAsia"/>
        </w:rPr>
        <w:t>得其应得的报酬和假日奖金。</w:t>
      </w:r>
      <w:r>
        <w:rPr>
          <w:rStyle w:val="FootnoteReference"/>
          <w:szCs w:val="21"/>
        </w:rPr>
        <w:footnoteReference w:id="14"/>
      </w:r>
    </w:p>
    <w:p w:rsidR="00000000" w:rsidRDefault="00457650">
      <w:pPr>
        <w:widowControl/>
        <w:tabs>
          <w:tab w:val="left" w:pos="630"/>
        </w:tabs>
        <w:spacing w:after="240" w:line="360" w:lineRule="exact"/>
        <w:rPr>
          <w:rFonts w:hint="eastAsia"/>
        </w:rPr>
      </w:pPr>
      <w:r>
        <w:rPr>
          <w:rFonts w:hint="eastAsia"/>
        </w:rPr>
        <w:t>254.</w:t>
      </w:r>
      <w:r>
        <w:rPr>
          <w:rFonts w:hint="eastAsia"/>
        </w:rPr>
        <w:tab/>
      </w:r>
      <w:r>
        <w:rPr>
          <w:rFonts w:hint="eastAsia"/>
        </w:rPr>
        <w:t>原则上，工人在行使《联邦劳动法》所规定的工作时间、每周休息日和强制休息日方面的权利时不得有任何障碍，享有定期休假和加班报酬、周日奖金和假日奖金。</w:t>
      </w:r>
    </w:p>
    <w:p w:rsidR="00000000" w:rsidRDefault="00457650">
      <w:pPr>
        <w:widowControl/>
        <w:tabs>
          <w:tab w:val="left" w:pos="630"/>
        </w:tabs>
        <w:spacing w:after="240" w:line="360" w:lineRule="exact"/>
        <w:rPr>
          <w:rFonts w:hint="eastAsia"/>
        </w:rPr>
      </w:pPr>
      <w:r>
        <w:rPr>
          <w:rFonts w:hint="eastAsia"/>
        </w:rPr>
        <w:t>255.</w:t>
      </w:r>
      <w:r>
        <w:rPr>
          <w:rFonts w:hint="eastAsia"/>
        </w:rPr>
        <w:tab/>
      </w:r>
      <w:r>
        <w:rPr>
          <w:rFonts w:hint="eastAsia"/>
        </w:rPr>
        <w:t>这样说是因为所有这些权利可以求助于已实行的法律机制，使工人能够要求实现这些权利。</w:t>
      </w:r>
    </w:p>
    <w:p w:rsidR="00000000" w:rsidRDefault="00457650">
      <w:pPr>
        <w:widowControl/>
        <w:tabs>
          <w:tab w:val="left" w:pos="630"/>
        </w:tabs>
        <w:spacing w:after="240" w:line="360" w:lineRule="exact"/>
        <w:rPr>
          <w:rFonts w:hint="eastAsia"/>
        </w:rPr>
      </w:pPr>
      <w:r>
        <w:rPr>
          <w:rFonts w:hint="eastAsia"/>
        </w:rPr>
        <w:t>256.</w:t>
      </w:r>
      <w:r>
        <w:rPr>
          <w:rFonts w:hint="eastAsia"/>
        </w:rPr>
        <w:tab/>
      </w:r>
      <w:r>
        <w:rPr>
          <w:rFonts w:hint="eastAsia"/>
        </w:rPr>
        <w:t>因此，工人可以通过保护工人权利的公共机构或单位获得公正待遇，这些组织向他们免费提供法律咨询，使工人能够获得和实现已达成的利益；或者，工人还可以授权该机构或单位代表自己提出要求并采取后续行动以实现自己的权利。</w:t>
      </w:r>
    </w:p>
    <w:p w:rsidR="00000000" w:rsidRDefault="00457650">
      <w:pPr>
        <w:widowControl/>
        <w:tabs>
          <w:tab w:val="left" w:pos="630"/>
        </w:tabs>
        <w:spacing w:after="240" w:line="360" w:lineRule="exact"/>
        <w:rPr>
          <w:rFonts w:hint="eastAsia"/>
        </w:rPr>
      </w:pPr>
      <w:r>
        <w:rPr>
          <w:rFonts w:hint="eastAsia"/>
        </w:rPr>
        <w:t>257.</w:t>
      </w:r>
      <w:r>
        <w:rPr>
          <w:rFonts w:hint="eastAsia"/>
        </w:rPr>
        <w:tab/>
      </w:r>
      <w:r>
        <w:rPr>
          <w:rFonts w:hint="eastAsia"/>
        </w:rPr>
        <w:t>在大多</w:t>
      </w:r>
      <w:r>
        <w:rPr>
          <w:rFonts w:hint="eastAsia"/>
        </w:rPr>
        <w:t>数情况下，工人的权利是有保障的，因此除了《宪法》和法律的保护，他们还签订了集体或个人劳动合同。如果没有这些文件，雇主也不得取消工人的权利，因为还有相关法律的规定。如果没有享受这些权利，工人可以通过劳动法庭求助于司法。</w:t>
      </w:r>
    </w:p>
    <w:p w:rsidR="00000000" w:rsidRDefault="00457650">
      <w:pPr>
        <w:widowControl/>
        <w:tabs>
          <w:tab w:val="left" w:pos="630"/>
        </w:tabs>
        <w:spacing w:after="240" w:line="360" w:lineRule="exact"/>
        <w:rPr>
          <w:rFonts w:hint="eastAsia"/>
        </w:rPr>
      </w:pPr>
      <w:r>
        <w:rPr>
          <w:rFonts w:hint="eastAsia"/>
        </w:rPr>
        <w:t>258.</w:t>
      </w:r>
      <w:r>
        <w:rPr>
          <w:rFonts w:hint="eastAsia"/>
        </w:rPr>
        <w:tab/>
      </w:r>
      <w:r>
        <w:rPr>
          <w:rFonts w:hint="eastAsia"/>
        </w:rPr>
        <w:t>此外，工人有自己的工会，其目的是研究、提高和保护工人权利；因此他们采取行动实现这些权利，如果必要的话可以行使罢工权。</w:t>
      </w:r>
    </w:p>
    <w:p w:rsidR="00000000" w:rsidRDefault="00457650">
      <w:pPr>
        <w:widowControl/>
        <w:tabs>
          <w:tab w:val="left" w:pos="630"/>
        </w:tabs>
        <w:spacing w:after="240" w:line="360" w:lineRule="exact"/>
        <w:rPr>
          <w:rFonts w:hint="eastAsia"/>
        </w:rPr>
      </w:pPr>
      <w:r>
        <w:rPr>
          <w:rFonts w:hint="eastAsia"/>
        </w:rPr>
        <w:t>259.</w:t>
      </w:r>
      <w:r>
        <w:rPr>
          <w:rFonts w:hint="eastAsia"/>
        </w:rPr>
        <w:tab/>
      </w:r>
      <w:r>
        <w:rPr>
          <w:rFonts w:hint="eastAsia"/>
        </w:rPr>
        <w:t>阻碍工人行使权利的一个困难是，他们没有向合适的管理机构报告他们的权利没有得到尊重，或者没有求助于法律救济措施。</w:t>
      </w:r>
    </w:p>
    <w:p w:rsidR="00000000" w:rsidRDefault="00457650">
      <w:pPr>
        <w:widowControl/>
        <w:tabs>
          <w:tab w:val="left" w:pos="630"/>
        </w:tabs>
        <w:spacing w:after="240" w:line="360" w:lineRule="exact"/>
        <w:rPr>
          <w:rFonts w:hint="eastAsia"/>
        </w:rPr>
      </w:pPr>
      <w:r>
        <w:rPr>
          <w:rFonts w:hint="eastAsia"/>
        </w:rPr>
        <w:t>260.</w:t>
      </w:r>
      <w:r>
        <w:rPr>
          <w:rFonts w:hint="eastAsia"/>
        </w:rPr>
        <w:tab/>
      </w:r>
      <w:r>
        <w:rPr>
          <w:rFonts w:hint="eastAsia"/>
        </w:rPr>
        <w:t>如上所述，《宪法》和</w:t>
      </w:r>
      <w:r>
        <w:rPr>
          <w:rFonts w:hint="eastAsia"/>
        </w:rPr>
        <w:t>LFT</w:t>
      </w:r>
      <w:r>
        <w:rPr>
          <w:rFonts w:hint="eastAsia"/>
        </w:rPr>
        <w:t>禁止任何</w:t>
      </w:r>
      <w:r>
        <w:rPr>
          <w:rFonts w:hint="eastAsia"/>
        </w:rPr>
        <w:t>形式的歧视；因此原则上没有排斥。工人认为他们的法定权利受到侵犯可以获得法律救济以保障其权利的实现。</w:t>
      </w:r>
    </w:p>
    <w:p w:rsidR="00000000" w:rsidRDefault="00457650">
      <w:pPr>
        <w:widowControl/>
        <w:tabs>
          <w:tab w:val="left" w:pos="630"/>
        </w:tabs>
        <w:spacing w:after="240" w:line="360" w:lineRule="exact"/>
        <w:rPr>
          <w:rFonts w:hint="eastAsia"/>
        </w:rPr>
      </w:pPr>
      <w:r>
        <w:rPr>
          <w:rFonts w:hint="eastAsia"/>
        </w:rPr>
        <w:t>261.</w:t>
      </w:r>
      <w:r>
        <w:rPr>
          <w:rFonts w:hint="eastAsia"/>
        </w:rPr>
        <w:tab/>
      </w:r>
      <w:r>
        <w:rPr>
          <w:rFonts w:hint="eastAsia"/>
        </w:rPr>
        <w:t>因为我们的基本法确认了权利平等，不得以性别、种族、年龄、宗教信仰、社会地位、健康或性取向为理由加以区分，所以联邦法律和墨西哥遵守的关于劳动事项的国际条约都必须符合这一原则。</w:t>
      </w:r>
    </w:p>
    <w:p w:rsidR="00000000" w:rsidRDefault="00457650">
      <w:pPr>
        <w:widowControl/>
        <w:tabs>
          <w:tab w:val="left" w:pos="630"/>
        </w:tabs>
        <w:spacing w:after="240" w:line="360" w:lineRule="exact"/>
        <w:rPr>
          <w:rFonts w:hint="eastAsia"/>
        </w:rPr>
      </w:pPr>
      <w:r>
        <w:rPr>
          <w:rFonts w:hint="eastAsia"/>
        </w:rPr>
        <w:t>262.</w:t>
      </w:r>
      <w:r>
        <w:rPr>
          <w:rFonts w:hint="eastAsia"/>
        </w:rPr>
        <w:tab/>
      </w:r>
      <w:r>
        <w:rPr>
          <w:rFonts w:hint="eastAsia"/>
        </w:rPr>
        <w:t>以上重新确认了《联邦劳动法》第</w:t>
      </w:r>
      <w:r>
        <w:rPr>
          <w:rFonts w:hint="eastAsia"/>
        </w:rPr>
        <w:t>3</w:t>
      </w:r>
      <w:r>
        <w:rPr>
          <w:rFonts w:hint="eastAsia"/>
        </w:rPr>
        <w:t>条、第</w:t>
      </w:r>
      <w:r>
        <w:rPr>
          <w:rFonts w:hint="eastAsia"/>
        </w:rPr>
        <w:t>133</w:t>
      </w:r>
      <w:r>
        <w:rPr>
          <w:rFonts w:hint="eastAsia"/>
        </w:rPr>
        <w:t>条（第</w:t>
      </w:r>
      <w:r>
        <w:rPr>
          <w:rFonts w:hint="eastAsia"/>
        </w:rPr>
        <w:t>1</w:t>
      </w:r>
      <w:r>
        <w:rPr>
          <w:rFonts w:hint="eastAsia"/>
        </w:rPr>
        <w:t>款）和第</w:t>
      </w:r>
      <w:r>
        <w:rPr>
          <w:rFonts w:hint="eastAsia"/>
        </w:rPr>
        <w:t>164</w:t>
      </w:r>
      <w:r>
        <w:rPr>
          <w:rFonts w:hint="eastAsia"/>
        </w:rPr>
        <w:t>条，其内容如下：</w:t>
      </w:r>
    </w:p>
    <w:p w:rsidR="00000000" w:rsidRDefault="00457650" w:rsidP="00457650">
      <w:pPr>
        <w:widowControl/>
        <w:tabs>
          <w:tab w:val="left" w:pos="630"/>
        </w:tabs>
        <w:spacing w:after="240" w:line="360" w:lineRule="exact"/>
        <w:ind w:leftChars="300" w:left="31680" w:firstLineChars="200" w:firstLine="31680"/>
        <w:rPr>
          <w:rFonts w:hint="eastAsia"/>
        </w:rPr>
      </w:pPr>
      <w:r>
        <w:rPr>
          <w:rFonts w:hint="eastAsia"/>
        </w:rPr>
        <w:t>“第</w:t>
      </w:r>
      <w:r>
        <w:rPr>
          <w:rFonts w:hint="eastAsia"/>
        </w:rPr>
        <w:t>3</w:t>
      </w:r>
      <w:r>
        <w:rPr>
          <w:rFonts w:hint="eastAsia"/>
        </w:rPr>
        <w:t>条。工作是一项社会权利和社会义务。这一条款不能做交易。它要求其实施者尊重自由和尊严并且必须在确保生活、健康和工人及其家庭正当经济</w:t>
      </w:r>
      <w:r>
        <w:rPr>
          <w:rFonts w:hint="eastAsia"/>
        </w:rPr>
        <w:t>水平的条件下实施。”……</w:t>
      </w:r>
    </w:p>
    <w:p w:rsidR="00000000" w:rsidRDefault="00457650">
      <w:pPr>
        <w:widowControl/>
        <w:tabs>
          <w:tab w:val="left" w:pos="630"/>
        </w:tabs>
        <w:spacing w:after="240" w:line="360" w:lineRule="exact"/>
        <w:rPr>
          <w:rFonts w:hint="eastAsia"/>
        </w:rPr>
      </w:pPr>
      <w:r>
        <w:rPr>
          <w:rFonts w:hint="eastAsia"/>
        </w:rPr>
        <w:t>263.</w:t>
      </w:r>
      <w:r>
        <w:rPr>
          <w:rFonts w:hint="eastAsia"/>
        </w:rPr>
        <w:tab/>
      </w:r>
      <w:r>
        <w:rPr>
          <w:rFonts w:hint="eastAsia"/>
        </w:rPr>
        <w:t>“不得因种族、性别、年龄、宗教信仰、政治观点或社会地位对工人加以区分。”</w:t>
      </w:r>
    </w:p>
    <w:p w:rsidR="00000000" w:rsidRDefault="00457650">
      <w:pPr>
        <w:widowControl/>
        <w:tabs>
          <w:tab w:val="left" w:pos="630"/>
        </w:tabs>
        <w:spacing w:after="240" w:line="360" w:lineRule="exact"/>
        <w:rPr>
          <w:rFonts w:hint="eastAsia"/>
        </w:rPr>
      </w:pPr>
      <w:r>
        <w:rPr>
          <w:rFonts w:hint="eastAsia"/>
        </w:rPr>
        <w:t>264.</w:t>
      </w:r>
      <w:r>
        <w:rPr>
          <w:rFonts w:hint="eastAsia"/>
        </w:rPr>
        <w:tab/>
      </w:r>
      <w:r>
        <w:rPr>
          <w:rFonts w:hint="eastAsia"/>
        </w:rPr>
        <w:t>“同样，推动和监督对工人的培训和技能培养事关社会利益。”</w:t>
      </w:r>
    </w:p>
    <w:p w:rsidR="00000000" w:rsidRDefault="00457650" w:rsidP="00457650">
      <w:pPr>
        <w:widowControl/>
        <w:tabs>
          <w:tab w:val="left" w:pos="630"/>
        </w:tabs>
        <w:spacing w:after="240" w:line="360" w:lineRule="exact"/>
        <w:ind w:leftChars="300" w:left="31680" w:firstLineChars="200" w:firstLine="31680"/>
        <w:rPr>
          <w:rFonts w:hint="eastAsia"/>
        </w:rPr>
      </w:pPr>
      <w:r>
        <w:rPr>
          <w:rFonts w:hint="eastAsia"/>
        </w:rPr>
        <w:t>“第</w:t>
      </w:r>
      <w:r>
        <w:rPr>
          <w:rFonts w:hint="eastAsia"/>
        </w:rPr>
        <w:t>133</w:t>
      </w:r>
      <w:r>
        <w:rPr>
          <w:rFonts w:hint="eastAsia"/>
        </w:rPr>
        <w:t>条。禁止雇主：</w:t>
      </w:r>
    </w:p>
    <w:p w:rsidR="00000000" w:rsidRDefault="00457650" w:rsidP="00457650">
      <w:pPr>
        <w:widowControl/>
        <w:tabs>
          <w:tab w:val="left" w:pos="630"/>
        </w:tabs>
        <w:spacing w:after="240" w:line="360" w:lineRule="exact"/>
        <w:ind w:leftChars="300" w:left="31680" w:firstLineChars="400" w:firstLine="31680"/>
        <w:rPr>
          <w:rFonts w:hint="eastAsia"/>
        </w:rPr>
      </w:pPr>
      <w:r>
        <w:rPr>
          <w:rFonts w:hint="eastAsia"/>
        </w:rPr>
        <w:t>因年龄或性别拒绝雇用工人。”</w:t>
      </w:r>
    </w:p>
    <w:p w:rsidR="00000000" w:rsidRDefault="00457650" w:rsidP="00457650">
      <w:pPr>
        <w:widowControl/>
        <w:tabs>
          <w:tab w:val="left" w:pos="630"/>
        </w:tabs>
        <w:spacing w:after="240" w:line="360" w:lineRule="exact"/>
        <w:ind w:leftChars="300" w:left="31680" w:firstLineChars="200" w:firstLine="31680"/>
        <w:rPr>
          <w:rFonts w:hint="eastAsia"/>
        </w:rPr>
      </w:pPr>
      <w:r>
        <w:rPr>
          <w:rFonts w:hint="eastAsia"/>
        </w:rPr>
        <w:t>“第</w:t>
      </w:r>
      <w:r>
        <w:rPr>
          <w:rFonts w:hint="eastAsia"/>
        </w:rPr>
        <w:t>164</w:t>
      </w:r>
      <w:r>
        <w:rPr>
          <w:rFonts w:hint="eastAsia"/>
        </w:rPr>
        <w:t>条。妇女应享有同男性相同的权利和义务。”</w:t>
      </w:r>
    </w:p>
    <w:p w:rsidR="00000000" w:rsidRDefault="00457650">
      <w:pPr>
        <w:widowControl/>
        <w:tabs>
          <w:tab w:val="left" w:pos="630"/>
        </w:tabs>
        <w:spacing w:after="240" w:line="360" w:lineRule="exact"/>
        <w:rPr>
          <w:rFonts w:hint="eastAsia"/>
        </w:rPr>
      </w:pPr>
      <w:r>
        <w:rPr>
          <w:rFonts w:hint="eastAsia"/>
        </w:rPr>
        <w:t>265.</w:t>
      </w:r>
      <w:r>
        <w:rPr>
          <w:rFonts w:hint="eastAsia"/>
        </w:rPr>
        <w:tab/>
      </w:r>
      <w:r>
        <w:rPr>
          <w:rFonts w:hint="eastAsia"/>
        </w:rPr>
        <w:t>同样，《宪法》第</w:t>
      </w:r>
      <w:r>
        <w:rPr>
          <w:rFonts w:hint="eastAsia"/>
        </w:rPr>
        <w:t>5</w:t>
      </w:r>
      <w:r>
        <w:rPr>
          <w:rFonts w:hint="eastAsia"/>
        </w:rPr>
        <w:t>条在此也适用；其现行条款规定：“除非司法判决，否则不得剥夺任何人的劳动成果。”</w:t>
      </w:r>
    </w:p>
    <w:p w:rsidR="00000000" w:rsidRDefault="00457650">
      <w:pPr>
        <w:widowControl/>
        <w:tabs>
          <w:tab w:val="left" w:pos="630"/>
        </w:tabs>
        <w:spacing w:after="240" w:line="360" w:lineRule="exact"/>
        <w:rPr>
          <w:rFonts w:hint="eastAsia"/>
        </w:rPr>
      </w:pPr>
      <w:r>
        <w:rPr>
          <w:rFonts w:hint="eastAsia"/>
        </w:rPr>
        <w:t>266.</w:t>
      </w:r>
      <w:r>
        <w:rPr>
          <w:rFonts w:hint="eastAsia"/>
        </w:rPr>
        <w:tab/>
      </w:r>
      <w:r>
        <w:rPr>
          <w:rFonts w:hint="eastAsia"/>
        </w:rPr>
        <w:t>此外，《联邦劳动法》第</w:t>
      </w:r>
      <w:r>
        <w:rPr>
          <w:rFonts w:hint="eastAsia"/>
        </w:rPr>
        <w:t>4</w:t>
      </w:r>
      <w:r>
        <w:rPr>
          <w:rFonts w:hint="eastAsia"/>
        </w:rPr>
        <w:t>条规定：“如果合法，不得阻碍任何人从事或加入其选择的专业、工业或商业追求或职业”。</w:t>
      </w:r>
    </w:p>
    <w:p w:rsidR="00000000" w:rsidRDefault="00457650">
      <w:pPr>
        <w:keepNext/>
        <w:widowControl/>
        <w:tabs>
          <w:tab w:val="left" w:pos="630"/>
        </w:tabs>
        <w:spacing w:after="240" w:line="360" w:lineRule="exact"/>
        <w:rPr>
          <w:rFonts w:hint="eastAsia"/>
        </w:rPr>
      </w:pPr>
      <w:r>
        <w:rPr>
          <w:rFonts w:hint="eastAsia"/>
        </w:rPr>
        <w:t>267.</w:t>
      </w:r>
      <w:r>
        <w:rPr>
          <w:rFonts w:hint="eastAsia"/>
        </w:rPr>
        <w:tab/>
      </w:r>
      <w:r>
        <w:rPr>
          <w:rFonts w:hint="eastAsia"/>
        </w:rPr>
        <w:t>但是，这一规定和宪法原则存在例外，但仅存在于有益于工人的情况。它们是：</w:t>
      </w:r>
    </w:p>
    <w:p w:rsidR="00000000" w:rsidRDefault="00457650" w:rsidP="00457650">
      <w:pPr>
        <w:keepNext/>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不满</w:t>
      </w:r>
      <w:r>
        <w:rPr>
          <w:rFonts w:hint="eastAsia"/>
        </w:rPr>
        <w:t>16</w:t>
      </w:r>
      <w:r>
        <w:rPr>
          <w:rFonts w:hint="eastAsia"/>
        </w:rPr>
        <w:t>周岁的人加班（《宪法》第</w:t>
      </w:r>
      <w:r>
        <w:rPr>
          <w:rFonts w:hint="eastAsia"/>
        </w:rPr>
        <w:t>123</w:t>
      </w:r>
      <w:r>
        <w:rPr>
          <w:rFonts w:hint="eastAsia"/>
        </w:rPr>
        <w:t>条第</w:t>
      </w:r>
      <w:r>
        <w:rPr>
          <w:rFonts w:hint="eastAsia"/>
        </w:rPr>
        <w:t>11</w:t>
      </w:r>
      <w:r>
        <w:rPr>
          <w:rFonts w:hint="eastAsia"/>
        </w:rPr>
        <w:t>款）。</w:t>
      </w:r>
    </w:p>
    <w:p w:rsidR="00000000" w:rsidRDefault="00457650" w:rsidP="00457650">
      <w:pPr>
        <w:widowControl/>
        <w:numPr>
          <w:ilvl w:val="0"/>
          <w:numId w:val="1897"/>
        </w:numPr>
        <w:tabs>
          <w:tab w:val="clear" w:pos="900"/>
          <w:tab w:val="left" w:pos="1050"/>
        </w:tabs>
        <w:spacing w:after="240" w:line="360" w:lineRule="exact"/>
        <w:ind w:leftChars="300" w:left="31680" w:hangingChars="200" w:firstLine="31680"/>
        <w:rPr>
          <w:rFonts w:hint="eastAsia"/>
        </w:rPr>
      </w:pPr>
      <w:r>
        <w:rPr>
          <w:rFonts w:hint="eastAsia"/>
        </w:rPr>
        <w:t>禁止孕妇从事劳动量大和与怀孕有关危及其健康的工作（《联邦劳动法》第</w:t>
      </w:r>
      <w:r>
        <w:rPr>
          <w:rFonts w:hint="eastAsia"/>
        </w:rPr>
        <w:t>123</w:t>
      </w:r>
      <w:r>
        <w:rPr>
          <w:rFonts w:hint="eastAsia"/>
        </w:rPr>
        <w:t>条第</w:t>
      </w:r>
      <w:r>
        <w:rPr>
          <w:rFonts w:hint="eastAsia"/>
        </w:rPr>
        <w:t>5</w:t>
      </w:r>
      <w:r>
        <w:rPr>
          <w:rFonts w:hint="eastAsia"/>
        </w:rPr>
        <w:t>款，第</w:t>
      </w:r>
      <w:r>
        <w:rPr>
          <w:rFonts w:hint="eastAsia"/>
        </w:rPr>
        <w:t>166</w:t>
      </w:r>
      <w:r>
        <w:rPr>
          <w:rFonts w:hint="eastAsia"/>
        </w:rPr>
        <w:t>条和第</w:t>
      </w:r>
      <w:r>
        <w:rPr>
          <w:rFonts w:hint="eastAsia"/>
        </w:rPr>
        <w:t>170</w:t>
      </w:r>
      <w:r>
        <w:rPr>
          <w:rFonts w:hint="eastAsia"/>
        </w:rPr>
        <w:t>条）。</w:t>
      </w:r>
    </w:p>
    <w:p w:rsidR="00000000" w:rsidRDefault="00457650">
      <w:pPr>
        <w:widowControl/>
        <w:tabs>
          <w:tab w:val="left" w:pos="630"/>
        </w:tabs>
        <w:spacing w:after="240" w:line="360" w:lineRule="exact"/>
        <w:rPr>
          <w:rFonts w:hint="eastAsia"/>
        </w:rPr>
      </w:pPr>
      <w:r>
        <w:rPr>
          <w:rFonts w:hint="eastAsia"/>
        </w:rPr>
        <w:t>268.</w:t>
      </w:r>
      <w:r>
        <w:rPr>
          <w:rFonts w:hint="eastAsia"/>
        </w:rPr>
        <w:tab/>
      </w:r>
      <w:r>
        <w:rPr>
          <w:rFonts w:hint="eastAsia"/>
        </w:rPr>
        <w:t>更多的信息见报告对问题</w:t>
      </w:r>
      <w:r>
        <w:rPr>
          <w:rFonts w:hint="eastAsia"/>
        </w:rPr>
        <w:t>2</w:t>
      </w:r>
      <w:r>
        <w:rPr>
          <w:rFonts w:hint="eastAsia"/>
        </w:rPr>
        <w:t>（</w:t>
      </w:r>
      <w:r>
        <w:rPr>
          <w:rFonts w:hint="eastAsia"/>
        </w:rPr>
        <w:t>a</w:t>
      </w:r>
      <w:r>
        <w:rPr>
          <w:rFonts w:hint="eastAsia"/>
        </w:rPr>
        <w:t>）的答复。</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19</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269.</w:t>
      </w:r>
      <w:r>
        <w:rPr>
          <w:rFonts w:hint="eastAsia"/>
        </w:rPr>
        <w:tab/>
      </w:r>
      <w:r>
        <w:rPr>
          <w:rFonts w:hint="eastAsia"/>
        </w:rPr>
        <w:t>本段没有变化。</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20</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270.</w:t>
      </w:r>
      <w:r>
        <w:rPr>
          <w:rFonts w:hint="eastAsia"/>
        </w:rPr>
        <w:tab/>
      </w:r>
      <w:r>
        <w:rPr>
          <w:rFonts w:hint="eastAsia"/>
        </w:rPr>
        <w:t>在</w:t>
      </w:r>
      <w:r>
        <w:rPr>
          <w:rFonts w:hint="eastAsia"/>
        </w:rPr>
        <w:t>2001-2003</w:t>
      </w:r>
      <w:r>
        <w:rPr>
          <w:rFonts w:hint="eastAsia"/>
        </w:rPr>
        <w:t>年期间，在劳工组织的技术合作框架内开展了许多活动；其中包括各种项目、研究和研讨会。</w:t>
      </w:r>
    </w:p>
    <w:p w:rsidR="00000000" w:rsidRDefault="00457650">
      <w:pPr>
        <w:widowControl/>
        <w:spacing w:afterLines="50" w:after="120"/>
        <w:jc w:val="center"/>
        <w:rPr>
          <w:rFonts w:eastAsia="SimHei" w:hint="eastAsia"/>
        </w:rPr>
      </w:pPr>
      <w:r>
        <w:rPr>
          <w:rFonts w:eastAsia="SimHei" w:hint="eastAsia"/>
        </w:rPr>
        <w:t>劳工组织框架内的技术合作</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5"/>
        <w:gridCol w:w="4915"/>
      </w:tblGrid>
      <w:tr w:rsidR="00000000">
        <w:tblPrEx>
          <w:tblCellMar>
            <w:top w:w="0" w:type="dxa"/>
            <w:bottom w:w="0" w:type="dxa"/>
          </w:tblCellMar>
        </w:tblPrEx>
        <w:tc>
          <w:tcPr>
            <w:tcW w:w="4925" w:type="dxa"/>
          </w:tcPr>
          <w:p w:rsidR="00000000" w:rsidRDefault="00457650">
            <w:pPr>
              <w:widowControl/>
              <w:tabs>
                <w:tab w:val="left" w:pos="630"/>
              </w:tabs>
              <w:spacing w:after="240" w:line="360" w:lineRule="exact"/>
              <w:rPr>
                <w:sz w:val="18"/>
              </w:rPr>
            </w:pPr>
          </w:p>
          <w:p w:rsidR="00000000" w:rsidRDefault="00457650">
            <w:pPr>
              <w:widowControl/>
              <w:tabs>
                <w:tab w:val="left" w:pos="630"/>
              </w:tabs>
              <w:spacing w:after="240" w:line="360" w:lineRule="exact"/>
              <w:rPr>
                <w:rFonts w:hint="eastAsia"/>
                <w:sz w:val="18"/>
              </w:rPr>
            </w:pPr>
            <w:r>
              <w:rPr>
                <w:rFonts w:hint="eastAsia"/>
                <w:sz w:val="18"/>
              </w:rPr>
              <w:t>作为劳工组织成员国，墨西哥在</w:t>
            </w:r>
            <w:r>
              <w:rPr>
                <w:sz w:val="18"/>
              </w:rPr>
              <w:t>2003</w:t>
            </w:r>
            <w:r>
              <w:rPr>
                <w:rFonts w:hint="eastAsia"/>
                <w:sz w:val="18"/>
              </w:rPr>
              <w:t>年与该组织一道进行了</w:t>
            </w:r>
            <w:r>
              <w:rPr>
                <w:rFonts w:hint="eastAsia"/>
                <w:sz w:val="18"/>
              </w:rPr>
              <w:t>13</w:t>
            </w:r>
            <w:r>
              <w:rPr>
                <w:rFonts w:hint="eastAsia"/>
                <w:sz w:val="18"/>
              </w:rPr>
              <w:t>项活动并从中获得惠益（比</w:t>
            </w:r>
            <w:r>
              <w:rPr>
                <w:rFonts w:hint="eastAsia"/>
                <w:sz w:val="18"/>
              </w:rPr>
              <w:t>2002</w:t>
            </w:r>
            <w:r>
              <w:rPr>
                <w:rFonts w:hint="eastAsia"/>
                <w:sz w:val="18"/>
              </w:rPr>
              <w:t>年增加</w:t>
            </w:r>
            <w:r>
              <w:rPr>
                <w:rFonts w:hint="eastAsia"/>
                <w:sz w:val="18"/>
              </w:rPr>
              <w:t>333%</w:t>
            </w:r>
            <w:r>
              <w:rPr>
                <w:rFonts w:hint="eastAsia"/>
                <w:sz w:val="18"/>
              </w:rPr>
              <w:t>）。</w:t>
            </w:r>
          </w:p>
          <w:p w:rsidR="00000000" w:rsidRDefault="00457650">
            <w:pPr>
              <w:widowControl/>
              <w:tabs>
                <w:tab w:val="left" w:pos="630"/>
              </w:tabs>
              <w:spacing w:after="240" w:line="360" w:lineRule="exact"/>
              <w:rPr>
                <w:rFonts w:hint="eastAsia"/>
                <w:sz w:val="18"/>
              </w:rPr>
            </w:pPr>
            <w:r>
              <w:rPr>
                <w:rFonts w:hint="eastAsia"/>
                <w:sz w:val="18"/>
              </w:rPr>
              <w:t>这项合作包括制定方案、开展研究和举办讲习班。</w:t>
            </w:r>
          </w:p>
        </w:tc>
        <w:tc>
          <w:tcPr>
            <w:tcW w:w="4915" w:type="dxa"/>
          </w:tcPr>
          <w:p w:rsidR="00000000" w:rsidRDefault="00457650">
            <w:pPr>
              <w:widowControl/>
              <w:tabs>
                <w:tab w:val="left" w:pos="630"/>
              </w:tabs>
              <w:spacing w:after="240" w:line="240" w:lineRule="auto"/>
              <w:jc w:val="center"/>
              <w:rPr>
                <w:rFonts w:ascii="SimHei" w:eastAsia="SimHei"/>
                <w:sz w:val="24"/>
              </w:rPr>
            </w:pPr>
            <w:r>
              <w:object w:dxaOrig="4290" w:dyaOrig="5175">
                <v:shape id="_x0000_i1025" type="#_x0000_t75" style="width:214.5pt;height:258.75pt" o:ole="">
                  <v:imagedata r:id="rId23" o:title=""/>
                </v:shape>
                <o:OLEObject Type="Embed" ProgID="Excel.Chart.8" ShapeID="_x0000_i1025" DrawAspect="Content" ObjectID="_1394895078" r:id="rId24">
                  <o:FieldCodes>\s</o:FieldCodes>
                </o:OLEObject>
              </w:object>
            </w:r>
          </w:p>
        </w:tc>
      </w:tr>
    </w:tbl>
    <w:p w:rsidR="00000000" w:rsidRDefault="00457650">
      <w:pPr>
        <w:widowControl/>
        <w:tabs>
          <w:tab w:val="left" w:pos="630"/>
        </w:tabs>
        <w:spacing w:after="240" w:line="360" w:lineRule="exact"/>
        <w:rPr>
          <w:rFonts w:ascii="SimHei" w:eastAsia="SimHei" w:hint="eastAsia"/>
          <w:sz w:val="24"/>
        </w:rPr>
      </w:pPr>
      <w:r>
        <w:rPr>
          <w:rFonts w:eastAsia="KaiTi_GB2312" w:hint="eastAsia"/>
          <w:sz w:val="18"/>
        </w:rPr>
        <w:t>资料来源</w:t>
      </w:r>
      <w:r>
        <w:rPr>
          <w:rFonts w:hint="eastAsia"/>
          <w:sz w:val="18"/>
        </w:rPr>
        <w:t>：劳工和社会福利部。</w:t>
      </w:r>
    </w:p>
    <w:p w:rsidR="00000000" w:rsidRDefault="00457650">
      <w:pPr>
        <w:keepNext/>
        <w:widowControl/>
        <w:tabs>
          <w:tab w:val="left" w:pos="630"/>
        </w:tabs>
        <w:spacing w:after="240" w:line="360" w:lineRule="exact"/>
        <w:jc w:val="center"/>
        <w:rPr>
          <w:rFonts w:ascii="SimHei" w:eastAsia="SimHei" w:hint="eastAsia"/>
          <w:sz w:val="24"/>
        </w:rPr>
      </w:pPr>
      <w:r>
        <w:rPr>
          <w:rFonts w:ascii="SimHei" w:eastAsia="SimHei" w:hint="eastAsia"/>
          <w:sz w:val="24"/>
        </w:rPr>
        <w:t>C</w:t>
      </w:r>
      <w:r>
        <w:rPr>
          <w:rFonts w:ascii="SimHei" w:eastAsia="SimHei" w:hint="eastAsia"/>
          <w:sz w:val="24"/>
        </w:rPr>
        <w:t>．第</w:t>
      </w:r>
      <w:r>
        <w:rPr>
          <w:rFonts w:ascii="SimHei" w:eastAsia="SimHei" w:hint="eastAsia"/>
          <w:sz w:val="24"/>
        </w:rPr>
        <w:t>8</w:t>
      </w:r>
      <w:r>
        <w:rPr>
          <w:rFonts w:ascii="SimHei" w:eastAsia="SimHei" w:hint="eastAsia"/>
          <w:sz w:val="24"/>
        </w:rPr>
        <w:t>条</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指南第</w:t>
      </w:r>
      <w:r>
        <w:rPr>
          <w:rFonts w:ascii="SimHei" w:eastAsia="SimHei" w:hint="eastAsia"/>
        </w:rPr>
        <w:t>22</w:t>
      </w:r>
      <w:r>
        <w:rPr>
          <w:rFonts w:ascii="SimHei" w:eastAsia="SimHei" w:hint="eastAsia"/>
        </w:rPr>
        <w:t>段</w:t>
      </w:r>
    </w:p>
    <w:p w:rsidR="00000000" w:rsidRDefault="00457650">
      <w:pPr>
        <w:keepNext/>
        <w:widowControl/>
        <w:tabs>
          <w:tab w:val="left" w:pos="630"/>
        </w:tabs>
        <w:spacing w:after="240" w:line="360" w:lineRule="exact"/>
        <w:rPr>
          <w:rFonts w:hint="eastAsia"/>
          <w:lang w:val="zh-CN"/>
        </w:rPr>
      </w:pPr>
      <w:r>
        <w:rPr>
          <w:rFonts w:hint="eastAsia"/>
          <w:lang w:val="zh-CN"/>
        </w:rPr>
        <w:t>271.</w:t>
      </w:r>
      <w:r>
        <w:rPr>
          <w:rFonts w:hint="eastAsia"/>
          <w:lang w:val="zh-CN"/>
        </w:rPr>
        <w:tab/>
      </w:r>
      <w:r>
        <w:rPr>
          <w:rFonts w:hint="eastAsia"/>
          <w:lang w:val="zh-CN"/>
        </w:rPr>
        <w:t>《墨西哥合众国宪法》第</w:t>
      </w:r>
      <w:r>
        <w:rPr>
          <w:rFonts w:hint="eastAsia"/>
          <w:lang w:val="zh-CN"/>
        </w:rPr>
        <w:t>9</w:t>
      </w:r>
      <w:r>
        <w:rPr>
          <w:rFonts w:hint="eastAsia"/>
          <w:lang w:val="zh-CN"/>
        </w:rPr>
        <w:t>条作为一条单独的保证这样规定，每个人都有权利为任何合法目的而自由和平地结社。</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9</w:t>
      </w:r>
      <w:r>
        <w:rPr>
          <w:rFonts w:hint="eastAsia"/>
          <w:lang w:val="zh-CN"/>
        </w:rPr>
        <w:t>条。为了任何合法目的而进行和平集会和结社的权利不能被禁止；但是只有共和国公民可以用这种方式来参与国家的政治事务。武装会议无权进行商讨。</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不应该因为会</w:t>
      </w:r>
      <w:r>
        <w:rPr>
          <w:rFonts w:hint="eastAsia"/>
          <w:lang w:val="zh-CN"/>
        </w:rPr>
        <w:t>议或集会的目标是向任何当局请愿，或者表达对任何法案的反对就认为其不合法；只要没有对上述当局表示侮辱，没有采取暴力或使用威胁手段胁迫或迫使这些当局做出对其有利的决策，也不可以将其解散。”</w:t>
      </w:r>
    </w:p>
    <w:p w:rsidR="00000000" w:rsidRDefault="00457650">
      <w:pPr>
        <w:widowControl/>
        <w:tabs>
          <w:tab w:val="left" w:pos="630"/>
        </w:tabs>
        <w:spacing w:after="240" w:line="360" w:lineRule="exact"/>
        <w:rPr>
          <w:rFonts w:hint="eastAsia"/>
          <w:lang w:val="zh-CN"/>
        </w:rPr>
      </w:pPr>
      <w:r>
        <w:rPr>
          <w:rFonts w:hint="eastAsia"/>
          <w:lang w:val="zh-CN"/>
        </w:rPr>
        <w:t>272.</w:t>
      </w:r>
      <w:r>
        <w:rPr>
          <w:rFonts w:hint="eastAsia"/>
          <w:lang w:val="zh-CN"/>
        </w:rPr>
        <w:tab/>
      </w:r>
      <w:r>
        <w:rPr>
          <w:rFonts w:hint="eastAsia"/>
          <w:lang w:val="zh-CN"/>
        </w:rPr>
        <w:t>贸易联盟的形成要遵守《墨西哥合众国宪法》和《联邦劳动法》。</w:t>
      </w:r>
    </w:p>
    <w:p w:rsidR="00000000" w:rsidRDefault="00457650">
      <w:pPr>
        <w:widowControl/>
        <w:tabs>
          <w:tab w:val="left" w:pos="630"/>
        </w:tabs>
        <w:spacing w:after="240" w:line="360" w:lineRule="exact"/>
        <w:rPr>
          <w:rFonts w:hint="eastAsia"/>
          <w:lang w:val="zh-CN"/>
        </w:rPr>
      </w:pPr>
      <w:r>
        <w:rPr>
          <w:rFonts w:hint="eastAsia"/>
          <w:lang w:val="zh-CN"/>
        </w:rPr>
        <w:t>273.</w:t>
      </w:r>
      <w:r>
        <w:rPr>
          <w:rFonts w:hint="eastAsia"/>
          <w:lang w:val="zh-CN"/>
        </w:rPr>
        <w:tab/>
      </w:r>
      <w:r>
        <w:rPr>
          <w:rFonts w:hint="eastAsia"/>
          <w:lang w:val="zh-CN"/>
        </w:rPr>
        <w:t>《宪法》在第</w:t>
      </w:r>
      <w:r>
        <w:rPr>
          <w:rFonts w:hint="eastAsia"/>
          <w:lang w:val="zh-CN"/>
        </w:rPr>
        <w:t>123</w:t>
      </w:r>
      <w:r>
        <w:rPr>
          <w:rFonts w:hint="eastAsia"/>
          <w:lang w:val="zh-CN"/>
        </w:rPr>
        <w:t>条</w:t>
      </w:r>
      <w:r>
        <w:rPr>
          <w:rFonts w:hint="eastAsia"/>
          <w:lang w:val="zh-CN"/>
        </w:rPr>
        <w:t>A</w:t>
      </w:r>
      <w:r>
        <w:rPr>
          <w:rFonts w:hint="eastAsia"/>
          <w:lang w:val="zh-CN"/>
        </w:rPr>
        <w:t>部分和</w:t>
      </w:r>
      <w:r>
        <w:rPr>
          <w:rFonts w:hint="eastAsia"/>
          <w:lang w:val="zh-CN"/>
        </w:rPr>
        <w:t>B</w:t>
      </w:r>
      <w:r>
        <w:rPr>
          <w:rFonts w:hint="eastAsia"/>
          <w:lang w:val="zh-CN"/>
        </w:rPr>
        <w:t>部分做出如下规定：</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123</w:t>
      </w:r>
      <w:r>
        <w:rPr>
          <w:rFonts w:hint="eastAsia"/>
          <w:lang w:val="zh-CN"/>
        </w:rPr>
        <w:t>条。所有人都有权获得正当且对社会有用的工作。为了达到这一目的，应该根据法律促进创造工作和可以提供工作的社会组织。</w:t>
      </w:r>
    </w:p>
    <w:p w:rsidR="00000000" w:rsidRDefault="00457650">
      <w:pPr>
        <w:widowControl/>
        <w:tabs>
          <w:tab w:val="left" w:pos="630"/>
        </w:tabs>
        <w:spacing w:after="240" w:line="360" w:lineRule="exact"/>
        <w:rPr>
          <w:rFonts w:hint="eastAsia"/>
          <w:lang w:val="zh-CN"/>
        </w:rPr>
      </w:pPr>
      <w:r>
        <w:rPr>
          <w:rFonts w:hint="eastAsia"/>
          <w:lang w:val="zh-CN"/>
        </w:rPr>
        <w:t>274.</w:t>
      </w:r>
      <w:r>
        <w:rPr>
          <w:rFonts w:hint="eastAsia"/>
          <w:lang w:val="zh-CN"/>
        </w:rPr>
        <w:tab/>
      </w:r>
      <w:r>
        <w:rPr>
          <w:rFonts w:hint="eastAsia"/>
          <w:lang w:val="zh-CN"/>
        </w:rPr>
        <w:t>工会大会应该在不违反下列基本原则的情况下制定适用于以下各方的劳动</w:t>
      </w:r>
      <w:r>
        <w:rPr>
          <w:rFonts w:hint="eastAsia"/>
          <w:lang w:val="zh-CN"/>
        </w:rPr>
        <w:t>法规：</w:t>
      </w:r>
    </w:p>
    <w:p w:rsidR="00000000" w:rsidRDefault="00457650" w:rsidP="00457650">
      <w:pPr>
        <w:widowControl/>
        <w:tabs>
          <w:tab w:val="left" w:pos="630"/>
        </w:tabs>
        <w:spacing w:after="240" w:line="360" w:lineRule="exact"/>
        <w:ind w:leftChars="300" w:left="31680" w:hangingChars="200" w:firstLine="31680"/>
        <w:rPr>
          <w:rFonts w:hint="eastAsia"/>
          <w:lang w:val="zh-CN"/>
        </w:rPr>
      </w:pPr>
      <w:r>
        <w:rPr>
          <w:rFonts w:hint="eastAsia"/>
          <w:lang w:val="zh-CN"/>
        </w:rPr>
        <w:tab/>
        <w:t>A.</w:t>
      </w:r>
      <w:r>
        <w:rPr>
          <w:rFonts w:hint="eastAsia"/>
          <w:lang w:val="zh-CN"/>
        </w:rPr>
        <w:tab/>
        <w:t xml:space="preserve"> </w:t>
      </w:r>
      <w:r>
        <w:rPr>
          <w:rFonts w:hint="eastAsia"/>
          <w:lang w:val="zh-CN"/>
        </w:rPr>
        <w:tab/>
      </w:r>
      <w:r>
        <w:rPr>
          <w:rFonts w:hint="eastAsia"/>
          <w:lang w:val="zh-CN"/>
        </w:rPr>
        <w:t>工人、零工、仆佣、技工，以及广泛意义上的所有就业合同：</w:t>
      </w:r>
    </w:p>
    <w:p w:rsidR="00000000" w:rsidRDefault="00457650" w:rsidP="00457650">
      <w:pPr>
        <w:widowControl/>
        <w:tabs>
          <w:tab w:val="left" w:pos="630"/>
        </w:tabs>
        <w:spacing w:after="240" w:line="360" w:lineRule="exact"/>
        <w:ind w:leftChars="300" w:left="31680" w:hangingChars="200" w:firstLine="31680"/>
        <w:rPr>
          <w:rFonts w:hint="eastAsia"/>
          <w:lang w:val="zh-CN"/>
        </w:rPr>
      </w:pPr>
      <w:r>
        <w:rPr>
          <w:rFonts w:hint="eastAsia"/>
          <w:lang w:val="zh-CN"/>
        </w:rPr>
        <w:tab/>
        <w:t xml:space="preserve">    </w:t>
      </w:r>
      <w:r>
        <w:rPr>
          <w:rFonts w:hint="eastAsia"/>
          <w:lang w:val="zh-CN"/>
        </w:rPr>
        <w:t>十六、雇主和工人应该有权为维护自己的利益，通过工会和行业协会等形式组织起来。</w:t>
      </w:r>
    </w:p>
    <w:p w:rsidR="00000000" w:rsidRDefault="00457650">
      <w:pPr>
        <w:widowControl/>
        <w:tabs>
          <w:tab w:val="left" w:pos="630"/>
        </w:tabs>
        <w:spacing w:after="240" w:line="360" w:lineRule="exact"/>
        <w:rPr>
          <w:rFonts w:hint="eastAsia"/>
          <w:lang w:val="zh-CN"/>
        </w:rPr>
      </w:pPr>
      <w:r>
        <w:rPr>
          <w:rFonts w:hint="eastAsia"/>
          <w:lang w:val="zh-CN"/>
        </w:rPr>
        <w:t>275.</w:t>
      </w:r>
      <w:r>
        <w:rPr>
          <w:rFonts w:hint="eastAsia"/>
          <w:lang w:val="zh-CN"/>
        </w:rPr>
        <w:tab/>
      </w:r>
      <w:r>
        <w:rPr>
          <w:rFonts w:hint="eastAsia"/>
          <w:lang w:val="zh-CN"/>
        </w:rPr>
        <w:t>《联邦劳动法》在第</w:t>
      </w:r>
      <w:r>
        <w:rPr>
          <w:rFonts w:hint="eastAsia"/>
          <w:lang w:val="zh-CN"/>
        </w:rPr>
        <w:t>357</w:t>
      </w:r>
      <w:r>
        <w:rPr>
          <w:rFonts w:hint="eastAsia"/>
          <w:lang w:val="zh-CN"/>
        </w:rPr>
        <w:t>条和</w:t>
      </w:r>
      <w:r>
        <w:rPr>
          <w:rFonts w:hint="eastAsia"/>
          <w:lang w:val="zh-CN"/>
        </w:rPr>
        <w:t>358</w:t>
      </w:r>
      <w:r>
        <w:rPr>
          <w:rFonts w:hint="eastAsia"/>
          <w:lang w:val="zh-CN"/>
        </w:rPr>
        <w:t>条确认了结社自由。</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357</w:t>
      </w:r>
      <w:r>
        <w:rPr>
          <w:rFonts w:hint="eastAsia"/>
          <w:lang w:val="zh-CN"/>
        </w:rPr>
        <w:t>条。工人和雇主有权建立联合会，事先不需要授权。”</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358</w:t>
      </w:r>
      <w:r>
        <w:rPr>
          <w:rFonts w:hint="eastAsia"/>
          <w:lang w:val="zh-CN"/>
        </w:rPr>
        <w:t>条。任何人不得被强迫加入或者不加入工会。任何规定退出联合会时给付约定数目的罚金，或者以任何方式废止以上各条规定的契约都是无效的。”</w:t>
      </w:r>
    </w:p>
    <w:p w:rsidR="00000000" w:rsidRDefault="00457650">
      <w:pPr>
        <w:widowControl/>
        <w:tabs>
          <w:tab w:val="left" w:pos="630"/>
        </w:tabs>
        <w:spacing w:after="240" w:line="360" w:lineRule="exact"/>
        <w:rPr>
          <w:rFonts w:hint="eastAsia"/>
          <w:lang w:val="zh-CN"/>
        </w:rPr>
      </w:pPr>
      <w:r>
        <w:rPr>
          <w:rFonts w:hint="eastAsia"/>
          <w:lang w:val="zh-CN"/>
        </w:rPr>
        <w:t>276.</w:t>
      </w:r>
      <w:r>
        <w:rPr>
          <w:rFonts w:hint="eastAsia"/>
          <w:lang w:val="zh-CN"/>
        </w:rPr>
        <w:tab/>
      </w:r>
      <w:r>
        <w:rPr>
          <w:rFonts w:hint="eastAsia"/>
          <w:lang w:val="zh-CN"/>
        </w:rPr>
        <w:t>《宪法》规定和在劳动领域的相关立法适用于国际劳工组织关于结社自由和保护建</w:t>
      </w:r>
      <w:r>
        <w:rPr>
          <w:rFonts w:hint="eastAsia"/>
          <w:lang w:val="zh-CN"/>
        </w:rPr>
        <w:t>立组织的权利的第</w:t>
      </w:r>
      <w:r>
        <w:rPr>
          <w:rFonts w:hint="eastAsia"/>
          <w:lang w:val="zh-CN"/>
        </w:rPr>
        <w:t>87</w:t>
      </w:r>
      <w:r>
        <w:rPr>
          <w:rFonts w:hint="eastAsia"/>
          <w:lang w:val="zh-CN"/>
        </w:rPr>
        <w:t>号公约，该组织于</w:t>
      </w:r>
      <w:r>
        <w:rPr>
          <w:rFonts w:hint="eastAsia"/>
          <w:lang w:val="zh-CN"/>
        </w:rPr>
        <w:t>1948</w:t>
      </w:r>
      <w:r>
        <w:rPr>
          <w:rFonts w:hint="eastAsia"/>
          <w:lang w:val="zh-CN"/>
        </w:rPr>
        <w:t>年通过的这项公约一直为墨西哥所拥护并认可，并于</w:t>
      </w:r>
      <w:r>
        <w:rPr>
          <w:rFonts w:hint="eastAsia"/>
          <w:lang w:val="zh-CN"/>
        </w:rPr>
        <w:t>1950</w:t>
      </w:r>
      <w:r>
        <w:rPr>
          <w:rFonts w:hint="eastAsia"/>
          <w:lang w:val="zh-CN"/>
        </w:rPr>
        <w:t>年</w:t>
      </w:r>
      <w:r>
        <w:rPr>
          <w:rFonts w:hint="eastAsia"/>
          <w:lang w:val="zh-CN"/>
        </w:rPr>
        <w:t>7</w:t>
      </w:r>
      <w:r>
        <w:rPr>
          <w:rFonts w:hint="eastAsia"/>
          <w:lang w:val="zh-CN"/>
        </w:rPr>
        <w:t>月</w:t>
      </w:r>
      <w:r>
        <w:rPr>
          <w:rFonts w:hint="eastAsia"/>
          <w:lang w:val="zh-CN"/>
        </w:rPr>
        <w:t>4</w:t>
      </w:r>
      <w:r>
        <w:rPr>
          <w:rFonts w:hint="eastAsia"/>
          <w:lang w:val="zh-CN"/>
        </w:rPr>
        <w:t>日在该国生效。</w:t>
      </w:r>
    </w:p>
    <w:p w:rsidR="00000000" w:rsidRDefault="00457650">
      <w:pPr>
        <w:widowControl/>
        <w:tabs>
          <w:tab w:val="left" w:pos="630"/>
        </w:tabs>
        <w:spacing w:after="240" w:line="360" w:lineRule="exact"/>
        <w:rPr>
          <w:rFonts w:hint="eastAsia"/>
          <w:lang w:val="zh-CN"/>
        </w:rPr>
      </w:pPr>
      <w:r>
        <w:rPr>
          <w:rFonts w:hint="eastAsia"/>
          <w:lang w:val="zh-CN"/>
        </w:rPr>
        <w:t>277.</w:t>
      </w:r>
      <w:r>
        <w:rPr>
          <w:rFonts w:hint="eastAsia"/>
          <w:lang w:val="zh-CN"/>
        </w:rPr>
        <w:tab/>
      </w:r>
      <w:r>
        <w:rPr>
          <w:rFonts w:hint="eastAsia"/>
          <w:lang w:val="zh-CN"/>
        </w:rPr>
        <w:t>关于加入联合会的自由，《国际劳工组织第</w:t>
      </w:r>
      <w:r>
        <w:rPr>
          <w:rFonts w:hint="eastAsia"/>
          <w:lang w:val="zh-CN"/>
        </w:rPr>
        <w:t>87</w:t>
      </w:r>
      <w:r>
        <w:rPr>
          <w:rFonts w:hint="eastAsia"/>
          <w:lang w:val="zh-CN"/>
        </w:rPr>
        <w:t>号公约》第</w:t>
      </w:r>
      <w:r>
        <w:rPr>
          <w:rFonts w:hint="eastAsia"/>
          <w:lang w:val="zh-CN"/>
        </w:rPr>
        <w:t>2</w:t>
      </w:r>
      <w:r>
        <w:rPr>
          <w:rFonts w:hint="eastAsia"/>
          <w:lang w:val="zh-CN"/>
        </w:rPr>
        <w:t>条规定：</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“工人和雇主一律享有建立组织的同样权利，仅遵守相关组织的规定，并且在不需要事先批准的情况下，自主选择参加组织。”</w:t>
      </w:r>
      <w:r>
        <w:rPr>
          <w:rStyle w:val="FootnoteReference"/>
          <w:szCs w:val="21"/>
          <w:lang w:val="zh-CN"/>
        </w:rPr>
        <w:footnoteReference w:id="15"/>
      </w:r>
    </w:p>
    <w:p w:rsidR="00000000" w:rsidRDefault="00457650">
      <w:pPr>
        <w:widowControl/>
        <w:tabs>
          <w:tab w:val="left" w:pos="630"/>
        </w:tabs>
        <w:spacing w:after="240" w:line="360" w:lineRule="exact"/>
        <w:rPr>
          <w:rFonts w:hint="eastAsia"/>
          <w:lang w:val="zh-CN"/>
        </w:rPr>
      </w:pPr>
      <w:r>
        <w:rPr>
          <w:rFonts w:hint="eastAsia"/>
          <w:lang w:val="zh-CN"/>
        </w:rPr>
        <w:t>278.</w:t>
      </w:r>
      <w:r>
        <w:rPr>
          <w:rFonts w:hint="eastAsia"/>
          <w:lang w:val="zh-CN"/>
        </w:rPr>
        <w:tab/>
      </w:r>
      <w:r>
        <w:rPr>
          <w:rFonts w:hint="eastAsia"/>
          <w:lang w:val="zh-CN"/>
        </w:rPr>
        <w:t>关于成员资格问题，《联邦劳动法》包括以下规定：</w:t>
      </w:r>
    </w:p>
    <w:p w:rsidR="00000000" w:rsidRDefault="00457650">
      <w:pPr>
        <w:widowControl/>
        <w:tabs>
          <w:tab w:val="left" w:pos="630"/>
        </w:tabs>
        <w:spacing w:after="240" w:line="360" w:lineRule="exact"/>
        <w:jc w:val="center"/>
        <w:rPr>
          <w:rFonts w:eastAsia="SimHei" w:hint="eastAsia"/>
          <w:lang w:val="zh-CN"/>
        </w:rPr>
      </w:pPr>
      <w:r>
        <w:rPr>
          <w:rFonts w:eastAsia="SimHei" w:hint="eastAsia"/>
          <w:lang w:val="zh-CN"/>
        </w:rPr>
        <w:t>关于工人联合会</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6"/>
        <w:gridCol w:w="4915"/>
      </w:tblGrid>
      <w:tr w:rsidR="00000000">
        <w:tblPrEx>
          <w:tblCellMar>
            <w:top w:w="0" w:type="dxa"/>
            <w:bottom w:w="0" w:type="dxa"/>
          </w:tblCellMar>
        </w:tblPrEx>
        <w:tc>
          <w:tcPr>
            <w:tcW w:w="2503" w:type="pct"/>
          </w:tcPr>
          <w:p w:rsidR="00000000" w:rsidRDefault="00457650">
            <w:pPr>
              <w:widowControl/>
              <w:tabs>
                <w:tab w:val="left" w:pos="630"/>
              </w:tabs>
              <w:spacing w:after="120" w:line="340" w:lineRule="exact"/>
              <w:jc w:val="center"/>
              <w:rPr>
                <w:rFonts w:eastAsia="KaiTi_GB2312" w:hint="eastAsia"/>
                <w:sz w:val="18"/>
                <w:lang w:val="zh-CN"/>
              </w:rPr>
            </w:pPr>
            <w:r>
              <w:rPr>
                <w:rFonts w:eastAsia="KaiTi_GB2312" w:hint="eastAsia"/>
                <w:sz w:val="18"/>
                <w:lang w:val="zh-CN"/>
              </w:rPr>
              <w:t>主旨</w:t>
            </w:r>
          </w:p>
        </w:tc>
        <w:tc>
          <w:tcPr>
            <w:tcW w:w="2497" w:type="pct"/>
          </w:tcPr>
          <w:p w:rsidR="00000000" w:rsidRDefault="00457650">
            <w:pPr>
              <w:widowControl/>
              <w:tabs>
                <w:tab w:val="left" w:pos="630"/>
              </w:tabs>
              <w:spacing w:after="120" w:line="340" w:lineRule="exact"/>
              <w:jc w:val="center"/>
              <w:rPr>
                <w:rFonts w:eastAsia="KaiTi_GB2312" w:hint="eastAsia"/>
                <w:sz w:val="18"/>
                <w:lang w:val="zh-CN"/>
              </w:rPr>
            </w:pPr>
            <w:r>
              <w:rPr>
                <w:rFonts w:eastAsia="KaiTi_GB2312" w:hint="eastAsia"/>
                <w:sz w:val="18"/>
                <w:lang w:val="zh-CN"/>
              </w:rPr>
              <w:t>形式</w:t>
            </w:r>
          </w:p>
        </w:tc>
      </w:tr>
      <w:tr w:rsidR="00000000">
        <w:tblPrEx>
          <w:tblCellMar>
            <w:top w:w="0" w:type="dxa"/>
            <w:bottom w:w="0" w:type="dxa"/>
          </w:tblCellMar>
        </w:tblPrEx>
        <w:tc>
          <w:tcPr>
            <w:tcW w:w="2503" w:type="pct"/>
          </w:tcPr>
          <w:p w:rsidR="00000000" w:rsidRDefault="00457650">
            <w:pPr>
              <w:pStyle w:val="a3"/>
              <w:widowControl/>
              <w:tabs>
                <w:tab w:val="left" w:pos="630"/>
              </w:tabs>
              <w:adjustRightInd w:val="0"/>
              <w:spacing w:after="120" w:line="340" w:lineRule="exact"/>
              <w:textAlignment w:val="baseline"/>
              <w:rPr>
                <w:rFonts w:hint="eastAsia"/>
                <w:kern w:val="0"/>
                <w:szCs w:val="20"/>
                <w:lang w:val="zh-CN"/>
              </w:rPr>
            </w:pPr>
            <w:r>
              <w:rPr>
                <w:rFonts w:hint="eastAsia"/>
                <w:kern w:val="0"/>
                <w:szCs w:val="20"/>
                <w:lang w:val="zh-CN"/>
              </w:rPr>
              <w:t>参加工会的必须是企业中的工人积极分子。</w:t>
            </w:r>
          </w:p>
          <w:p w:rsidR="00000000" w:rsidRDefault="00457650">
            <w:pPr>
              <w:widowControl/>
              <w:tabs>
                <w:tab w:val="left" w:pos="630"/>
              </w:tabs>
              <w:spacing w:after="120" w:line="340" w:lineRule="exact"/>
              <w:rPr>
                <w:rFonts w:hint="eastAsia"/>
                <w:sz w:val="18"/>
                <w:lang w:val="zh-CN"/>
              </w:rPr>
            </w:pPr>
            <w:r>
              <w:rPr>
                <w:rFonts w:hint="eastAsia"/>
                <w:sz w:val="18"/>
                <w:lang w:val="zh-CN"/>
              </w:rPr>
              <w:t>工会有权制定他们的章程和制度，自由选举代表，组织管理和各项活动，以及制定</w:t>
            </w:r>
            <w:r>
              <w:rPr>
                <w:rFonts w:hint="eastAsia"/>
                <w:sz w:val="18"/>
                <w:lang w:val="zh-CN"/>
              </w:rPr>
              <w:t>他们的行动计划（第</w:t>
            </w:r>
            <w:r>
              <w:rPr>
                <w:rFonts w:hint="eastAsia"/>
                <w:sz w:val="18"/>
                <w:lang w:val="zh-CN"/>
              </w:rPr>
              <w:t>359</w:t>
            </w:r>
            <w:r>
              <w:rPr>
                <w:rFonts w:hint="eastAsia"/>
                <w:sz w:val="18"/>
                <w:lang w:val="zh-CN"/>
              </w:rPr>
              <w:t>条）。</w:t>
            </w:r>
          </w:p>
          <w:p w:rsidR="00000000" w:rsidRDefault="00457650">
            <w:pPr>
              <w:widowControl/>
              <w:tabs>
                <w:tab w:val="left" w:pos="630"/>
              </w:tabs>
              <w:spacing w:after="120" w:line="340" w:lineRule="exact"/>
              <w:rPr>
                <w:rFonts w:hint="eastAsia"/>
                <w:sz w:val="18"/>
                <w:lang w:val="zh-CN"/>
              </w:rPr>
            </w:pPr>
            <w:r>
              <w:rPr>
                <w:rFonts w:hint="eastAsia"/>
                <w:sz w:val="18"/>
                <w:lang w:val="zh-CN"/>
              </w:rPr>
              <w:t>章程中应该包括工会的名称、地址、目标、期限、加入条件、成员的权利和义务，开除和约束行为的基础与程序，组织大会的方式，选举执行人员的程序和成员人数，执行办公室任期，管理、获取和处置工会资产和财产的规章，会费的数量和交费方式，呈报账目的日期，以及工会财产的清算规则等（第</w:t>
            </w:r>
            <w:r>
              <w:rPr>
                <w:rFonts w:hint="eastAsia"/>
                <w:sz w:val="18"/>
                <w:lang w:val="zh-CN"/>
              </w:rPr>
              <w:t>371</w:t>
            </w:r>
            <w:r>
              <w:rPr>
                <w:rFonts w:hint="eastAsia"/>
                <w:sz w:val="18"/>
                <w:lang w:val="zh-CN"/>
              </w:rPr>
              <w:t>条）。</w:t>
            </w:r>
          </w:p>
          <w:p w:rsidR="00000000" w:rsidRDefault="00457650">
            <w:pPr>
              <w:widowControl/>
              <w:tabs>
                <w:tab w:val="left" w:pos="630"/>
              </w:tabs>
              <w:spacing w:after="120" w:line="340" w:lineRule="exact"/>
              <w:rPr>
                <w:rFonts w:hint="eastAsia"/>
                <w:sz w:val="18"/>
                <w:lang w:val="zh-CN"/>
              </w:rPr>
            </w:pPr>
            <w:r>
              <w:rPr>
                <w:rFonts w:hint="eastAsia"/>
                <w:sz w:val="18"/>
                <w:lang w:val="zh-CN"/>
              </w:rPr>
              <w:t>不满</w:t>
            </w:r>
            <w:r>
              <w:rPr>
                <w:rFonts w:hint="eastAsia"/>
                <w:sz w:val="18"/>
                <w:lang w:val="zh-CN"/>
              </w:rPr>
              <w:t>16</w:t>
            </w:r>
            <w:r>
              <w:rPr>
                <w:rFonts w:hint="eastAsia"/>
                <w:sz w:val="18"/>
                <w:lang w:val="zh-CN"/>
              </w:rPr>
              <w:t>岁或者外籍工人不得担任行政职务。（第</w:t>
            </w:r>
            <w:r>
              <w:rPr>
                <w:rFonts w:hint="eastAsia"/>
                <w:sz w:val="18"/>
                <w:lang w:val="zh-CN"/>
              </w:rPr>
              <w:t>374</w:t>
            </w:r>
            <w:r>
              <w:rPr>
                <w:rFonts w:hint="eastAsia"/>
                <w:sz w:val="18"/>
                <w:lang w:val="zh-CN"/>
              </w:rPr>
              <w:t>条）外籍工人必须得到批准才能加入工会，一个受到信任的人可以不加入工会（第</w:t>
            </w:r>
            <w:r>
              <w:rPr>
                <w:rFonts w:hint="eastAsia"/>
                <w:sz w:val="18"/>
                <w:lang w:val="zh-CN"/>
              </w:rPr>
              <w:t>363</w:t>
            </w:r>
            <w:r>
              <w:rPr>
                <w:rFonts w:hint="eastAsia"/>
                <w:sz w:val="18"/>
                <w:lang w:val="zh-CN"/>
              </w:rPr>
              <w:t>条）。</w:t>
            </w:r>
          </w:p>
          <w:p w:rsidR="00000000" w:rsidRDefault="00457650">
            <w:pPr>
              <w:widowControl/>
              <w:tabs>
                <w:tab w:val="left" w:pos="630"/>
              </w:tabs>
              <w:spacing w:after="120" w:line="340" w:lineRule="exact"/>
              <w:rPr>
                <w:rFonts w:hint="eastAsia"/>
                <w:sz w:val="18"/>
                <w:lang w:val="zh-CN"/>
              </w:rPr>
            </w:pPr>
            <w:r>
              <w:rPr>
                <w:rFonts w:hint="eastAsia"/>
                <w:sz w:val="18"/>
                <w:lang w:val="zh-CN"/>
              </w:rPr>
              <w:t>工会代表他们的成员捍卫个人权利（第</w:t>
            </w:r>
            <w:r>
              <w:rPr>
                <w:rFonts w:hint="eastAsia"/>
                <w:sz w:val="18"/>
                <w:lang w:val="zh-CN"/>
              </w:rPr>
              <w:t>375</w:t>
            </w:r>
            <w:r>
              <w:rPr>
                <w:rFonts w:hint="eastAsia"/>
                <w:sz w:val="18"/>
                <w:lang w:val="zh-CN"/>
              </w:rPr>
              <w:t>条）。</w:t>
            </w:r>
          </w:p>
          <w:p w:rsidR="00000000" w:rsidRDefault="00457650">
            <w:pPr>
              <w:widowControl/>
              <w:tabs>
                <w:tab w:val="left" w:pos="630"/>
              </w:tabs>
              <w:spacing w:after="120" w:line="340" w:lineRule="exact"/>
              <w:rPr>
                <w:rFonts w:hint="eastAsia"/>
                <w:sz w:val="18"/>
                <w:lang w:val="zh-CN"/>
              </w:rPr>
            </w:pPr>
            <w:r>
              <w:rPr>
                <w:rFonts w:hint="eastAsia"/>
                <w:sz w:val="18"/>
                <w:lang w:val="zh-CN"/>
              </w:rPr>
              <w:t>除非章程另行规定</w:t>
            </w:r>
            <w:r>
              <w:rPr>
                <w:rFonts w:hint="eastAsia"/>
                <w:sz w:val="18"/>
                <w:lang w:val="zh-CN"/>
              </w:rPr>
              <w:t>，否则工会形象代表应该是秘书长或者执行机构任命的别人（第</w:t>
            </w:r>
            <w:r>
              <w:rPr>
                <w:rFonts w:hint="eastAsia"/>
                <w:sz w:val="18"/>
                <w:lang w:val="zh-CN"/>
              </w:rPr>
              <w:t>376</w:t>
            </w:r>
            <w:r>
              <w:rPr>
                <w:rFonts w:hint="eastAsia"/>
                <w:sz w:val="18"/>
                <w:lang w:val="zh-CN"/>
              </w:rPr>
              <w:t>条）。</w:t>
            </w:r>
          </w:p>
          <w:p w:rsidR="00000000" w:rsidRDefault="00457650">
            <w:pPr>
              <w:widowControl/>
              <w:tabs>
                <w:tab w:val="left" w:pos="630"/>
              </w:tabs>
              <w:spacing w:after="120" w:line="340" w:lineRule="exact"/>
              <w:rPr>
                <w:rFonts w:hint="eastAsia"/>
                <w:sz w:val="18"/>
                <w:lang w:val="zh-CN"/>
              </w:rPr>
            </w:pPr>
            <w:r>
              <w:rPr>
                <w:rFonts w:hint="eastAsia"/>
                <w:sz w:val="18"/>
                <w:lang w:val="zh-CN"/>
              </w:rPr>
              <w:t>工会禁止参与宗教事务以及以营利为目的的交易（第</w:t>
            </w:r>
            <w:r>
              <w:rPr>
                <w:rFonts w:hint="eastAsia"/>
                <w:sz w:val="18"/>
                <w:lang w:val="zh-CN"/>
              </w:rPr>
              <w:t>378</w:t>
            </w:r>
            <w:r>
              <w:rPr>
                <w:rFonts w:hint="eastAsia"/>
                <w:sz w:val="18"/>
                <w:lang w:val="zh-CN"/>
              </w:rPr>
              <w:t>条）。</w:t>
            </w:r>
          </w:p>
        </w:tc>
        <w:tc>
          <w:tcPr>
            <w:tcW w:w="2497" w:type="pct"/>
          </w:tcPr>
          <w:p w:rsidR="00000000" w:rsidRDefault="00457650">
            <w:pPr>
              <w:widowControl/>
              <w:tabs>
                <w:tab w:val="left" w:pos="630"/>
              </w:tabs>
              <w:spacing w:after="120" w:line="340" w:lineRule="exact"/>
              <w:rPr>
                <w:rFonts w:hint="eastAsia"/>
                <w:sz w:val="18"/>
                <w:lang w:val="zh-CN"/>
              </w:rPr>
            </w:pPr>
            <w:r>
              <w:rPr>
                <w:rFonts w:hint="eastAsia"/>
                <w:sz w:val="18"/>
                <w:lang w:val="zh-CN"/>
              </w:rPr>
              <w:t>工人和雇主可以在不需要事先授权的情况下组建联合会（第</w:t>
            </w:r>
            <w:r>
              <w:rPr>
                <w:rFonts w:hint="eastAsia"/>
                <w:sz w:val="18"/>
                <w:lang w:val="zh-CN"/>
              </w:rPr>
              <w:t>357</w:t>
            </w:r>
            <w:r>
              <w:rPr>
                <w:rFonts w:hint="eastAsia"/>
                <w:sz w:val="18"/>
                <w:lang w:val="zh-CN"/>
              </w:rPr>
              <w:t>条）。</w:t>
            </w:r>
          </w:p>
          <w:p w:rsidR="00000000" w:rsidRDefault="00457650">
            <w:pPr>
              <w:widowControl/>
              <w:tabs>
                <w:tab w:val="left" w:pos="630"/>
              </w:tabs>
              <w:spacing w:after="120" w:line="340" w:lineRule="exact"/>
              <w:rPr>
                <w:rFonts w:hint="eastAsia"/>
                <w:sz w:val="18"/>
                <w:lang w:val="zh-CN"/>
              </w:rPr>
            </w:pPr>
            <w:r>
              <w:rPr>
                <w:rFonts w:hint="eastAsia"/>
                <w:sz w:val="18"/>
                <w:lang w:val="zh-CN"/>
              </w:rPr>
              <w:t>14</w:t>
            </w:r>
            <w:r>
              <w:rPr>
                <w:rFonts w:hint="eastAsia"/>
                <w:sz w:val="18"/>
                <w:lang w:val="zh-CN"/>
              </w:rPr>
              <w:t>岁或</w:t>
            </w:r>
            <w:r>
              <w:rPr>
                <w:rFonts w:hint="eastAsia"/>
                <w:sz w:val="18"/>
                <w:lang w:val="zh-CN"/>
              </w:rPr>
              <w:t>14</w:t>
            </w:r>
            <w:r>
              <w:rPr>
                <w:rFonts w:hint="eastAsia"/>
                <w:sz w:val="18"/>
                <w:lang w:val="zh-CN"/>
              </w:rPr>
              <w:t>岁以上的人员可以参加（第</w:t>
            </w:r>
            <w:r>
              <w:rPr>
                <w:rFonts w:hint="eastAsia"/>
                <w:sz w:val="18"/>
                <w:lang w:val="zh-CN"/>
              </w:rPr>
              <w:t>362</w:t>
            </w:r>
            <w:r>
              <w:rPr>
                <w:rFonts w:hint="eastAsia"/>
                <w:sz w:val="18"/>
                <w:lang w:val="zh-CN"/>
              </w:rPr>
              <w:t>条）。</w:t>
            </w:r>
          </w:p>
          <w:p w:rsidR="00000000" w:rsidRDefault="00457650">
            <w:pPr>
              <w:widowControl/>
              <w:tabs>
                <w:tab w:val="left" w:pos="630"/>
              </w:tabs>
              <w:spacing w:after="120" w:line="340" w:lineRule="exact"/>
              <w:rPr>
                <w:rFonts w:hint="eastAsia"/>
                <w:sz w:val="18"/>
                <w:lang w:val="zh-CN"/>
              </w:rPr>
            </w:pPr>
            <w:r>
              <w:rPr>
                <w:rFonts w:hint="eastAsia"/>
                <w:sz w:val="18"/>
                <w:lang w:val="zh-CN"/>
              </w:rPr>
              <w:t>一个工会应该由</w:t>
            </w:r>
            <w:r>
              <w:rPr>
                <w:rFonts w:hint="eastAsia"/>
                <w:sz w:val="18"/>
                <w:lang w:val="zh-CN"/>
              </w:rPr>
              <w:t>20</w:t>
            </w:r>
            <w:r>
              <w:rPr>
                <w:rFonts w:hint="eastAsia"/>
                <w:sz w:val="18"/>
                <w:lang w:val="zh-CN"/>
              </w:rPr>
              <w:t>名在职工人或者</w:t>
            </w:r>
            <w:r>
              <w:rPr>
                <w:rFonts w:hint="eastAsia"/>
                <w:sz w:val="18"/>
                <w:lang w:val="zh-CN"/>
              </w:rPr>
              <w:t>3</w:t>
            </w:r>
            <w:r>
              <w:rPr>
                <w:rFonts w:hint="eastAsia"/>
                <w:sz w:val="18"/>
                <w:lang w:val="zh-CN"/>
              </w:rPr>
              <w:t>名雇主组成（第</w:t>
            </w:r>
            <w:r>
              <w:rPr>
                <w:rFonts w:hint="eastAsia"/>
                <w:sz w:val="18"/>
                <w:lang w:val="zh-CN"/>
              </w:rPr>
              <w:t>364</w:t>
            </w:r>
            <w:r>
              <w:rPr>
                <w:rFonts w:hint="eastAsia"/>
                <w:sz w:val="18"/>
                <w:lang w:val="zh-CN"/>
              </w:rPr>
              <w:t>条）。</w:t>
            </w:r>
          </w:p>
          <w:p w:rsidR="00000000" w:rsidRDefault="00457650">
            <w:pPr>
              <w:widowControl/>
              <w:tabs>
                <w:tab w:val="left" w:pos="630"/>
              </w:tabs>
              <w:spacing w:after="120" w:line="340" w:lineRule="exact"/>
              <w:rPr>
                <w:rFonts w:hint="eastAsia"/>
                <w:sz w:val="18"/>
                <w:lang w:val="zh-CN"/>
              </w:rPr>
            </w:pPr>
            <w:r>
              <w:rPr>
                <w:rFonts w:hint="eastAsia"/>
                <w:sz w:val="18"/>
                <w:lang w:val="zh-CN"/>
              </w:rPr>
              <w:t>在联邦权限范围内，工会的章程须上报劳工和社会福利部批准。</w:t>
            </w:r>
          </w:p>
          <w:p w:rsidR="00000000" w:rsidRDefault="00457650">
            <w:pPr>
              <w:widowControl/>
              <w:tabs>
                <w:tab w:val="left" w:pos="630"/>
              </w:tabs>
              <w:spacing w:after="120" w:line="340" w:lineRule="exact"/>
              <w:rPr>
                <w:rFonts w:hint="eastAsia"/>
                <w:sz w:val="18"/>
                <w:lang w:val="zh-CN"/>
              </w:rPr>
            </w:pPr>
            <w:r>
              <w:rPr>
                <w:rFonts w:hint="eastAsia"/>
                <w:sz w:val="18"/>
                <w:lang w:val="zh-CN"/>
              </w:rPr>
              <w:t>工人和雇主可以组成联合会，不需要以前的组织参与（</w:t>
            </w:r>
            <w:r>
              <w:rPr>
                <w:rFonts w:hint="eastAsia"/>
                <w:sz w:val="18"/>
                <w:lang w:val="zh-CN"/>
              </w:rPr>
              <w:t>357</w:t>
            </w:r>
            <w:r>
              <w:rPr>
                <w:rFonts w:hint="eastAsia"/>
                <w:sz w:val="18"/>
                <w:lang w:val="zh-CN"/>
              </w:rPr>
              <w:t>）。</w:t>
            </w:r>
          </w:p>
          <w:p w:rsidR="00000000" w:rsidRDefault="00457650">
            <w:pPr>
              <w:widowControl/>
              <w:tabs>
                <w:tab w:val="left" w:pos="630"/>
              </w:tabs>
              <w:spacing w:after="120" w:line="340" w:lineRule="exact"/>
              <w:rPr>
                <w:rFonts w:hint="eastAsia"/>
                <w:sz w:val="18"/>
                <w:lang w:val="zh-CN"/>
              </w:rPr>
            </w:pPr>
            <w:r>
              <w:rPr>
                <w:rFonts w:hint="eastAsia"/>
                <w:sz w:val="18"/>
                <w:lang w:val="zh-CN"/>
              </w:rPr>
              <w:t>14</w:t>
            </w:r>
            <w:r>
              <w:rPr>
                <w:rFonts w:hint="eastAsia"/>
                <w:sz w:val="18"/>
                <w:lang w:val="zh-CN"/>
              </w:rPr>
              <w:t>岁以上者可以参加（</w:t>
            </w:r>
            <w:r>
              <w:rPr>
                <w:rFonts w:hint="eastAsia"/>
                <w:sz w:val="18"/>
                <w:lang w:val="zh-CN"/>
              </w:rPr>
              <w:t>362</w:t>
            </w:r>
            <w:r>
              <w:rPr>
                <w:rFonts w:hint="eastAsia"/>
                <w:sz w:val="18"/>
                <w:lang w:val="zh-CN"/>
              </w:rPr>
              <w:t>）。</w:t>
            </w:r>
          </w:p>
          <w:p w:rsidR="00000000" w:rsidRDefault="00457650">
            <w:pPr>
              <w:widowControl/>
              <w:tabs>
                <w:tab w:val="left" w:pos="630"/>
              </w:tabs>
              <w:spacing w:after="120" w:line="340" w:lineRule="exact"/>
              <w:rPr>
                <w:rFonts w:hint="eastAsia"/>
                <w:sz w:val="18"/>
                <w:lang w:val="zh-CN"/>
              </w:rPr>
            </w:pPr>
            <w:r>
              <w:rPr>
                <w:rFonts w:hint="eastAsia"/>
                <w:sz w:val="18"/>
                <w:lang w:val="zh-CN"/>
              </w:rPr>
              <w:t>在联邦权限范围内，组成联合会必须向劳工和社会福利部报</w:t>
            </w:r>
            <w:r>
              <w:rPr>
                <w:rFonts w:hint="eastAsia"/>
                <w:sz w:val="18"/>
                <w:lang w:val="zh-CN"/>
              </w:rPr>
              <w:t>告。</w:t>
            </w:r>
          </w:p>
          <w:p w:rsidR="00000000" w:rsidRDefault="00457650">
            <w:pPr>
              <w:widowControl/>
              <w:tabs>
                <w:tab w:val="left" w:pos="630"/>
              </w:tabs>
              <w:spacing w:after="120" w:line="340" w:lineRule="exact"/>
              <w:rPr>
                <w:rFonts w:hint="eastAsia"/>
                <w:sz w:val="18"/>
                <w:lang w:val="zh-CN"/>
              </w:rPr>
            </w:pPr>
            <w:r>
              <w:rPr>
                <w:rFonts w:hint="eastAsia"/>
                <w:sz w:val="18"/>
                <w:lang w:val="zh-CN"/>
              </w:rPr>
              <w:t>在地方权限范围内，须向调解和仲裁委员会报告。</w:t>
            </w:r>
          </w:p>
          <w:p w:rsidR="00000000" w:rsidRDefault="00457650">
            <w:pPr>
              <w:widowControl/>
              <w:tabs>
                <w:tab w:val="left" w:pos="630"/>
              </w:tabs>
              <w:spacing w:after="120" w:line="340" w:lineRule="exact"/>
              <w:rPr>
                <w:rFonts w:hint="eastAsia"/>
                <w:sz w:val="18"/>
                <w:lang w:val="zh-CN"/>
              </w:rPr>
            </w:pPr>
            <w:r>
              <w:rPr>
                <w:rFonts w:hint="eastAsia"/>
                <w:sz w:val="18"/>
                <w:lang w:val="zh-CN"/>
              </w:rPr>
              <w:t>登记申请必须附带两份制宪大会记录、章程、大会关于执行人员选举的决定，以及一份标明成员人数、姓名和地址，雇主的姓名和地址，及其所在企业和公司的名单（第</w:t>
            </w:r>
            <w:r>
              <w:rPr>
                <w:rFonts w:hint="eastAsia"/>
                <w:sz w:val="18"/>
                <w:lang w:val="zh-CN"/>
              </w:rPr>
              <w:t>365</w:t>
            </w:r>
            <w:r>
              <w:rPr>
                <w:rFonts w:hint="eastAsia"/>
                <w:sz w:val="18"/>
                <w:lang w:val="zh-CN"/>
              </w:rPr>
              <w:t>条）。</w:t>
            </w:r>
          </w:p>
        </w:tc>
      </w:tr>
    </w:tbl>
    <w:p w:rsidR="00000000" w:rsidRDefault="00457650">
      <w:pPr>
        <w:widowControl/>
        <w:tabs>
          <w:tab w:val="left" w:pos="630"/>
        </w:tabs>
        <w:spacing w:beforeLines="50" w:before="120" w:after="240" w:line="360" w:lineRule="exact"/>
        <w:jc w:val="center"/>
        <w:rPr>
          <w:rFonts w:eastAsia="SimHei" w:hint="eastAsia"/>
          <w:lang w:val="zh-CN"/>
        </w:rPr>
      </w:pPr>
      <w:r>
        <w:rPr>
          <w:rFonts w:eastAsia="SimHei" w:hint="eastAsia"/>
          <w:lang w:val="zh-CN"/>
        </w:rPr>
        <w:t>雇主联合会</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6"/>
        <w:gridCol w:w="4915"/>
      </w:tblGrid>
      <w:tr w:rsidR="00000000">
        <w:tblPrEx>
          <w:tblCellMar>
            <w:top w:w="0" w:type="dxa"/>
            <w:bottom w:w="0" w:type="dxa"/>
          </w:tblCellMar>
        </w:tblPrEx>
        <w:tc>
          <w:tcPr>
            <w:tcW w:w="2503" w:type="pct"/>
          </w:tcPr>
          <w:p w:rsidR="00000000" w:rsidRDefault="00457650">
            <w:pPr>
              <w:widowControl/>
              <w:tabs>
                <w:tab w:val="left" w:pos="630"/>
              </w:tabs>
              <w:spacing w:after="120" w:line="340" w:lineRule="exact"/>
              <w:rPr>
                <w:rFonts w:hint="eastAsia"/>
                <w:sz w:val="18"/>
                <w:lang w:val="zh-CN"/>
              </w:rPr>
            </w:pPr>
            <w:r>
              <w:rPr>
                <w:rFonts w:hint="eastAsia"/>
                <w:sz w:val="18"/>
                <w:lang w:val="zh-CN"/>
              </w:rPr>
              <w:t>联合会可以由一个或多个活动机构的雇主，或者在国家一级，由来自各州一个或多个活动机构的雇主组成。（第</w:t>
            </w:r>
            <w:r>
              <w:rPr>
                <w:rFonts w:hint="eastAsia"/>
                <w:sz w:val="18"/>
                <w:lang w:val="zh-CN"/>
              </w:rPr>
              <w:t>361</w:t>
            </w:r>
            <w:r>
              <w:rPr>
                <w:rFonts w:hint="eastAsia"/>
                <w:sz w:val="18"/>
                <w:lang w:val="zh-CN"/>
              </w:rPr>
              <w:t>条）</w:t>
            </w:r>
          </w:p>
          <w:p w:rsidR="00000000" w:rsidRDefault="00457650">
            <w:pPr>
              <w:widowControl/>
              <w:tabs>
                <w:tab w:val="left" w:pos="630"/>
              </w:tabs>
              <w:spacing w:after="120" w:line="340" w:lineRule="exact"/>
              <w:rPr>
                <w:rFonts w:hint="eastAsia"/>
                <w:sz w:val="18"/>
                <w:lang w:val="zh-CN"/>
              </w:rPr>
            </w:pPr>
            <w:r>
              <w:rPr>
                <w:rFonts w:hint="eastAsia"/>
                <w:sz w:val="18"/>
                <w:lang w:val="zh-CN"/>
              </w:rPr>
              <w:t>雇主联合会可以自主制定他们的章程和规定，选举代表，组织他们的行政部门和活动，并且制定其行动计划。（第</w:t>
            </w:r>
            <w:r>
              <w:rPr>
                <w:rFonts w:hint="eastAsia"/>
                <w:sz w:val="18"/>
                <w:lang w:val="zh-CN"/>
              </w:rPr>
              <w:t>359</w:t>
            </w:r>
            <w:r>
              <w:rPr>
                <w:rFonts w:hint="eastAsia"/>
                <w:sz w:val="18"/>
                <w:lang w:val="zh-CN"/>
              </w:rPr>
              <w:t>条）</w:t>
            </w:r>
          </w:p>
        </w:tc>
        <w:tc>
          <w:tcPr>
            <w:tcW w:w="2497" w:type="pct"/>
          </w:tcPr>
          <w:p w:rsidR="00000000" w:rsidRDefault="00457650">
            <w:pPr>
              <w:widowControl/>
              <w:tabs>
                <w:tab w:val="left" w:pos="630"/>
              </w:tabs>
              <w:spacing w:after="120" w:line="340" w:lineRule="exact"/>
              <w:rPr>
                <w:rFonts w:hint="eastAsia"/>
                <w:sz w:val="18"/>
                <w:lang w:val="zh-CN"/>
              </w:rPr>
            </w:pPr>
            <w:r>
              <w:rPr>
                <w:rFonts w:hint="eastAsia"/>
                <w:sz w:val="18"/>
                <w:lang w:val="zh-CN"/>
              </w:rPr>
              <w:t>工人和雇主可以在不需要事先授权的情况下组建联合会。（第</w:t>
            </w:r>
            <w:r>
              <w:rPr>
                <w:rFonts w:hint="eastAsia"/>
                <w:sz w:val="18"/>
                <w:lang w:val="zh-CN"/>
              </w:rPr>
              <w:t>357</w:t>
            </w:r>
            <w:r>
              <w:rPr>
                <w:rFonts w:hint="eastAsia"/>
                <w:sz w:val="18"/>
                <w:lang w:val="zh-CN"/>
              </w:rPr>
              <w:t>条</w:t>
            </w:r>
            <w:r>
              <w:rPr>
                <w:rFonts w:hint="eastAsia"/>
                <w:sz w:val="18"/>
                <w:lang w:val="zh-CN"/>
              </w:rPr>
              <w:t>）</w:t>
            </w:r>
          </w:p>
          <w:p w:rsidR="00000000" w:rsidRDefault="00457650">
            <w:pPr>
              <w:widowControl/>
              <w:tabs>
                <w:tab w:val="left" w:pos="630"/>
              </w:tabs>
              <w:spacing w:after="120" w:line="340" w:lineRule="exact"/>
              <w:rPr>
                <w:rFonts w:hint="eastAsia"/>
                <w:sz w:val="18"/>
                <w:lang w:val="zh-CN"/>
              </w:rPr>
            </w:pPr>
          </w:p>
        </w:tc>
      </w:tr>
    </w:tbl>
    <w:p w:rsidR="00000000" w:rsidRDefault="00457650">
      <w:pPr>
        <w:pStyle w:val="Date"/>
        <w:widowControl/>
        <w:tabs>
          <w:tab w:val="left" w:pos="630"/>
        </w:tabs>
        <w:spacing w:line="360" w:lineRule="exact"/>
        <w:rPr>
          <w:rFonts w:hint="eastAsia"/>
          <w:lang w:val="zh-CN"/>
        </w:rPr>
      </w:pPr>
    </w:p>
    <w:p w:rsidR="00000000" w:rsidRDefault="00457650">
      <w:pPr>
        <w:widowControl/>
        <w:tabs>
          <w:tab w:val="left" w:pos="630"/>
        </w:tabs>
        <w:spacing w:after="240" w:line="360" w:lineRule="exact"/>
        <w:rPr>
          <w:rFonts w:hint="eastAsia"/>
          <w:lang w:val="zh-CN"/>
        </w:rPr>
      </w:pPr>
      <w:r>
        <w:rPr>
          <w:rFonts w:hint="eastAsia"/>
          <w:lang w:val="zh-CN"/>
        </w:rPr>
        <w:t>279.</w:t>
      </w:r>
      <w:r>
        <w:rPr>
          <w:rFonts w:hint="eastAsia"/>
          <w:lang w:val="zh-CN"/>
        </w:rPr>
        <w:tab/>
      </w:r>
      <w:r>
        <w:rPr>
          <w:rFonts w:hint="eastAsia"/>
          <w:lang w:val="zh-CN"/>
        </w:rPr>
        <w:t>该法还补充规定，已参加工会的工人可以被除名或者自愿退出（第</w:t>
      </w:r>
      <w:r>
        <w:rPr>
          <w:rFonts w:hint="eastAsia"/>
          <w:lang w:val="zh-CN"/>
        </w:rPr>
        <w:t>358</w:t>
      </w:r>
      <w:r>
        <w:rPr>
          <w:rFonts w:hint="eastAsia"/>
          <w:lang w:val="zh-CN"/>
        </w:rPr>
        <w:t>条），而且有不参加任何工会的自由。</w:t>
      </w:r>
    </w:p>
    <w:p w:rsidR="00000000" w:rsidRDefault="00457650">
      <w:pPr>
        <w:widowControl/>
        <w:tabs>
          <w:tab w:val="left" w:pos="630"/>
        </w:tabs>
        <w:spacing w:after="240" w:line="360" w:lineRule="exact"/>
        <w:rPr>
          <w:rFonts w:hint="eastAsia"/>
          <w:lang w:val="zh-CN"/>
        </w:rPr>
      </w:pPr>
      <w:r>
        <w:rPr>
          <w:rFonts w:hint="eastAsia"/>
          <w:lang w:val="zh-CN"/>
        </w:rPr>
        <w:t>280.</w:t>
      </w:r>
      <w:r>
        <w:rPr>
          <w:rFonts w:hint="eastAsia"/>
          <w:lang w:val="zh-CN"/>
        </w:rPr>
        <w:tab/>
      </w:r>
      <w:r>
        <w:rPr>
          <w:rFonts w:hint="eastAsia"/>
          <w:lang w:val="zh-CN"/>
        </w:rPr>
        <w:t>关于联合会的类型，《联邦劳动法》第</w:t>
      </w:r>
      <w:r>
        <w:rPr>
          <w:rFonts w:hint="eastAsia"/>
          <w:lang w:val="zh-CN"/>
        </w:rPr>
        <w:t>360</w:t>
      </w:r>
      <w:r>
        <w:rPr>
          <w:rFonts w:hint="eastAsia"/>
          <w:lang w:val="zh-CN"/>
        </w:rPr>
        <w:t>条规定了以下类别：</w:t>
      </w:r>
    </w:p>
    <w:p w:rsidR="00000000" w:rsidRDefault="00457650" w:rsidP="00457650">
      <w:pPr>
        <w:widowControl/>
        <w:tabs>
          <w:tab w:val="left" w:pos="630"/>
        </w:tabs>
        <w:spacing w:after="240" w:line="360" w:lineRule="exact"/>
        <w:ind w:leftChars="300" w:left="31680" w:hangingChars="200" w:firstLine="31680"/>
        <w:rPr>
          <w:rFonts w:hint="eastAsia"/>
          <w:lang w:val="zh-CN"/>
        </w:rPr>
      </w:pPr>
      <w:r>
        <w:rPr>
          <w:rFonts w:hint="eastAsia"/>
          <w:lang w:val="zh-CN"/>
        </w:rPr>
        <w:t>一、根据行业，例如，由专业、职业或专长相同的工人组成。</w:t>
      </w:r>
    </w:p>
    <w:p w:rsidR="00000000" w:rsidRDefault="00457650" w:rsidP="00457650">
      <w:pPr>
        <w:widowControl/>
        <w:tabs>
          <w:tab w:val="left" w:pos="630"/>
        </w:tabs>
        <w:spacing w:after="240" w:line="360" w:lineRule="exact"/>
        <w:ind w:leftChars="300" w:left="31680" w:hangingChars="200" w:firstLine="31680"/>
        <w:rPr>
          <w:rFonts w:hint="eastAsia"/>
          <w:lang w:val="zh-CN"/>
        </w:rPr>
      </w:pPr>
      <w:r>
        <w:rPr>
          <w:rFonts w:hint="eastAsia"/>
          <w:lang w:val="zh-CN"/>
        </w:rPr>
        <w:t>二、根据企业，例如，由同一个企业中的雇用工人组成。</w:t>
      </w:r>
    </w:p>
    <w:p w:rsidR="00000000" w:rsidRDefault="00457650" w:rsidP="00457650">
      <w:pPr>
        <w:widowControl/>
        <w:tabs>
          <w:tab w:val="left" w:pos="630"/>
        </w:tabs>
        <w:spacing w:after="240" w:line="360" w:lineRule="exact"/>
        <w:ind w:leftChars="300" w:left="31680" w:hangingChars="200" w:firstLine="31680"/>
        <w:rPr>
          <w:rFonts w:hint="eastAsia"/>
          <w:lang w:val="zh-CN"/>
        </w:rPr>
      </w:pPr>
      <w:r>
        <w:rPr>
          <w:rFonts w:hint="eastAsia"/>
          <w:lang w:val="zh-CN"/>
        </w:rPr>
        <w:t>三、根据产业，例如，由同一个产业分支中的两家或更多企业里的雇用工人组成，再例如，由联邦两个或更多州里的同一个产业分支中的一家或更多企业里的雇用工人组成。</w:t>
      </w:r>
    </w:p>
    <w:p w:rsidR="00000000" w:rsidRDefault="00457650" w:rsidP="00457650">
      <w:pPr>
        <w:widowControl/>
        <w:tabs>
          <w:tab w:val="left" w:pos="630"/>
        </w:tabs>
        <w:spacing w:after="240" w:line="360" w:lineRule="exact"/>
        <w:ind w:leftChars="300" w:left="31680" w:hangingChars="200" w:firstLine="31680"/>
        <w:rPr>
          <w:rFonts w:hint="eastAsia"/>
          <w:lang w:val="zh-CN"/>
        </w:rPr>
      </w:pPr>
      <w:r>
        <w:rPr>
          <w:rFonts w:hint="eastAsia"/>
          <w:lang w:val="zh-CN"/>
        </w:rPr>
        <w:t>四、根据全国性产业，例如，由两个或更多联邦州里的同一个产业分</w:t>
      </w:r>
      <w:r>
        <w:rPr>
          <w:rFonts w:hint="eastAsia"/>
          <w:lang w:val="zh-CN"/>
        </w:rPr>
        <w:t>支中的一家或更多企业里的雇用工人组成；或者</w:t>
      </w:r>
    </w:p>
    <w:p w:rsidR="00000000" w:rsidRDefault="00457650" w:rsidP="00457650">
      <w:pPr>
        <w:widowControl/>
        <w:tabs>
          <w:tab w:val="left" w:pos="630"/>
        </w:tabs>
        <w:spacing w:after="240" w:line="360" w:lineRule="exact"/>
        <w:ind w:leftChars="300" w:left="31680" w:hangingChars="200" w:firstLine="31680"/>
        <w:rPr>
          <w:rFonts w:hint="eastAsia"/>
          <w:lang w:val="zh-CN"/>
        </w:rPr>
      </w:pPr>
      <w:r>
        <w:rPr>
          <w:rFonts w:hint="eastAsia"/>
          <w:lang w:val="zh-CN"/>
        </w:rPr>
        <w:t>五、根据若干职业，例如，由多项职业的工人组成。此类工会只建在相关的市政部门中，同一项职业的雇用工人数量不足</w:t>
      </w:r>
      <w:r>
        <w:rPr>
          <w:rFonts w:hint="eastAsia"/>
          <w:lang w:val="zh-CN"/>
        </w:rPr>
        <w:t>20</w:t>
      </w:r>
      <w:r>
        <w:rPr>
          <w:rFonts w:hint="eastAsia"/>
          <w:lang w:val="zh-CN"/>
        </w:rPr>
        <w:t>人的时候才有可能成立。</w:t>
      </w:r>
    </w:p>
    <w:p w:rsidR="00000000" w:rsidRDefault="00457650">
      <w:pPr>
        <w:widowControl/>
        <w:tabs>
          <w:tab w:val="left" w:pos="630"/>
        </w:tabs>
        <w:spacing w:after="240" w:line="360" w:lineRule="exact"/>
        <w:rPr>
          <w:rFonts w:ascii="SimHei" w:eastAsia="SimHei" w:hint="eastAsia"/>
          <w:lang w:val="zh-CN"/>
        </w:rPr>
      </w:pPr>
      <w:r>
        <w:rPr>
          <w:rFonts w:ascii="SimHei" w:eastAsia="SimHei" w:hint="eastAsia"/>
          <w:lang w:val="zh-CN"/>
        </w:rPr>
        <w:t>第</w:t>
      </w:r>
      <w:r>
        <w:rPr>
          <w:rFonts w:ascii="SimHei" w:eastAsia="SimHei" w:hint="eastAsia"/>
          <w:lang w:val="zh-CN"/>
        </w:rPr>
        <w:t>22</w:t>
      </w:r>
      <w:r>
        <w:rPr>
          <w:rFonts w:ascii="SimHei" w:eastAsia="SimHei" w:hint="eastAsia"/>
          <w:lang w:val="zh-CN"/>
        </w:rPr>
        <w:t>段（</w:t>
      </w:r>
      <w:r>
        <w:rPr>
          <w:rFonts w:ascii="SimHei" w:eastAsia="SimHei" w:hint="eastAsia"/>
          <w:lang w:val="zh-CN"/>
        </w:rPr>
        <w:t>a</w:t>
      </w:r>
      <w:r>
        <w:rPr>
          <w:rFonts w:ascii="SimHei" w:eastAsia="SimHei" w:hint="eastAsia"/>
          <w:lang w:val="zh-CN"/>
        </w:rPr>
        <w:t>）</w:t>
      </w:r>
    </w:p>
    <w:p w:rsidR="00000000" w:rsidRDefault="00457650">
      <w:pPr>
        <w:widowControl/>
        <w:tabs>
          <w:tab w:val="left" w:pos="630"/>
        </w:tabs>
        <w:spacing w:after="240" w:line="360" w:lineRule="exact"/>
        <w:rPr>
          <w:rFonts w:hint="eastAsia"/>
          <w:lang w:val="zh-CN"/>
        </w:rPr>
      </w:pPr>
      <w:r>
        <w:rPr>
          <w:rFonts w:hint="eastAsia"/>
          <w:lang w:val="zh-CN"/>
        </w:rPr>
        <w:t>281.</w:t>
      </w:r>
      <w:r>
        <w:rPr>
          <w:rFonts w:hint="eastAsia"/>
          <w:lang w:val="zh-CN"/>
        </w:rPr>
        <w:tab/>
      </w:r>
      <w:r>
        <w:rPr>
          <w:rFonts w:hint="eastAsia"/>
          <w:lang w:val="zh-CN"/>
        </w:rPr>
        <w:t>根据《墨西哥合众国宪法》第</w:t>
      </w:r>
      <w:r>
        <w:rPr>
          <w:rFonts w:hint="eastAsia"/>
          <w:lang w:val="zh-CN"/>
        </w:rPr>
        <w:t>123</w:t>
      </w:r>
      <w:r>
        <w:rPr>
          <w:rFonts w:hint="eastAsia"/>
          <w:lang w:val="zh-CN"/>
        </w:rPr>
        <w:t>条规定，各种类别的工人享有同样的结社权利。管辖劳动问题的法律在字面和精神上都承认这项权利。</w:t>
      </w:r>
    </w:p>
    <w:p w:rsidR="00000000" w:rsidRDefault="00457650">
      <w:pPr>
        <w:widowControl/>
        <w:tabs>
          <w:tab w:val="left" w:pos="630"/>
        </w:tabs>
        <w:spacing w:after="240" w:line="360" w:lineRule="exact"/>
        <w:rPr>
          <w:rFonts w:hint="eastAsia"/>
          <w:lang w:val="zh-CN"/>
        </w:rPr>
      </w:pPr>
      <w:r>
        <w:rPr>
          <w:rFonts w:hint="eastAsia"/>
          <w:lang w:val="zh-CN"/>
        </w:rPr>
        <w:t>282.</w:t>
      </w:r>
      <w:r>
        <w:rPr>
          <w:rFonts w:hint="eastAsia"/>
          <w:lang w:val="zh-CN"/>
        </w:rPr>
        <w:tab/>
      </w:r>
      <w:r>
        <w:rPr>
          <w:rFonts w:hint="eastAsia"/>
          <w:lang w:val="zh-CN"/>
        </w:rPr>
        <w:t>但是，随着时间的推移，若干有组织的工人群体，以及民间社会学术界的不同人士都认为，</w:t>
      </w:r>
      <w:r>
        <w:rPr>
          <w:rFonts w:hint="eastAsia"/>
          <w:lang w:val="zh-CN"/>
        </w:rPr>
        <w:t>1960</w:t>
      </w:r>
      <w:r>
        <w:rPr>
          <w:rFonts w:hint="eastAsia"/>
          <w:lang w:val="zh-CN"/>
        </w:rPr>
        <w:t>年开始在墨西哥实行，专门处理国家劳资关系，并且体现了《宪法》第</w:t>
      </w:r>
      <w:r>
        <w:rPr>
          <w:rFonts w:hint="eastAsia"/>
          <w:lang w:val="zh-CN"/>
        </w:rPr>
        <w:t>123</w:t>
      </w:r>
      <w:r>
        <w:rPr>
          <w:rFonts w:hint="eastAsia"/>
          <w:lang w:val="zh-CN"/>
        </w:rPr>
        <w:t>条</w:t>
      </w:r>
      <w:r>
        <w:rPr>
          <w:rFonts w:hint="eastAsia"/>
          <w:lang w:val="zh-CN"/>
        </w:rPr>
        <w:t>B</w:t>
      </w:r>
      <w:r>
        <w:rPr>
          <w:rFonts w:hint="eastAsia"/>
          <w:lang w:val="zh-CN"/>
        </w:rPr>
        <w:t>部分的《联邦国</w:t>
      </w:r>
      <w:r>
        <w:rPr>
          <w:rFonts w:hint="eastAsia"/>
          <w:lang w:val="zh-CN"/>
        </w:rPr>
        <w:t>家工人法》，对结社自由的权利的行使构成了主要的限制。</w:t>
      </w:r>
    </w:p>
    <w:p w:rsidR="00000000" w:rsidRDefault="00457650">
      <w:pPr>
        <w:widowControl/>
        <w:tabs>
          <w:tab w:val="left" w:pos="630"/>
        </w:tabs>
        <w:spacing w:after="240" w:line="360" w:lineRule="exact"/>
        <w:rPr>
          <w:rFonts w:hint="eastAsia"/>
          <w:lang w:val="zh-CN"/>
        </w:rPr>
      </w:pPr>
      <w:r>
        <w:rPr>
          <w:rFonts w:hint="eastAsia"/>
          <w:lang w:val="zh-CN"/>
        </w:rPr>
        <w:t>283.</w:t>
      </w:r>
      <w:r>
        <w:rPr>
          <w:rFonts w:hint="eastAsia"/>
          <w:lang w:val="zh-CN"/>
        </w:rPr>
        <w:tab/>
      </w:r>
      <w:r>
        <w:rPr>
          <w:rFonts w:hint="eastAsia"/>
          <w:lang w:val="zh-CN"/>
        </w:rPr>
        <w:t>这项权利被认为受到《法案》第</w:t>
      </w:r>
      <w:r>
        <w:rPr>
          <w:rFonts w:hint="eastAsia"/>
          <w:lang w:val="zh-CN"/>
        </w:rPr>
        <w:t>68</w:t>
      </w:r>
      <w:r>
        <w:rPr>
          <w:rFonts w:hint="eastAsia"/>
          <w:lang w:val="zh-CN"/>
        </w:rPr>
        <w:t>条的限制，内容如下：“一个国家机构应该只有一个贸易联合会。如果若干工人团体之间为这项权利发生冲突，联邦调解和仲裁法庭应该承认多数群体”，以及第</w:t>
      </w:r>
      <w:r>
        <w:rPr>
          <w:rFonts w:hint="eastAsia"/>
          <w:lang w:val="zh-CN"/>
        </w:rPr>
        <w:t>69</w:t>
      </w:r>
      <w:r>
        <w:rPr>
          <w:rFonts w:hint="eastAsia"/>
          <w:lang w:val="zh-CN"/>
        </w:rPr>
        <w:t>条中有关对脱离工会的禁止：“所有工人都有权参加有关的贸易联合会，但是一旦他们提出申请并得以加入，除非被驱逐，否则不得脱离该贸易联合会。”</w:t>
      </w:r>
    </w:p>
    <w:p w:rsidR="00000000" w:rsidRDefault="00457650">
      <w:pPr>
        <w:widowControl/>
        <w:tabs>
          <w:tab w:val="left" w:pos="630"/>
        </w:tabs>
        <w:spacing w:after="240" w:line="360" w:lineRule="exact"/>
        <w:rPr>
          <w:rFonts w:ascii="SimHei" w:eastAsia="SimHei" w:hint="eastAsia"/>
          <w:lang w:val="zh-CN"/>
        </w:rPr>
      </w:pPr>
      <w:r>
        <w:rPr>
          <w:rFonts w:ascii="SimHei" w:eastAsia="SimHei" w:hint="eastAsia"/>
          <w:lang w:val="zh-CN"/>
        </w:rPr>
        <w:t>第</w:t>
      </w:r>
      <w:r>
        <w:rPr>
          <w:rFonts w:ascii="SimHei" w:eastAsia="SimHei" w:hint="eastAsia"/>
          <w:lang w:val="zh-CN"/>
        </w:rPr>
        <w:t>22</w:t>
      </w:r>
      <w:r>
        <w:rPr>
          <w:rFonts w:ascii="SimHei" w:eastAsia="SimHei" w:hint="eastAsia"/>
          <w:lang w:val="zh-CN"/>
        </w:rPr>
        <w:t>段（</w:t>
      </w:r>
      <w:r>
        <w:rPr>
          <w:rFonts w:ascii="SimHei" w:eastAsia="SimHei" w:hint="eastAsia"/>
          <w:lang w:val="zh-CN"/>
        </w:rPr>
        <w:t>b</w:t>
      </w:r>
      <w:r>
        <w:rPr>
          <w:rFonts w:ascii="SimHei" w:eastAsia="SimHei" w:hint="eastAsia"/>
          <w:lang w:val="zh-CN"/>
        </w:rPr>
        <w:t>）</w:t>
      </w:r>
    </w:p>
    <w:p w:rsidR="00000000" w:rsidRDefault="00457650">
      <w:pPr>
        <w:widowControl/>
        <w:tabs>
          <w:tab w:val="left" w:pos="630"/>
        </w:tabs>
        <w:spacing w:after="240" w:line="360" w:lineRule="exact"/>
        <w:rPr>
          <w:rFonts w:hint="eastAsia"/>
          <w:lang w:val="zh-CN"/>
        </w:rPr>
      </w:pPr>
      <w:r>
        <w:rPr>
          <w:rFonts w:hint="eastAsia"/>
          <w:lang w:val="zh-CN"/>
        </w:rPr>
        <w:t>284.</w:t>
      </w:r>
      <w:r>
        <w:rPr>
          <w:rFonts w:hint="eastAsia"/>
          <w:lang w:val="zh-CN"/>
        </w:rPr>
        <w:tab/>
      </w:r>
      <w:r>
        <w:rPr>
          <w:rFonts w:hint="eastAsia"/>
          <w:lang w:val="zh-CN"/>
        </w:rPr>
        <w:t>在有关服务于国家的劳动者的劳动关系的立法中，对完全行使自由结社权利的限制在第</w:t>
      </w:r>
      <w:r>
        <w:rPr>
          <w:rFonts w:hint="eastAsia"/>
          <w:lang w:val="zh-CN"/>
        </w:rPr>
        <w:t>68</w:t>
      </w:r>
      <w:r>
        <w:rPr>
          <w:rFonts w:hint="eastAsia"/>
          <w:lang w:val="zh-CN"/>
        </w:rPr>
        <w:t>和</w:t>
      </w:r>
      <w:r>
        <w:rPr>
          <w:rFonts w:hint="eastAsia"/>
          <w:lang w:val="zh-CN"/>
        </w:rPr>
        <w:t>69</w:t>
      </w:r>
      <w:r>
        <w:rPr>
          <w:rFonts w:hint="eastAsia"/>
          <w:lang w:val="zh-CN"/>
        </w:rPr>
        <w:t>条中有明确规定，这在</w:t>
      </w:r>
      <w:r>
        <w:rPr>
          <w:rFonts w:hint="eastAsia"/>
          <w:lang w:val="zh-CN"/>
        </w:rPr>
        <w:t>前面的回复中已经提及，它作为</w:t>
      </w:r>
      <w:r>
        <w:rPr>
          <w:rFonts w:hint="eastAsia"/>
          <w:lang w:val="zh-CN"/>
        </w:rPr>
        <w:t>1996</w:t>
      </w:r>
      <w:r>
        <w:rPr>
          <w:rFonts w:hint="eastAsia"/>
          <w:lang w:val="zh-CN"/>
        </w:rPr>
        <w:t>年国家最高法院权利下放的结果已经开始被逐步取消。</w:t>
      </w:r>
    </w:p>
    <w:p w:rsidR="00000000" w:rsidRDefault="00457650">
      <w:pPr>
        <w:widowControl/>
        <w:tabs>
          <w:tab w:val="left" w:pos="630"/>
        </w:tabs>
        <w:spacing w:after="240" w:line="360" w:lineRule="exact"/>
        <w:rPr>
          <w:rFonts w:hint="eastAsia"/>
          <w:lang w:val="zh-CN"/>
        </w:rPr>
      </w:pPr>
      <w:r>
        <w:rPr>
          <w:rFonts w:hint="eastAsia"/>
          <w:lang w:val="zh-CN"/>
        </w:rPr>
        <w:t>285.</w:t>
      </w:r>
      <w:r>
        <w:rPr>
          <w:rFonts w:hint="eastAsia"/>
          <w:lang w:val="zh-CN"/>
        </w:rPr>
        <w:tab/>
        <w:t>1996</w:t>
      </w:r>
      <w:r>
        <w:rPr>
          <w:rFonts w:hint="eastAsia"/>
          <w:lang w:val="zh-CN"/>
        </w:rPr>
        <w:t>年</w:t>
      </w:r>
      <w:r>
        <w:rPr>
          <w:rFonts w:hint="eastAsia"/>
          <w:lang w:val="zh-CN"/>
        </w:rPr>
        <w:t>1</w:t>
      </w:r>
      <w:r>
        <w:rPr>
          <w:rFonts w:hint="eastAsia"/>
          <w:lang w:val="zh-CN"/>
        </w:rPr>
        <w:t>月</w:t>
      </w:r>
      <w:r>
        <w:rPr>
          <w:rFonts w:hint="eastAsia"/>
          <w:lang w:val="zh-CN"/>
        </w:rPr>
        <w:t>15</w:t>
      </w:r>
      <w:r>
        <w:rPr>
          <w:rFonts w:hint="eastAsia"/>
          <w:lang w:val="zh-CN"/>
        </w:rPr>
        <w:t>日国家最高法院全体成员出席，以</w:t>
      </w:r>
      <w:r>
        <w:rPr>
          <w:rFonts w:hint="eastAsia"/>
          <w:lang w:val="zh-CN"/>
        </w:rPr>
        <w:t>11</w:t>
      </w:r>
      <w:r>
        <w:rPr>
          <w:rFonts w:hint="eastAsia"/>
          <w:lang w:val="zh-CN"/>
        </w:rPr>
        <w:t>票一致批准了第</w:t>
      </w:r>
      <w:r>
        <w:rPr>
          <w:rFonts w:hint="eastAsia"/>
          <w:lang w:val="zh-CN"/>
        </w:rPr>
        <w:t>1</w:t>
      </w:r>
      <w:r>
        <w:rPr>
          <w:rFonts w:hint="eastAsia"/>
          <w:lang w:val="zh-CN"/>
        </w:rPr>
        <w:t>／</w:t>
      </w:r>
      <w:r>
        <w:rPr>
          <w:rFonts w:hint="eastAsia"/>
          <w:lang w:val="zh-CN"/>
        </w:rPr>
        <w:t>1996</w:t>
      </w:r>
      <w:r>
        <w:rPr>
          <w:rFonts w:hint="eastAsia"/>
          <w:lang w:val="zh-CN"/>
        </w:rPr>
        <w:t>号判例法规则，该规则规定，“（</w:t>
      </w:r>
      <w:r>
        <w:rPr>
          <w:rFonts w:ascii="SimSun" w:hAnsi="SimSun"/>
          <w:lang w:val="zh-CN"/>
        </w:rPr>
        <w:t>……</w:t>
      </w:r>
      <w:r>
        <w:rPr>
          <w:rFonts w:hint="eastAsia"/>
          <w:lang w:val="zh-CN"/>
        </w:rPr>
        <w:t>）联邦权利下放的公共机构与其公务员的关系，不受《宪法》第</w:t>
      </w:r>
      <w:r>
        <w:rPr>
          <w:rFonts w:hint="eastAsia"/>
          <w:lang w:val="zh-CN"/>
        </w:rPr>
        <w:t>123</w:t>
      </w:r>
      <w:r>
        <w:rPr>
          <w:rFonts w:hint="eastAsia"/>
          <w:lang w:val="zh-CN"/>
        </w:rPr>
        <w:t>条</w:t>
      </w:r>
      <w:r>
        <w:rPr>
          <w:rFonts w:hint="eastAsia"/>
          <w:lang w:val="zh-CN"/>
        </w:rPr>
        <w:t>B</w:t>
      </w:r>
      <w:r>
        <w:rPr>
          <w:rFonts w:hint="eastAsia"/>
          <w:lang w:val="zh-CN"/>
        </w:rPr>
        <w:t>部分规定的约束。”这意味着，权力下放的公共机构中的联合会能够申请登记</w:t>
      </w:r>
      <w:r>
        <w:rPr>
          <w:rFonts w:hint="eastAsia"/>
          <w:lang w:val="zh-CN"/>
        </w:rPr>
        <w:t>STyPS</w:t>
      </w:r>
      <w:r>
        <w:rPr>
          <w:rFonts w:hint="eastAsia"/>
          <w:lang w:val="zh-CN"/>
        </w:rPr>
        <w:t>，由此参加他们选择的中央贸易联合会组织，并且对国家工会联合会不承担责任。</w:t>
      </w:r>
    </w:p>
    <w:p w:rsidR="00000000" w:rsidRDefault="00457650">
      <w:pPr>
        <w:widowControl/>
        <w:tabs>
          <w:tab w:val="left" w:pos="630"/>
        </w:tabs>
        <w:spacing w:after="240" w:line="360" w:lineRule="exact"/>
        <w:rPr>
          <w:rFonts w:hint="eastAsia"/>
          <w:lang w:val="zh-CN"/>
        </w:rPr>
      </w:pPr>
      <w:r>
        <w:rPr>
          <w:rFonts w:hint="eastAsia"/>
          <w:lang w:val="zh-CN"/>
        </w:rPr>
        <w:t>286.</w:t>
      </w:r>
      <w:r>
        <w:rPr>
          <w:rFonts w:hint="eastAsia"/>
          <w:lang w:val="zh-CN"/>
        </w:rPr>
        <w:tab/>
      </w:r>
      <w:r>
        <w:rPr>
          <w:rFonts w:hint="eastAsia"/>
          <w:lang w:val="zh-CN"/>
        </w:rPr>
        <w:t>同年国家最高法院宣布了另一项意义重大的决定；利用《法案》第</w:t>
      </w:r>
      <w:r>
        <w:rPr>
          <w:rFonts w:hint="eastAsia"/>
          <w:lang w:val="zh-CN"/>
        </w:rPr>
        <w:t>68</w:t>
      </w:r>
      <w:r>
        <w:rPr>
          <w:rFonts w:hint="eastAsia"/>
          <w:lang w:val="zh-CN"/>
        </w:rPr>
        <w:t>条中的限制来实</w:t>
      </w:r>
      <w:r>
        <w:rPr>
          <w:rFonts w:hint="eastAsia"/>
          <w:lang w:val="zh-CN"/>
        </w:rPr>
        <w:t>行《宪法》第</w:t>
      </w:r>
      <w:r>
        <w:rPr>
          <w:rFonts w:hint="eastAsia"/>
          <w:lang w:val="zh-CN"/>
        </w:rPr>
        <w:t>123</w:t>
      </w:r>
      <w:r>
        <w:rPr>
          <w:rFonts w:hint="eastAsia"/>
          <w:lang w:val="zh-CN"/>
        </w:rPr>
        <w:t>条</w:t>
      </w:r>
      <w:r>
        <w:rPr>
          <w:rFonts w:hint="eastAsia"/>
          <w:lang w:val="zh-CN"/>
        </w:rPr>
        <w:t>B</w:t>
      </w:r>
      <w:r>
        <w:rPr>
          <w:rFonts w:hint="eastAsia"/>
          <w:lang w:val="zh-CN"/>
        </w:rPr>
        <w:t>部分中关于任何国家机构中不得有一个以上联合会的规定。在处理瓦哈卡州议会和瓜达拉哈拉大学学术人士联合会案例的时候，最高法院宣布了有关规则，限制不符合宪法的结社自由，从而为公务人员通过真正的竞争赢得联合会代表创造了条件。</w:t>
      </w:r>
    </w:p>
    <w:p w:rsidR="00000000" w:rsidRDefault="00457650">
      <w:pPr>
        <w:widowControl/>
        <w:tabs>
          <w:tab w:val="left" w:pos="630"/>
        </w:tabs>
        <w:spacing w:after="240" w:line="360" w:lineRule="exact"/>
        <w:rPr>
          <w:rFonts w:hint="eastAsia"/>
          <w:lang w:val="zh-CN"/>
        </w:rPr>
      </w:pPr>
      <w:r>
        <w:rPr>
          <w:rFonts w:hint="eastAsia"/>
          <w:lang w:val="zh-CN"/>
        </w:rPr>
        <w:t>287.</w:t>
      </w:r>
      <w:r>
        <w:rPr>
          <w:rFonts w:hint="eastAsia"/>
          <w:lang w:val="zh-CN"/>
        </w:rPr>
        <w:tab/>
      </w:r>
      <w:r>
        <w:rPr>
          <w:rFonts w:hint="eastAsia"/>
          <w:lang w:val="zh-CN"/>
        </w:rPr>
        <w:t>在这方面，最高法院颁布了权威性的第</w:t>
      </w:r>
      <w:r>
        <w:rPr>
          <w:rFonts w:hint="eastAsia"/>
          <w:lang w:val="zh-CN"/>
        </w:rPr>
        <w:t>43/1999</w:t>
      </w:r>
      <w:r>
        <w:rPr>
          <w:rFonts w:hint="eastAsia"/>
          <w:lang w:val="zh-CN"/>
        </w:rPr>
        <w:t>号法案，大意是所有规定建立单一工会的法律或者法定文件，都不符合《宪法》第</w:t>
      </w:r>
      <w:r>
        <w:rPr>
          <w:rFonts w:hint="eastAsia"/>
          <w:lang w:val="zh-CN"/>
        </w:rPr>
        <w:t>123</w:t>
      </w:r>
      <w:r>
        <w:rPr>
          <w:rFonts w:hint="eastAsia"/>
          <w:lang w:val="zh-CN"/>
        </w:rPr>
        <w:t>条</w:t>
      </w:r>
      <w:r>
        <w:rPr>
          <w:rFonts w:hint="eastAsia"/>
          <w:lang w:val="zh-CN"/>
        </w:rPr>
        <w:t>B</w:t>
      </w:r>
      <w:r>
        <w:rPr>
          <w:rFonts w:hint="eastAsia"/>
          <w:lang w:val="zh-CN"/>
        </w:rPr>
        <w:t>部分第</w:t>
      </w:r>
      <w:r>
        <w:rPr>
          <w:rFonts w:hint="eastAsia"/>
          <w:lang w:val="zh-CN"/>
        </w:rPr>
        <w:t>10</w:t>
      </w:r>
      <w:r>
        <w:rPr>
          <w:rFonts w:hint="eastAsia"/>
          <w:lang w:val="zh-CN"/>
        </w:rPr>
        <w:t>款中规定的结社自由原则。最高法院认为，关于每个国家机构只能建立一个公务员联合会的规则有损于为自由加入联合会提供的社会保障，</w:t>
      </w:r>
      <w:r>
        <w:rPr>
          <w:rFonts w:hint="eastAsia"/>
          <w:lang w:val="zh-CN"/>
        </w:rPr>
        <w:t>限制了工人为保护自身利益而结社的自由。</w:t>
      </w:r>
    </w:p>
    <w:p w:rsidR="00000000" w:rsidRDefault="00457650">
      <w:pPr>
        <w:widowControl/>
        <w:tabs>
          <w:tab w:val="left" w:pos="630"/>
        </w:tabs>
        <w:spacing w:after="240" w:line="360" w:lineRule="exact"/>
        <w:rPr>
          <w:rFonts w:hint="eastAsia"/>
          <w:lang w:val="zh-CN"/>
        </w:rPr>
      </w:pPr>
      <w:r>
        <w:rPr>
          <w:rFonts w:hint="eastAsia"/>
          <w:lang w:val="zh-CN"/>
        </w:rPr>
        <w:t>288.</w:t>
      </w:r>
      <w:r>
        <w:rPr>
          <w:rFonts w:hint="eastAsia"/>
          <w:lang w:val="zh-CN"/>
        </w:rPr>
        <w:tab/>
      </w:r>
      <w:r>
        <w:rPr>
          <w:rFonts w:hint="eastAsia"/>
          <w:lang w:val="zh-CN"/>
        </w:rPr>
        <w:t>根据上述内容得出的结论是，在一个政府机构中可以有两个或者更多的联合会并存，但始终要坚持如下原则，即工人们希望能参加一个以上的联合会，而且这些联合会还应在成员资格及自身功能方面符合法律规定。</w:t>
      </w:r>
    </w:p>
    <w:p w:rsidR="00000000" w:rsidRDefault="00457650">
      <w:pPr>
        <w:widowControl/>
        <w:tabs>
          <w:tab w:val="left" w:pos="630"/>
        </w:tabs>
        <w:spacing w:after="240" w:line="360" w:lineRule="exact"/>
        <w:rPr>
          <w:rFonts w:hint="eastAsia"/>
          <w:lang w:val="zh-CN"/>
        </w:rPr>
      </w:pPr>
      <w:r>
        <w:rPr>
          <w:rFonts w:hint="eastAsia"/>
          <w:lang w:val="zh-CN"/>
        </w:rPr>
        <w:t>289.</w:t>
      </w:r>
      <w:r>
        <w:rPr>
          <w:rFonts w:hint="eastAsia"/>
          <w:lang w:val="zh-CN"/>
        </w:rPr>
        <w:tab/>
      </w:r>
      <w:r>
        <w:rPr>
          <w:rFonts w:hint="eastAsia"/>
          <w:lang w:val="zh-CN"/>
        </w:rPr>
        <w:t>为了实现这个目的，并鉴于判例法的影响并不全面，仅对当地和联邦法庭的判案具有约束力，如果任何工人群体希望参加一个新的工会组织，就必须寻求新的解决办法，以享受上述裁决所带来的益处，但条件是联邦和各州行政当局须继续尊重下发的各项决议，并郑重地加以适用。</w:t>
      </w:r>
    </w:p>
    <w:p w:rsidR="00000000" w:rsidRDefault="00457650">
      <w:pPr>
        <w:widowControl/>
        <w:tabs>
          <w:tab w:val="left" w:pos="630"/>
        </w:tabs>
        <w:spacing w:after="240" w:line="360" w:lineRule="exact"/>
        <w:rPr>
          <w:rFonts w:ascii="SimHei" w:eastAsia="SimHei" w:hint="eastAsia"/>
          <w:lang w:val="zh-CN"/>
        </w:rPr>
      </w:pPr>
      <w:r>
        <w:rPr>
          <w:rFonts w:ascii="SimHei" w:eastAsia="SimHei" w:hint="eastAsia"/>
          <w:lang w:val="zh-CN"/>
        </w:rPr>
        <w:t>第</w:t>
      </w:r>
      <w:r>
        <w:rPr>
          <w:rFonts w:ascii="SimHei" w:eastAsia="SimHei" w:hint="eastAsia"/>
          <w:lang w:val="zh-CN"/>
        </w:rPr>
        <w:t>22</w:t>
      </w:r>
      <w:r>
        <w:rPr>
          <w:rFonts w:ascii="SimHei" w:eastAsia="SimHei" w:hint="eastAsia"/>
          <w:lang w:val="zh-CN"/>
        </w:rPr>
        <w:t>段（</w:t>
      </w:r>
      <w:r>
        <w:rPr>
          <w:rFonts w:ascii="SimHei" w:eastAsia="SimHei" w:hint="eastAsia"/>
          <w:lang w:val="zh-CN"/>
        </w:rPr>
        <w:t>c</w:t>
      </w:r>
      <w:r>
        <w:rPr>
          <w:rFonts w:ascii="SimHei" w:eastAsia="SimHei" w:hint="eastAsia"/>
          <w:lang w:val="zh-CN"/>
        </w:rPr>
        <w:t>）</w:t>
      </w:r>
    </w:p>
    <w:p w:rsidR="00000000" w:rsidRDefault="00457650">
      <w:pPr>
        <w:widowControl/>
        <w:tabs>
          <w:tab w:val="left" w:pos="630"/>
        </w:tabs>
        <w:spacing w:after="240" w:line="360" w:lineRule="exact"/>
        <w:rPr>
          <w:rFonts w:hint="eastAsia"/>
          <w:lang w:val="zh-CN"/>
        </w:rPr>
      </w:pPr>
      <w:r>
        <w:rPr>
          <w:rFonts w:hint="eastAsia"/>
          <w:lang w:val="zh-CN"/>
        </w:rPr>
        <w:t>290.</w:t>
      </w:r>
      <w:r>
        <w:rPr>
          <w:rFonts w:hint="eastAsia"/>
          <w:lang w:val="zh-CN"/>
        </w:rPr>
        <w:tab/>
      </w:r>
      <w:r>
        <w:rPr>
          <w:rFonts w:hint="eastAsia"/>
          <w:lang w:val="zh-CN"/>
        </w:rPr>
        <w:t>在《联邦劳动法》第</w:t>
      </w:r>
      <w:r>
        <w:rPr>
          <w:rFonts w:hint="eastAsia"/>
          <w:lang w:val="zh-CN"/>
        </w:rPr>
        <w:t>381</w:t>
      </w:r>
      <w:r>
        <w:rPr>
          <w:rFonts w:hint="eastAsia"/>
          <w:lang w:val="zh-CN"/>
        </w:rPr>
        <w:t>条中，立法者认识到结社自由的负面影响，所谓结社自由权就是工人有权不参加一个联合会，或者在想离开的时候退出已经身为成员的某一联合会。这项权利延伸到贸易联合会组织，也就是参加或者不参加更广泛庞大的中央组织，如联合与联盟的权利。</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381</w:t>
      </w:r>
      <w:r>
        <w:rPr>
          <w:rFonts w:hint="eastAsia"/>
          <w:lang w:val="zh-CN"/>
        </w:rPr>
        <w:t>条。联合会可以组成协会和联盟；这些应该在适用过程中遵守本章规定。”</w:t>
      </w:r>
    </w:p>
    <w:p w:rsidR="00000000" w:rsidRDefault="00457650">
      <w:pPr>
        <w:widowControl/>
        <w:tabs>
          <w:tab w:val="left" w:pos="630"/>
        </w:tabs>
        <w:spacing w:after="240" w:line="360" w:lineRule="exact"/>
        <w:rPr>
          <w:rFonts w:hint="eastAsia"/>
          <w:lang w:val="zh-CN"/>
        </w:rPr>
      </w:pPr>
      <w:r>
        <w:rPr>
          <w:rFonts w:hint="eastAsia"/>
          <w:lang w:val="zh-CN"/>
        </w:rPr>
        <w:t>291.</w:t>
      </w:r>
      <w:r>
        <w:rPr>
          <w:rFonts w:hint="eastAsia"/>
          <w:lang w:val="zh-CN"/>
        </w:rPr>
        <w:tab/>
      </w:r>
      <w:r>
        <w:rPr>
          <w:rFonts w:hint="eastAsia"/>
          <w:lang w:val="zh-CN"/>
        </w:rPr>
        <w:t>有关联合会和联盟的信息不予提供，因为联合会有权制定并且在任何时候公布这些信息，即使存在与之相反的协议；他们的章程一般必须包括成员的姓名和地址、新成员的联系情况、以及</w:t>
      </w:r>
      <w:r>
        <w:rPr>
          <w:rFonts w:hint="eastAsia"/>
          <w:lang w:val="zh-CN"/>
        </w:rPr>
        <w:t>其成员在行政机构和议会任职的情况。</w:t>
      </w:r>
    </w:p>
    <w:p w:rsidR="00000000" w:rsidRDefault="00457650">
      <w:pPr>
        <w:widowControl/>
        <w:tabs>
          <w:tab w:val="left" w:pos="630"/>
        </w:tabs>
        <w:spacing w:after="240" w:line="360" w:lineRule="exact"/>
        <w:rPr>
          <w:rFonts w:hint="eastAsia"/>
          <w:lang w:val="zh-CN"/>
        </w:rPr>
      </w:pPr>
      <w:r>
        <w:rPr>
          <w:rFonts w:hint="eastAsia"/>
          <w:lang w:val="zh-CN"/>
        </w:rPr>
        <w:t>292.</w:t>
      </w:r>
      <w:r>
        <w:rPr>
          <w:rFonts w:hint="eastAsia"/>
          <w:lang w:val="zh-CN"/>
        </w:rPr>
        <w:tab/>
      </w:r>
      <w:r>
        <w:rPr>
          <w:rFonts w:hint="eastAsia"/>
          <w:lang w:val="zh-CN"/>
        </w:rPr>
        <w:t>虽然没有按工会的条件对联合会和联盟进行登记，但会自动将它们作为工会登记。</w:t>
      </w:r>
    </w:p>
    <w:p w:rsidR="00000000" w:rsidRDefault="00457650">
      <w:pPr>
        <w:keepNext/>
        <w:widowControl/>
        <w:tabs>
          <w:tab w:val="left" w:pos="630"/>
        </w:tabs>
        <w:spacing w:after="240" w:line="360" w:lineRule="exact"/>
        <w:rPr>
          <w:rFonts w:ascii="SimHei" w:eastAsia="SimHei" w:hint="eastAsia"/>
          <w:lang w:val="zh-CN"/>
        </w:rPr>
      </w:pPr>
      <w:r>
        <w:rPr>
          <w:rFonts w:ascii="SimHei" w:eastAsia="SimHei" w:hint="eastAsia"/>
          <w:lang w:val="zh-CN"/>
        </w:rPr>
        <w:t>第</w:t>
      </w:r>
      <w:r>
        <w:rPr>
          <w:rFonts w:ascii="SimHei" w:eastAsia="SimHei" w:hint="eastAsia"/>
          <w:lang w:val="zh-CN"/>
        </w:rPr>
        <w:t>22</w:t>
      </w:r>
      <w:r>
        <w:rPr>
          <w:rFonts w:ascii="SimHei" w:eastAsia="SimHei" w:hint="eastAsia"/>
          <w:lang w:val="zh-CN"/>
        </w:rPr>
        <w:t>段（</w:t>
      </w:r>
      <w:r>
        <w:rPr>
          <w:rFonts w:ascii="SimHei" w:eastAsia="SimHei" w:hint="eastAsia"/>
          <w:lang w:val="zh-CN"/>
        </w:rPr>
        <w:t>d</w:t>
      </w:r>
      <w:r>
        <w:rPr>
          <w:rFonts w:ascii="SimHei" w:eastAsia="SimHei" w:hint="eastAsia"/>
          <w:lang w:val="zh-CN"/>
        </w:rPr>
        <w:t>）</w:t>
      </w:r>
    </w:p>
    <w:p w:rsidR="00000000" w:rsidRDefault="00457650">
      <w:pPr>
        <w:keepNext/>
        <w:widowControl/>
        <w:tabs>
          <w:tab w:val="left" w:pos="630"/>
        </w:tabs>
        <w:spacing w:after="240" w:line="360" w:lineRule="exact"/>
        <w:rPr>
          <w:rFonts w:hint="eastAsia"/>
          <w:lang w:val="zh-CN"/>
        </w:rPr>
      </w:pPr>
      <w:r>
        <w:rPr>
          <w:rFonts w:hint="eastAsia"/>
          <w:lang w:val="zh-CN"/>
        </w:rPr>
        <w:t>293.</w:t>
      </w:r>
      <w:r>
        <w:rPr>
          <w:rFonts w:hint="eastAsia"/>
          <w:lang w:val="zh-CN"/>
        </w:rPr>
        <w:tab/>
      </w:r>
      <w:r>
        <w:rPr>
          <w:rFonts w:hint="eastAsia"/>
          <w:lang w:val="zh-CN"/>
        </w:rPr>
        <w:t>如上所述，工人的结社自由是一般性的。</w:t>
      </w:r>
    </w:p>
    <w:p w:rsidR="00000000" w:rsidRDefault="00457650">
      <w:pPr>
        <w:widowControl/>
        <w:tabs>
          <w:tab w:val="left" w:pos="630"/>
        </w:tabs>
        <w:spacing w:after="240" w:line="360" w:lineRule="exact"/>
        <w:rPr>
          <w:rFonts w:hint="eastAsia"/>
          <w:lang w:val="zh-CN"/>
        </w:rPr>
      </w:pPr>
      <w:r>
        <w:rPr>
          <w:rFonts w:hint="eastAsia"/>
          <w:lang w:val="zh-CN"/>
        </w:rPr>
        <w:t>294.</w:t>
      </w:r>
      <w:r>
        <w:rPr>
          <w:rFonts w:hint="eastAsia"/>
          <w:lang w:val="zh-CN"/>
        </w:rPr>
        <w:tab/>
      </w:r>
      <w:r>
        <w:rPr>
          <w:rFonts w:hint="eastAsia"/>
          <w:lang w:val="zh-CN"/>
        </w:rPr>
        <w:t>《联邦劳动法》规定了联合会的建立、分类和登记，章程内容，以及关于联合会权利和义务的规则。</w:t>
      </w:r>
    </w:p>
    <w:p w:rsidR="00000000" w:rsidRDefault="00457650">
      <w:pPr>
        <w:widowControl/>
        <w:tabs>
          <w:tab w:val="left" w:pos="630"/>
        </w:tabs>
        <w:spacing w:after="240" w:line="360" w:lineRule="exact"/>
        <w:rPr>
          <w:rFonts w:hint="eastAsia"/>
          <w:lang w:val="zh-CN"/>
        </w:rPr>
      </w:pPr>
      <w:r>
        <w:rPr>
          <w:rFonts w:hint="eastAsia"/>
          <w:lang w:val="zh-CN"/>
        </w:rPr>
        <w:t>295.</w:t>
      </w:r>
      <w:r>
        <w:rPr>
          <w:rFonts w:hint="eastAsia"/>
          <w:lang w:val="zh-CN"/>
        </w:rPr>
        <w:tab/>
      </w:r>
      <w:r>
        <w:rPr>
          <w:rFonts w:hint="eastAsia"/>
          <w:lang w:val="zh-CN"/>
        </w:rPr>
        <w:t>根据基本的决议，一个联合会的创立取决于与其成员之间的协议。那些属其范围之内，并符合章程中规定的法律条件的人以后有可能加入联合会。</w:t>
      </w:r>
    </w:p>
    <w:p w:rsidR="00000000" w:rsidRDefault="00457650">
      <w:pPr>
        <w:widowControl/>
        <w:tabs>
          <w:tab w:val="left" w:pos="630"/>
        </w:tabs>
        <w:spacing w:after="240" w:line="360" w:lineRule="exact"/>
        <w:rPr>
          <w:rFonts w:hint="eastAsia"/>
          <w:lang w:val="zh-CN"/>
        </w:rPr>
      </w:pPr>
      <w:r>
        <w:rPr>
          <w:rFonts w:hint="eastAsia"/>
          <w:lang w:val="zh-CN"/>
        </w:rPr>
        <w:t>296.</w:t>
      </w:r>
      <w:r>
        <w:rPr>
          <w:rFonts w:hint="eastAsia"/>
          <w:lang w:val="zh-CN"/>
        </w:rPr>
        <w:tab/>
      </w:r>
      <w:r>
        <w:rPr>
          <w:rFonts w:hint="eastAsia"/>
          <w:lang w:val="zh-CN"/>
        </w:rPr>
        <w:t>立法机构规定建立一个联合会的法律条件包括至少有</w:t>
      </w:r>
      <w:r>
        <w:rPr>
          <w:rFonts w:hint="eastAsia"/>
          <w:lang w:val="zh-CN"/>
        </w:rPr>
        <w:t>20</w:t>
      </w:r>
      <w:r>
        <w:rPr>
          <w:rFonts w:hint="eastAsia"/>
          <w:lang w:val="zh-CN"/>
        </w:rPr>
        <w:t>名在职工人，或者</w:t>
      </w:r>
      <w:r>
        <w:rPr>
          <w:rFonts w:hint="eastAsia"/>
          <w:lang w:val="zh-CN"/>
        </w:rPr>
        <w:t>3</w:t>
      </w:r>
      <w:r>
        <w:rPr>
          <w:rFonts w:hint="eastAsia"/>
          <w:lang w:val="zh-CN"/>
        </w:rPr>
        <w:t>名雇主。</w:t>
      </w:r>
    </w:p>
    <w:p w:rsidR="00000000" w:rsidRDefault="00457650">
      <w:pPr>
        <w:widowControl/>
        <w:tabs>
          <w:tab w:val="left" w:pos="630"/>
        </w:tabs>
        <w:spacing w:after="240" w:line="360" w:lineRule="exact"/>
        <w:rPr>
          <w:rFonts w:hint="eastAsia"/>
          <w:lang w:val="zh-CN"/>
        </w:rPr>
      </w:pPr>
      <w:r>
        <w:rPr>
          <w:rFonts w:hint="eastAsia"/>
          <w:lang w:val="zh-CN"/>
        </w:rPr>
        <w:t>297.</w:t>
      </w:r>
      <w:r>
        <w:rPr>
          <w:rFonts w:hint="eastAsia"/>
          <w:lang w:val="zh-CN"/>
        </w:rPr>
        <w:tab/>
      </w:r>
      <w:r>
        <w:rPr>
          <w:rFonts w:hint="eastAsia"/>
          <w:lang w:val="zh-CN"/>
        </w:rPr>
        <w:t>这就是构建联合会的契约，为必需数目的人群所接收，之后赋予联合会法人资格。</w:t>
      </w:r>
    </w:p>
    <w:p w:rsidR="00000000" w:rsidRDefault="00457650">
      <w:pPr>
        <w:widowControl/>
        <w:tabs>
          <w:tab w:val="left" w:pos="630"/>
        </w:tabs>
        <w:spacing w:after="240" w:line="360" w:lineRule="exact"/>
        <w:rPr>
          <w:rFonts w:hint="eastAsia"/>
          <w:lang w:val="zh-CN"/>
        </w:rPr>
      </w:pPr>
      <w:r>
        <w:rPr>
          <w:rFonts w:hint="eastAsia"/>
          <w:lang w:val="zh-CN"/>
        </w:rPr>
        <w:t>298.</w:t>
      </w:r>
      <w:r>
        <w:rPr>
          <w:rFonts w:hint="eastAsia"/>
          <w:lang w:val="zh-CN"/>
        </w:rPr>
        <w:tab/>
      </w:r>
      <w:r>
        <w:rPr>
          <w:rFonts w:hint="eastAsia"/>
          <w:lang w:val="zh-CN"/>
        </w:rPr>
        <w:t>至于《法案》中为了落实《宪法》第</w:t>
      </w:r>
      <w:r>
        <w:rPr>
          <w:rFonts w:hint="eastAsia"/>
          <w:lang w:val="zh-CN"/>
        </w:rPr>
        <w:t>123</w:t>
      </w:r>
      <w:r>
        <w:rPr>
          <w:rFonts w:hint="eastAsia"/>
          <w:lang w:val="zh-CN"/>
        </w:rPr>
        <w:t>条</w:t>
      </w:r>
      <w:r>
        <w:rPr>
          <w:rFonts w:hint="eastAsia"/>
          <w:lang w:val="zh-CN"/>
        </w:rPr>
        <w:t>B</w:t>
      </w:r>
      <w:r>
        <w:rPr>
          <w:rFonts w:hint="eastAsia"/>
          <w:lang w:val="zh-CN"/>
        </w:rPr>
        <w:t>部分而规定的限制，每个政府机构或许只能建立一个联合会。见第</w:t>
      </w:r>
      <w:r>
        <w:rPr>
          <w:rFonts w:hint="eastAsia"/>
          <w:lang w:val="zh-CN"/>
        </w:rPr>
        <w:t>8</w:t>
      </w:r>
      <w:r>
        <w:rPr>
          <w:rFonts w:hint="eastAsia"/>
          <w:lang w:val="zh-CN"/>
        </w:rPr>
        <w:t>段（</w:t>
      </w:r>
      <w:r>
        <w:rPr>
          <w:rFonts w:hint="eastAsia"/>
          <w:lang w:val="zh-CN"/>
        </w:rPr>
        <w:t>2</w:t>
      </w:r>
      <w:r>
        <w:rPr>
          <w:rFonts w:hint="eastAsia"/>
          <w:lang w:val="zh-CN"/>
        </w:rPr>
        <w:t>）（</w:t>
      </w:r>
      <w:r>
        <w:rPr>
          <w:rFonts w:hint="eastAsia"/>
          <w:lang w:val="zh-CN"/>
        </w:rPr>
        <w:t>b</w:t>
      </w:r>
      <w:r>
        <w:rPr>
          <w:rFonts w:hint="eastAsia"/>
          <w:lang w:val="zh-CN"/>
        </w:rPr>
        <w:t>）的问题答复。</w:t>
      </w:r>
    </w:p>
    <w:p w:rsidR="00000000" w:rsidRDefault="00457650">
      <w:pPr>
        <w:widowControl/>
        <w:tabs>
          <w:tab w:val="left" w:pos="630"/>
        </w:tabs>
        <w:spacing w:after="240" w:line="360" w:lineRule="exact"/>
        <w:rPr>
          <w:rFonts w:hint="eastAsia"/>
          <w:lang w:val="zh-CN"/>
        </w:rPr>
      </w:pPr>
      <w:r>
        <w:rPr>
          <w:rFonts w:hint="eastAsia"/>
          <w:lang w:val="zh-CN"/>
        </w:rPr>
        <w:t>299.</w:t>
      </w:r>
      <w:r>
        <w:rPr>
          <w:rFonts w:hint="eastAsia"/>
          <w:lang w:val="zh-CN"/>
        </w:rPr>
        <w:tab/>
      </w:r>
      <w:r>
        <w:rPr>
          <w:rFonts w:hint="eastAsia"/>
          <w:lang w:val="zh-CN"/>
        </w:rPr>
        <w:t>这里必须提及的是，劳动立法对工会履行职能的权利明确加以限制，关于这一点，《联邦劳动法》第</w:t>
      </w:r>
      <w:r>
        <w:rPr>
          <w:rFonts w:hint="eastAsia"/>
          <w:lang w:val="zh-CN"/>
        </w:rPr>
        <w:t>378</w:t>
      </w:r>
      <w:r>
        <w:rPr>
          <w:rFonts w:hint="eastAsia"/>
          <w:lang w:val="zh-CN"/>
        </w:rPr>
        <w:t>条做了如下规定：</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378</w:t>
      </w:r>
      <w:r>
        <w:rPr>
          <w:rFonts w:hint="eastAsia"/>
          <w:lang w:val="zh-CN"/>
        </w:rPr>
        <w:t>条。禁止联合会：</w:t>
      </w:r>
    </w:p>
    <w:p w:rsidR="00000000" w:rsidRDefault="00457650" w:rsidP="00457650">
      <w:pPr>
        <w:widowControl/>
        <w:tabs>
          <w:tab w:val="left" w:pos="630"/>
        </w:tabs>
        <w:spacing w:after="240" w:line="360" w:lineRule="exact"/>
        <w:ind w:leftChars="500" w:left="31680" w:hangingChars="200" w:firstLine="31680"/>
        <w:rPr>
          <w:rFonts w:hint="eastAsia"/>
          <w:lang w:val="zh-CN"/>
        </w:rPr>
      </w:pPr>
      <w:r>
        <w:rPr>
          <w:rFonts w:hint="eastAsia"/>
          <w:lang w:val="zh-CN"/>
        </w:rPr>
        <w:t>一、参与宗教事务；</w:t>
      </w:r>
    </w:p>
    <w:p w:rsidR="00000000" w:rsidRDefault="00457650" w:rsidP="00457650">
      <w:pPr>
        <w:widowControl/>
        <w:tabs>
          <w:tab w:val="left" w:pos="630"/>
        </w:tabs>
        <w:spacing w:after="240" w:line="360" w:lineRule="exact"/>
        <w:ind w:leftChars="500" w:left="31680" w:hangingChars="200" w:firstLine="31680"/>
        <w:rPr>
          <w:rFonts w:hint="eastAsia"/>
          <w:lang w:val="zh-CN"/>
        </w:rPr>
      </w:pPr>
      <w:r>
        <w:rPr>
          <w:rFonts w:hint="eastAsia"/>
          <w:lang w:val="zh-CN"/>
        </w:rPr>
        <w:t>二、从事营利性交易。”</w:t>
      </w:r>
    </w:p>
    <w:p w:rsidR="00000000" w:rsidRDefault="00457650">
      <w:pPr>
        <w:widowControl/>
        <w:tabs>
          <w:tab w:val="left" w:pos="630"/>
        </w:tabs>
        <w:spacing w:after="240" w:line="360" w:lineRule="exact"/>
        <w:rPr>
          <w:rFonts w:hint="eastAsia"/>
          <w:lang w:val="zh-CN"/>
        </w:rPr>
      </w:pPr>
      <w:r>
        <w:rPr>
          <w:rFonts w:hint="eastAsia"/>
          <w:lang w:val="zh-CN"/>
        </w:rPr>
        <w:t>300.</w:t>
      </w:r>
      <w:r>
        <w:rPr>
          <w:rFonts w:hint="eastAsia"/>
          <w:lang w:val="zh-CN"/>
        </w:rPr>
        <w:tab/>
      </w:r>
      <w:r>
        <w:rPr>
          <w:rFonts w:hint="eastAsia"/>
          <w:lang w:val="zh-CN"/>
        </w:rPr>
        <w:t>《联邦劳动法》第</w:t>
      </w:r>
      <w:r>
        <w:rPr>
          <w:rFonts w:hint="eastAsia"/>
          <w:lang w:val="zh-CN"/>
        </w:rPr>
        <w:t>386-403</w:t>
      </w:r>
      <w:r>
        <w:rPr>
          <w:rFonts w:hint="eastAsia"/>
          <w:lang w:val="zh-CN"/>
        </w:rPr>
        <w:t>条承认工会有达成集体协议的自由。内容如下：</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386</w:t>
      </w:r>
      <w:r>
        <w:rPr>
          <w:rFonts w:hint="eastAsia"/>
          <w:lang w:val="zh-CN"/>
        </w:rPr>
        <w:t>条。工会达成的集体协议是一个或更多工会与一个或更多雇主，或者一个或更多雇主联合会之间达成的协议，旨在建立在一个或更多企业或公司中进行工作的条件。”</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387</w:t>
      </w:r>
      <w:r>
        <w:rPr>
          <w:rFonts w:hint="eastAsia"/>
          <w:lang w:val="zh-CN"/>
        </w:rPr>
        <w:t>条。一名雇主雇用身为工会成员的工人时，如果被要求，需要与工会缔结集体协议。”</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“如果雇主拒绝签署此协议，工人可以根据第</w:t>
      </w:r>
      <w:r>
        <w:rPr>
          <w:rFonts w:hint="eastAsia"/>
          <w:lang w:val="zh-CN"/>
        </w:rPr>
        <w:t>450</w:t>
      </w:r>
      <w:r>
        <w:rPr>
          <w:rFonts w:hint="eastAsia"/>
          <w:lang w:val="zh-CN"/>
        </w:rPr>
        <w:t>条规定，行使罢工权利。”</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388</w:t>
      </w:r>
      <w:r>
        <w:rPr>
          <w:rFonts w:hint="eastAsia"/>
          <w:lang w:val="zh-CN"/>
        </w:rPr>
        <w:t>条。如果在同一企业中存在数个工会，则适用以下规定：</w:t>
      </w:r>
    </w:p>
    <w:p w:rsidR="00000000" w:rsidRDefault="00457650" w:rsidP="00457650">
      <w:pPr>
        <w:widowControl/>
        <w:tabs>
          <w:tab w:val="left" w:pos="630"/>
        </w:tabs>
        <w:spacing w:after="240" w:line="360" w:lineRule="exact"/>
        <w:ind w:leftChars="500" w:left="31680" w:hangingChars="200" w:firstLine="31680"/>
        <w:rPr>
          <w:rFonts w:hint="eastAsia"/>
          <w:lang w:val="zh-CN"/>
        </w:rPr>
      </w:pPr>
      <w:r>
        <w:rPr>
          <w:rFonts w:hint="eastAsia"/>
          <w:lang w:val="zh-CN"/>
        </w:rPr>
        <w:t>一、如果同一个企业，或同一个行业，或者同一个行业的同一个企业中有数个工会，在同一个企业中竞争，应该和在企业中拥有成员人数最多的工会缔结集体协议</w:t>
      </w:r>
      <w:r>
        <w:rPr>
          <w:rFonts w:hint="eastAsia"/>
          <w:lang w:val="zh-CN"/>
        </w:rPr>
        <w:t>；</w:t>
      </w:r>
    </w:p>
    <w:p w:rsidR="00000000" w:rsidRDefault="00457650" w:rsidP="00457650">
      <w:pPr>
        <w:widowControl/>
        <w:tabs>
          <w:tab w:val="left" w:pos="630"/>
        </w:tabs>
        <w:spacing w:after="240" w:line="360" w:lineRule="exact"/>
        <w:ind w:leftChars="500" w:left="31680" w:hangingChars="200" w:firstLine="31680"/>
        <w:rPr>
          <w:rFonts w:hint="eastAsia"/>
          <w:lang w:val="zh-CN"/>
        </w:rPr>
      </w:pPr>
      <w:r>
        <w:rPr>
          <w:rFonts w:hint="eastAsia"/>
          <w:lang w:val="zh-CN"/>
        </w:rPr>
        <w:t>二、如果某一行业的工会与其他工会竞争，应该与代表各种行业的所有主要工会缔结集体协议，只要他们彼此同意。如果情况并非如此，每个工会都应该在本行业内缔结集体协议；而且</w:t>
      </w:r>
    </w:p>
    <w:p w:rsidR="00000000" w:rsidRDefault="00457650" w:rsidP="00457650">
      <w:pPr>
        <w:widowControl/>
        <w:tabs>
          <w:tab w:val="left" w:pos="630"/>
        </w:tabs>
        <w:spacing w:after="240" w:line="360" w:lineRule="exact"/>
        <w:ind w:leftChars="500" w:left="31680" w:hangingChars="200" w:firstLine="31680"/>
        <w:rPr>
          <w:rFonts w:hint="eastAsia"/>
          <w:lang w:val="zh-CN"/>
        </w:rPr>
      </w:pPr>
      <w:r>
        <w:rPr>
          <w:rFonts w:hint="eastAsia"/>
          <w:lang w:val="zh-CN"/>
        </w:rPr>
        <w:t>三、如果行业工会及企业或工业工会之间彼此竞争，最先提及的工会将代表这一行业缔结集体协议，只要其成员人数超过同一行业中同一企业或工业的工会成员人数。”</w:t>
      </w:r>
    </w:p>
    <w:p w:rsidR="00000000" w:rsidRDefault="00457650">
      <w:pPr>
        <w:widowControl/>
        <w:tabs>
          <w:tab w:val="left" w:pos="630"/>
        </w:tabs>
        <w:spacing w:after="240" w:line="360" w:lineRule="exact"/>
        <w:rPr>
          <w:rFonts w:ascii="SimHei" w:eastAsia="SimHei" w:hint="eastAsia"/>
          <w:lang w:val="zh-CN"/>
        </w:rPr>
      </w:pPr>
      <w:r>
        <w:rPr>
          <w:rFonts w:ascii="SimHei" w:eastAsia="SimHei" w:hint="eastAsia"/>
          <w:lang w:val="zh-CN"/>
        </w:rPr>
        <w:t>第</w:t>
      </w:r>
      <w:r>
        <w:rPr>
          <w:rFonts w:ascii="SimHei" w:eastAsia="SimHei" w:hint="eastAsia"/>
          <w:lang w:val="zh-CN"/>
        </w:rPr>
        <w:t>22</w:t>
      </w:r>
      <w:r>
        <w:rPr>
          <w:rFonts w:ascii="SimHei" w:eastAsia="SimHei" w:hint="eastAsia"/>
          <w:lang w:val="zh-CN"/>
        </w:rPr>
        <w:t>段（</w:t>
      </w:r>
      <w:r>
        <w:rPr>
          <w:rFonts w:ascii="SimHei" w:eastAsia="SimHei" w:hint="eastAsia"/>
          <w:lang w:val="zh-CN"/>
        </w:rPr>
        <w:t>e</w:t>
      </w:r>
      <w:r>
        <w:rPr>
          <w:rFonts w:ascii="SimHei" w:eastAsia="SimHei" w:hint="eastAsia"/>
          <w:lang w:val="zh-CN"/>
        </w:rPr>
        <w:t>）</w:t>
      </w:r>
    </w:p>
    <w:p w:rsidR="00000000" w:rsidRDefault="00457650">
      <w:pPr>
        <w:widowControl/>
        <w:tabs>
          <w:tab w:val="left" w:pos="630"/>
        </w:tabs>
        <w:spacing w:after="240" w:line="360" w:lineRule="exact"/>
        <w:rPr>
          <w:rFonts w:hint="eastAsia"/>
          <w:lang w:val="zh-CN"/>
        </w:rPr>
      </w:pPr>
      <w:r>
        <w:rPr>
          <w:rFonts w:hint="eastAsia"/>
          <w:lang w:val="zh-CN"/>
        </w:rPr>
        <w:t>301.</w:t>
      </w:r>
      <w:r>
        <w:rPr>
          <w:rFonts w:hint="eastAsia"/>
          <w:lang w:val="zh-CN"/>
        </w:rPr>
        <w:tab/>
      </w:r>
      <w:r>
        <w:rPr>
          <w:rFonts w:hint="eastAsia"/>
          <w:lang w:val="zh-CN"/>
        </w:rPr>
        <w:t>《联邦劳工法》落实了《宪法》第</w:t>
      </w:r>
      <w:r>
        <w:rPr>
          <w:rFonts w:hint="eastAsia"/>
          <w:lang w:val="zh-CN"/>
        </w:rPr>
        <w:t>9</w:t>
      </w:r>
      <w:r>
        <w:rPr>
          <w:rFonts w:hint="eastAsia"/>
          <w:lang w:val="zh-CN"/>
        </w:rPr>
        <w:t>条，涉及以下几项：工会的分类和登记，工会章程的内容，以及规定了工会义务和禁止事项的规则。</w:t>
      </w:r>
    </w:p>
    <w:p w:rsidR="00000000" w:rsidRDefault="00457650">
      <w:pPr>
        <w:widowControl/>
        <w:tabs>
          <w:tab w:val="left" w:pos="630"/>
        </w:tabs>
        <w:spacing w:after="240" w:line="360" w:lineRule="exact"/>
        <w:rPr>
          <w:rFonts w:hint="eastAsia"/>
          <w:lang w:val="zh-CN"/>
        </w:rPr>
      </w:pPr>
      <w:r>
        <w:rPr>
          <w:rFonts w:hint="eastAsia"/>
          <w:lang w:val="zh-CN"/>
        </w:rPr>
        <w:t>302.</w:t>
      </w:r>
      <w:r>
        <w:rPr>
          <w:rFonts w:hint="eastAsia"/>
          <w:lang w:val="zh-CN"/>
        </w:rPr>
        <w:tab/>
      </w:r>
      <w:r>
        <w:rPr>
          <w:rFonts w:hint="eastAsia"/>
          <w:lang w:val="zh-CN"/>
        </w:rPr>
        <w:t>根据构成性决议，一个工会的创立取决于</w:t>
      </w:r>
      <w:r>
        <w:rPr>
          <w:rFonts w:hint="eastAsia"/>
          <w:lang w:val="zh-CN"/>
        </w:rPr>
        <w:t>与其成员之间的协议。那些属于其范围，并符合其章程中规定的法律条件的人有可能加入工会。其他的信息见附件六，其中列有在墨西哥成立的工会的数量和结构，以及它们的构成。</w:t>
      </w:r>
      <w:r>
        <w:rPr>
          <w:rStyle w:val="FootnoteReference"/>
          <w:szCs w:val="21"/>
          <w:lang w:val="zh-CN"/>
        </w:rPr>
        <w:footnoteReference w:id="16"/>
      </w:r>
    </w:p>
    <w:tbl>
      <w:tblPr>
        <w:tblW w:w="0" w:type="auto"/>
        <w:tblLook w:val="0000" w:firstRow="0" w:lastRow="0" w:firstColumn="0" w:lastColumn="0" w:noHBand="0" w:noVBand="0"/>
      </w:tblPr>
      <w:tblGrid>
        <w:gridCol w:w="5061"/>
        <w:gridCol w:w="5005"/>
      </w:tblGrid>
      <w:tr w:rsidR="00000000">
        <w:tblPrEx>
          <w:tblCellMar>
            <w:top w:w="0" w:type="dxa"/>
            <w:bottom w:w="0" w:type="dxa"/>
          </w:tblCellMar>
        </w:tblPrEx>
        <w:trPr>
          <w:cantSplit/>
        </w:trPr>
        <w:tc>
          <w:tcPr>
            <w:tcW w:w="10066" w:type="dxa"/>
            <w:gridSpan w:val="2"/>
          </w:tcPr>
          <w:p w:rsidR="00000000" w:rsidRDefault="00457650">
            <w:pPr>
              <w:widowControl/>
              <w:tabs>
                <w:tab w:val="left" w:pos="630"/>
              </w:tabs>
              <w:spacing w:after="120" w:line="360" w:lineRule="exact"/>
              <w:jc w:val="center"/>
              <w:rPr>
                <w:rFonts w:eastAsia="SimHei" w:hint="eastAsia"/>
                <w:bCs/>
                <w:lang w:val="zh-CN"/>
              </w:rPr>
            </w:pPr>
            <w:r>
              <w:rPr>
                <w:rFonts w:eastAsia="SimHei" w:hint="eastAsia"/>
                <w:bCs/>
                <w:lang w:val="zh-CN"/>
              </w:rPr>
              <w:t>公正、透明和守法</w:t>
            </w:r>
          </w:p>
          <w:p w:rsidR="00000000" w:rsidRDefault="00457650">
            <w:pPr>
              <w:pStyle w:val="Header"/>
              <w:widowControl/>
              <w:pBdr>
                <w:bottom w:val="none" w:sz="0" w:space="0" w:color="auto"/>
              </w:pBdr>
              <w:tabs>
                <w:tab w:val="clear" w:pos="4320"/>
                <w:tab w:val="clear" w:pos="8640"/>
                <w:tab w:val="left" w:pos="630"/>
              </w:tabs>
              <w:spacing w:after="240" w:line="360" w:lineRule="exact"/>
              <w:rPr>
                <w:rFonts w:eastAsia="SimHei"/>
                <w:bCs/>
                <w:lang w:val="zh-CN"/>
              </w:rPr>
            </w:pPr>
            <w:r>
              <w:rPr>
                <w:rFonts w:eastAsia="SimHei" w:hint="eastAsia"/>
                <w:bCs/>
                <w:lang w:val="zh-CN"/>
              </w:rPr>
              <w:t>完成的登记</w:t>
            </w:r>
          </w:p>
        </w:tc>
      </w:tr>
      <w:tr w:rsidR="00000000">
        <w:tblPrEx>
          <w:tblCellMar>
            <w:top w:w="0" w:type="dxa"/>
            <w:bottom w:w="0" w:type="dxa"/>
          </w:tblCellMar>
        </w:tblPrEx>
        <w:tc>
          <w:tcPr>
            <w:tcW w:w="5061" w:type="dxa"/>
          </w:tcPr>
          <w:p w:rsidR="00000000" w:rsidRDefault="00457650">
            <w:pPr>
              <w:widowControl/>
              <w:tabs>
                <w:tab w:val="left" w:pos="630"/>
              </w:tabs>
              <w:spacing w:after="240" w:line="360" w:lineRule="exact"/>
              <w:jc w:val="center"/>
              <w:rPr>
                <w:rFonts w:ascii="SimHei" w:eastAsia="SimHei"/>
              </w:rPr>
            </w:pPr>
            <w:r>
              <w:rPr>
                <w:rFonts w:ascii="SimHei" w:eastAsia="SimHei" w:hint="eastAsia"/>
                <w:bCs/>
                <w:lang w:val="zh-CN"/>
              </w:rPr>
              <w:t>2001</w:t>
            </w:r>
            <w:r>
              <w:rPr>
                <w:rFonts w:ascii="SimHei" w:eastAsia="SimHei" w:hint="eastAsia"/>
                <w:bCs/>
                <w:lang w:val="zh-CN"/>
              </w:rPr>
              <w:t>年以前每年的平均数</w:t>
            </w:r>
          </w:p>
        </w:tc>
        <w:tc>
          <w:tcPr>
            <w:tcW w:w="5005" w:type="dxa"/>
          </w:tcPr>
          <w:p w:rsidR="00000000" w:rsidRDefault="00457650">
            <w:pPr>
              <w:widowControl/>
              <w:tabs>
                <w:tab w:val="left" w:pos="630"/>
              </w:tabs>
              <w:spacing w:after="240" w:line="360" w:lineRule="exact"/>
              <w:jc w:val="center"/>
              <w:rPr>
                <w:rFonts w:ascii="SimHei" w:eastAsia="SimHei"/>
              </w:rPr>
            </w:pPr>
            <w:r>
              <w:rPr>
                <w:rFonts w:ascii="SimHei" w:eastAsia="SimHei" w:hint="eastAsia"/>
                <w:bCs/>
                <w:lang w:val="zh-CN"/>
              </w:rPr>
              <w:t>本届政府执政期间</w:t>
            </w:r>
          </w:p>
        </w:tc>
      </w:tr>
      <w:tr w:rsidR="00000000">
        <w:tblPrEx>
          <w:tblCellMar>
            <w:top w:w="0" w:type="dxa"/>
            <w:bottom w:w="0" w:type="dxa"/>
          </w:tblCellMar>
        </w:tblPrEx>
        <w:tc>
          <w:tcPr>
            <w:tcW w:w="5061" w:type="dxa"/>
          </w:tcPr>
          <w:p w:rsidR="00000000" w:rsidRDefault="00457650">
            <w:pPr>
              <w:widowControl/>
              <w:tabs>
                <w:tab w:val="left" w:pos="630"/>
              </w:tabs>
              <w:spacing w:after="240" w:line="240" w:lineRule="auto"/>
            </w:pPr>
            <w:r>
              <w:object w:dxaOrig="4845" w:dyaOrig="2970">
                <v:shape id="_x0000_i1026" type="#_x0000_t75" style="width:242.25pt;height:148.5pt" o:ole="">
                  <v:imagedata r:id="rId25" o:title=""/>
                </v:shape>
                <o:OLEObject Type="Embed" ProgID="Excel.Chart.8" ShapeID="_x0000_i1026" DrawAspect="Content" ObjectID="_1394895079" r:id="rId26">
                  <o:FieldCodes>\s</o:FieldCodes>
                </o:OLEObject>
              </w:object>
            </w:r>
          </w:p>
        </w:tc>
        <w:tc>
          <w:tcPr>
            <w:tcW w:w="5005" w:type="dxa"/>
          </w:tcPr>
          <w:p w:rsidR="00000000" w:rsidRDefault="00457650">
            <w:pPr>
              <w:widowControl/>
              <w:tabs>
                <w:tab w:val="left" w:pos="630"/>
              </w:tabs>
              <w:spacing w:after="240" w:line="240" w:lineRule="auto"/>
            </w:pPr>
            <w:r>
              <w:object w:dxaOrig="4710" w:dyaOrig="2790">
                <v:shape id="_x0000_i1027" type="#_x0000_t75" style="width:235.5pt;height:139.5pt" o:ole="">
                  <v:imagedata r:id="rId27" o:title=""/>
                </v:shape>
                <o:OLEObject Type="Embed" ProgID="Excel.Chart.8" ShapeID="_x0000_i1027" DrawAspect="Content" ObjectID="_1394895080" r:id="rId28">
                  <o:FieldCodes>\s</o:FieldCodes>
                </o:OLEObject>
              </w:object>
            </w:r>
          </w:p>
        </w:tc>
      </w:tr>
      <w:tr w:rsidR="00000000">
        <w:tblPrEx>
          <w:tblCellMar>
            <w:top w:w="0" w:type="dxa"/>
            <w:bottom w:w="0" w:type="dxa"/>
          </w:tblCellMar>
        </w:tblPrEx>
        <w:trPr>
          <w:cantSplit/>
        </w:trPr>
        <w:tc>
          <w:tcPr>
            <w:tcW w:w="10066" w:type="dxa"/>
            <w:gridSpan w:val="2"/>
          </w:tcPr>
          <w:p w:rsidR="00000000" w:rsidRDefault="00457650">
            <w:pPr>
              <w:widowControl/>
              <w:tabs>
                <w:tab w:val="left" w:pos="630"/>
              </w:tabs>
              <w:spacing w:after="240" w:line="360" w:lineRule="exact"/>
              <w:jc w:val="center"/>
              <w:rPr>
                <w:rFonts w:eastAsia="SimHei"/>
              </w:rPr>
            </w:pPr>
            <w:r>
              <w:rPr>
                <w:rFonts w:eastAsia="SimHei" w:hint="eastAsia"/>
                <w:bCs/>
                <w:lang w:val="zh-CN"/>
              </w:rPr>
              <w:t>本着包容、合法和对话的原则，每个依法成立的工会在本届政府眼中都是一个有效的对话方。</w:t>
            </w:r>
          </w:p>
        </w:tc>
      </w:tr>
    </w:tbl>
    <w:p w:rsidR="00000000" w:rsidRDefault="00457650">
      <w:pPr>
        <w:widowControl/>
        <w:tabs>
          <w:tab w:val="left" w:pos="630"/>
        </w:tabs>
        <w:spacing w:after="240" w:line="360" w:lineRule="exact"/>
        <w:rPr>
          <w:rFonts w:hint="eastAsia"/>
          <w:sz w:val="18"/>
          <w:lang w:val="zh-CN"/>
        </w:rPr>
      </w:pPr>
      <w:r>
        <w:rPr>
          <w:rFonts w:eastAsia="KaiTi_GB2312" w:hint="eastAsia"/>
          <w:sz w:val="18"/>
          <w:lang w:val="zh-CN"/>
        </w:rPr>
        <w:t>资料来源</w:t>
      </w:r>
      <w:r>
        <w:rPr>
          <w:rFonts w:hint="eastAsia"/>
          <w:sz w:val="18"/>
          <w:lang w:val="zh-CN"/>
        </w:rPr>
        <w:t>：劳工和社会福利部。</w:t>
      </w:r>
    </w:p>
    <w:p w:rsidR="00000000" w:rsidRDefault="00457650">
      <w:pPr>
        <w:keepNext/>
        <w:widowControl/>
        <w:tabs>
          <w:tab w:val="left" w:pos="630"/>
        </w:tabs>
        <w:spacing w:after="240" w:line="360" w:lineRule="exact"/>
        <w:rPr>
          <w:rFonts w:ascii="SimHei" w:eastAsia="SimHei" w:hint="eastAsia"/>
          <w:lang w:val="zh-CN"/>
        </w:rPr>
      </w:pPr>
      <w:r>
        <w:rPr>
          <w:rFonts w:ascii="SimHei" w:eastAsia="SimHei" w:hint="eastAsia"/>
          <w:lang w:val="zh-CN"/>
        </w:rPr>
        <w:t>第</w:t>
      </w:r>
      <w:r>
        <w:rPr>
          <w:rFonts w:ascii="SimHei" w:eastAsia="SimHei" w:hint="eastAsia"/>
          <w:lang w:val="zh-CN"/>
        </w:rPr>
        <w:t>23</w:t>
      </w:r>
      <w:r>
        <w:rPr>
          <w:rFonts w:ascii="SimHei" w:eastAsia="SimHei" w:hint="eastAsia"/>
          <w:lang w:val="zh-CN"/>
        </w:rPr>
        <w:t>段</w:t>
      </w:r>
    </w:p>
    <w:p w:rsidR="00000000" w:rsidRDefault="00457650">
      <w:pPr>
        <w:keepNext/>
        <w:widowControl/>
        <w:tabs>
          <w:tab w:val="left" w:pos="630"/>
        </w:tabs>
        <w:spacing w:after="240" w:line="360" w:lineRule="exact"/>
        <w:rPr>
          <w:rFonts w:hint="eastAsia"/>
          <w:lang w:val="zh-CN"/>
        </w:rPr>
      </w:pPr>
      <w:r>
        <w:rPr>
          <w:rFonts w:hint="eastAsia"/>
          <w:lang w:val="zh-CN"/>
        </w:rPr>
        <w:t>303.</w:t>
      </w:r>
      <w:r>
        <w:rPr>
          <w:rFonts w:hint="eastAsia"/>
          <w:lang w:val="zh-CN"/>
        </w:rPr>
        <w:tab/>
      </w:r>
      <w:r>
        <w:rPr>
          <w:rFonts w:hint="eastAsia"/>
          <w:lang w:val="zh-CN"/>
        </w:rPr>
        <w:t>《墨西哥合众国</w:t>
      </w:r>
      <w:r>
        <w:rPr>
          <w:rFonts w:hint="eastAsia"/>
          <w:lang w:val="zh-CN"/>
        </w:rPr>
        <w:t>宪法》第</w:t>
      </w:r>
      <w:r>
        <w:rPr>
          <w:rFonts w:hint="eastAsia"/>
          <w:lang w:val="zh-CN"/>
        </w:rPr>
        <w:t>123</w:t>
      </w:r>
      <w:r>
        <w:rPr>
          <w:rFonts w:hint="eastAsia"/>
          <w:lang w:val="zh-CN"/>
        </w:rPr>
        <w:t>条</w:t>
      </w:r>
      <w:r>
        <w:rPr>
          <w:rFonts w:hint="eastAsia"/>
          <w:lang w:val="zh-CN"/>
        </w:rPr>
        <w:t>A</w:t>
      </w:r>
      <w:r>
        <w:rPr>
          <w:rFonts w:hint="eastAsia"/>
          <w:lang w:val="zh-CN"/>
        </w:rPr>
        <w:t>部分第</w:t>
      </w:r>
      <w:r>
        <w:rPr>
          <w:rFonts w:hint="eastAsia"/>
          <w:lang w:val="zh-CN"/>
        </w:rPr>
        <w:t>18-19</w:t>
      </w:r>
      <w:r>
        <w:rPr>
          <w:rFonts w:hint="eastAsia"/>
          <w:lang w:val="zh-CN"/>
        </w:rPr>
        <w:t>款规定了如下罢工权利：</w:t>
      </w:r>
    </w:p>
    <w:p w:rsidR="00000000" w:rsidRDefault="00457650" w:rsidP="00457650">
      <w:pPr>
        <w:keepNext/>
        <w:widowControl/>
        <w:tabs>
          <w:tab w:val="left" w:pos="630"/>
        </w:tabs>
        <w:spacing w:after="240" w:line="360" w:lineRule="exact"/>
        <w:ind w:leftChars="300" w:left="31680" w:hangingChars="328" w:firstLine="31680"/>
        <w:rPr>
          <w:rFonts w:hint="eastAsia"/>
          <w:lang w:val="zh-CN"/>
        </w:rPr>
      </w:pPr>
      <w:r>
        <w:rPr>
          <w:rFonts w:hint="eastAsia"/>
          <w:lang w:val="zh-CN"/>
        </w:rPr>
        <w:t>十七、</w:t>
      </w:r>
      <w:r>
        <w:rPr>
          <w:rFonts w:hint="eastAsia"/>
          <w:lang w:val="zh-CN"/>
        </w:rPr>
        <w:tab/>
      </w:r>
      <w:r>
        <w:rPr>
          <w:rFonts w:hint="eastAsia"/>
          <w:lang w:val="zh-CN"/>
        </w:rPr>
        <w:t>法律应该认可工人和雇主的罢工和停工权利。</w:t>
      </w:r>
    </w:p>
    <w:p w:rsidR="00000000" w:rsidRDefault="00457650" w:rsidP="00457650">
      <w:pPr>
        <w:widowControl/>
        <w:tabs>
          <w:tab w:val="left" w:pos="630"/>
        </w:tabs>
        <w:spacing w:after="240" w:line="360" w:lineRule="exact"/>
        <w:ind w:leftChars="300" w:left="31680" w:hangingChars="328" w:firstLine="31680"/>
        <w:rPr>
          <w:rFonts w:hint="eastAsia"/>
        </w:rPr>
      </w:pPr>
      <w:r>
        <w:rPr>
          <w:rFonts w:hint="eastAsia"/>
        </w:rPr>
        <w:t>十八、</w:t>
      </w:r>
      <w:r>
        <w:rPr>
          <w:rFonts w:hint="eastAsia"/>
        </w:rPr>
        <w:tab/>
      </w:r>
      <w:r>
        <w:rPr>
          <w:rFonts w:hint="eastAsia"/>
        </w:rPr>
        <w:t>当罢工旨在通过协调劳资双方权利，在各种生产各要素之间实现平等的时候，应该是合法的。在公共服务部门，工人必须提前</w:t>
      </w:r>
      <w:r>
        <w:rPr>
          <w:rFonts w:hint="eastAsia"/>
        </w:rPr>
        <w:t>10</w:t>
      </w:r>
      <w:r>
        <w:rPr>
          <w:rFonts w:hint="eastAsia"/>
        </w:rPr>
        <w:t>天通知调解和仲裁委员会，就停工的日期统一意见。只有在罢工者</w:t>
      </w:r>
      <w:r>
        <w:rPr>
          <w:rFonts w:hint="eastAsia"/>
          <w:lang w:val="zh-CN"/>
        </w:rPr>
        <w:t>主体</w:t>
      </w:r>
      <w:r>
        <w:rPr>
          <w:rFonts w:hint="eastAsia"/>
        </w:rPr>
        <w:t>针对个人或财产采取暴力行动，或者战争期间罢工工人隶属于政府组织或者部门的时候，罢工才被认为违法。</w:t>
      </w:r>
    </w:p>
    <w:p w:rsidR="00000000" w:rsidRDefault="00457650" w:rsidP="00457650">
      <w:pPr>
        <w:widowControl/>
        <w:tabs>
          <w:tab w:val="left" w:pos="630"/>
        </w:tabs>
        <w:spacing w:after="240" w:line="360" w:lineRule="exact"/>
        <w:ind w:leftChars="300" w:left="31680" w:hangingChars="328" w:firstLine="31680"/>
        <w:rPr>
          <w:rFonts w:hint="eastAsia"/>
        </w:rPr>
      </w:pPr>
      <w:r>
        <w:rPr>
          <w:rFonts w:hint="eastAsia"/>
        </w:rPr>
        <w:t>十九、</w:t>
      </w:r>
      <w:r>
        <w:rPr>
          <w:rFonts w:hint="eastAsia"/>
        </w:rPr>
        <w:tab/>
      </w:r>
      <w:r>
        <w:rPr>
          <w:rFonts w:hint="eastAsia"/>
        </w:rPr>
        <w:t>只有在由于生产过剩，必须停产以维持与成本相平衡的价格，而且事先得到调解和仲裁委员会批准的情况下，停工才是合法的。</w:t>
      </w:r>
    </w:p>
    <w:p w:rsidR="00000000" w:rsidRDefault="00457650">
      <w:pPr>
        <w:widowControl/>
        <w:tabs>
          <w:tab w:val="left" w:pos="630"/>
        </w:tabs>
        <w:spacing w:after="240" w:line="360" w:lineRule="exact"/>
        <w:rPr>
          <w:rFonts w:hint="eastAsia"/>
        </w:rPr>
      </w:pPr>
      <w:r>
        <w:rPr>
          <w:rFonts w:hint="eastAsia"/>
        </w:rPr>
        <w:t>304.</w:t>
      </w:r>
      <w:r>
        <w:rPr>
          <w:rFonts w:hint="eastAsia"/>
        </w:rPr>
        <w:tab/>
      </w:r>
      <w:r>
        <w:rPr>
          <w:rFonts w:hint="eastAsia"/>
        </w:rPr>
        <w:t>《联邦劳动法》也涉及并规定了这项权利，具体说明了何时为合法和何时为非法（当采取暴力行为，以及战争期间政府工作人员罢工的时候）。</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440</w:t>
      </w:r>
      <w:r>
        <w:rPr>
          <w:rFonts w:hint="eastAsia"/>
          <w:lang w:val="zh-CN"/>
        </w:rPr>
        <w:t>条。罢工是工人联合起来暂时停止工作的行动。</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441</w:t>
      </w:r>
      <w:r>
        <w:rPr>
          <w:rFonts w:hint="eastAsia"/>
          <w:lang w:val="zh-CN"/>
        </w:rPr>
        <w:t>条。正如其名称所示，工人工会被认为是永久性的联合会。</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442</w:t>
      </w:r>
      <w:r>
        <w:rPr>
          <w:rFonts w:hint="eastAsia"/>
          <w:lang w:val="zh-CN"/>
        </w:rPr>
        <w:t>条。罢工可能影响到整个企业，或其一个或更多部门。</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443</w:t>
      </w:r>
      <w:r>
        <w:rPr>
          <w:rFonts w:hint="eastAsia"/>
          <w:lang w:val="zh-CN"/>
        </w:rPr>
        <w:t>条。罢工必须仅限于停止工作的简单行动。</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444</w:t>
      </w:r>
      <w:r>
        <w:rPr>
          <w:rFonts w:hint="eastAsia"/>
          <w:lang w:val="zh-CN"/>
        </w:rPr>
        <w:t>条。如果罢工符合第</w:t>
      </w:r>
      <w:r>
        <w:rPr>
          <w:rFonts w:hint="eastAsia"/>
          <w:lang w:val="zh-CN"/>
        </w:rPr>
        <w:t>450</w:t>
      </w:r>
      <w:r>
        <w:rPr>
          <w:rFonts w:hint="eastAsia"/>
          <w:lang w:val="zh-CN"/>
        </w:rPr>
        <w:t>条中规定的要求，并且其目的也与之相符，则罢工合法。</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445</w:t>
      </w:r>
      <w:r>
        <w:rPr>
          <w:rFonts w:hint="eastAsia"/>
          <w:lang w:val="zh-CN"/>
        </w:rPr>
        <w:t>条。发生以下情况，罢工违法：</w:t>
      </w:r>
    </w:p>
    <w:p w:rsidR="00000000" w:rsidRDefault="00457650" w:rsidP="00457650">
      <w:pPr>
        <w:widowControl/>
        <w:tabs>
          <w:tab w:val="left" w:pos="630"/>
        </w:tabs>
        <w:spacing w:after="240" w:line="360" w:lineRule="exact"/>
        <w:ind w:leftChars="500" w:left="31680" w:hangingChars="200" w:firstLine="31680"/>
        <w:rPr>
          <w:rFonts w:hint="eastAsia"/>
          <w:lang w:val="zh-CN"/>
        </w:rPr>
      </w:pPr>
      <w:r>
        <w:rPr>
          <w:rFonts w:hint="eastAsia"/>
          <w:lang w:val="zh-CN"/>
        </w:rPr>
        <w:t>一、如果罢工主体采取针对个人或者</w:t>
      </w:r>
      <w:r>
        <w:rPr>
          <w:rFonts w:hint="eastAsia"/>
          <w:lang w:val="zh-CN"/>
        </w:rPr>
        <w:t>财产的暴力行为，</w:t>
      </w:r>
    </w:p>
    <w:p w:rsidR="00000000" w:rsidRDefault="00457650" w:rsidP="00457650">
      <w:pPr>
        <w:widowControl/>
        <w:tabs>
          <w:tab w:val="left" w:pos="630"/>
        </w:tabs>
        <w:spacing w:after="240" w:line="360" w:lineRule="exact"/>
        <w:ind w:leftChars="500" w:left="31680" w:hangingChars="200" w:firstLine="31680"/>
        <w:rPr>
          <w:rFonts w:hint="eastAsia"/>
          <w:lang w:val="zh-CN"/>
        </w:rPr>
      </w:pPr>
      <w:r>
        <w:rPr>
          <w:rFonts w:hint="eastAsia"/>
          <w:lang w:val="zh-CN"/>
        </w:rPr>
        <w:t>二、在战争期间，罢工工人隶属于政府组织或者部门。</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446</w:t>
      </w:r>
      <w:r>
        <w:rPr>
          <w:rFonts w:hint="eastAsia"/>
          <w:lang w:val="zh-CN"/>
        </w:rPr>
        <w:t>条。如果因此归因于雇主，则罢工被认为是正当的。</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447</w:t>
      </w:r>
      <w:r>
        <w:rPr>
          <w:rFonts w:hint="eastAsia"/>
          <w:lang w:val="zh-CN"/>
        </w:rPr>
        <w:t>条。只要罢工不结束，它就是终止雇用关系效力的法律原因。</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448</w:t>
      </w:r>
      <w:r>
        <w:rPr>
          <w:rFonts w:hint="eastAsia"/>
          <w:lang w:val="zh-CN"/>
        </w:rPr>
        <w:t>条。行使罢工权利时，应该延缓先前就某一经济性问题在调解和仲裁委员会进行的所有集体争议，以及提交给该组织的申请，除非劳工向委员会提交争议是寻求判决。</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上一段的规定不适用于以第</w:t>
      </w:r>
      <w:r>
        <w:rPr>
          <w:rFonts w:hint="eastAsia"/>
          <w:lang w:val="zh-CN"/>
        </w:rPr>
        <w:t>450</w:t>
      </w:r>
      <w:r>
        <w:rPr>
          <w:rFonts w:hint="eastAsia"/>
          <w:lang w:val="zh-CN"/>
        </w:rPr>
        <w:t>条第</w:t>
      </w:r>
      <w:r>
        <w:rPr>
          <w:rFonts w:hint="eastAsia"/>
          <w:lang w:val="zh-CN"/>
        </w:rPr>
        <w:t>6</w:t>
      </w:r>
      <w:r>
        <w:rPr>
          <w:rFonts w:hint="eastAsia"/>
          <w:lang w:val="zh-CN"/>
        </w:rPr>
        <w:t>款内容为目标的罢工。</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449</w:t>
      </w:r>
      <w:r>
        <w:rPr>
          <w:rFonts w:hint="eastAsia"/>
          <w:lang w:val="zh-CN"/>
        </w:rPr>
        <w:t>条。调解和仲裁委员会以及相关的民事当局必须加强对罢工权利的尊重，给予劳工必要的保证，并且在其可能要求停</w:t>
      </w:r>
      <w:r>
        <w:rPr>
          <w:rFonts w:hint="eastAsia"/>
          <w:lang w:val="zh-CN"/>
        </w:rPr>
        <w:t>止工作的时候为其提供任何援助。</w:t>
      </w:r>
    </w:p>
    <w:p w:rsidR="00000000" w:rsidRDefault="00457650" w:rsidP="00457650">
      <w:pPr>
        <w:widowControl/>
        <w:tabs>
          <w:tab w:val="left" w:pos="630"/>
        </w:tabs>
        <w:spacing w:after="240" w:line="360" w:lineRule="exact"/>
        <w:ind w:leftChars="300" w:left="31680" w:firstLineChars="200" w:firstLine="31680"/>
        <w:rPr>
          <w:rFonts w:hint="eastAsia"/>
          <w:lang w:val="zh-CN"/>
        </w:rPr>
      </w:pPr>
      <w:r>
        <w:rPr>
          <w:rFonts w:hint="eastAsia"/>
          <w:lang w:val="zh-CN"/>
        </w:rPr>
        <w:t>第</w:t>
      </w:r>
      <w:r>
        <w:rPr>
          <w:rFonts w:hint="eastAsia"/>
          <w:lang w:val="zh-CN"/>
        </w:rPr>
        <w:t>450</w:t>
      </w:r>
      <w:r>
        <w:rPr>
          <w:rFonts w:hint="eastAsia"/>
          <w:lang w:val="zh-CN"/>
        </w:rPr>
        <w:t>条。罢工必须以下列内容为目标：</w:t>
      </w:r>
    </w:p>
    <w:p w:rsidR="00000000" w:rsidRDefault="00457650" w:rsidP="00457650">
      <w:pPr>
        <w:widowControl/>
        <w:tabs>
          <w:tab w:val="left" w:pos="630"/>
        </w:tabs>
        <w:spacing w:after="240" w:line="360" w:lineRule="exact"/>
        <w:ind w:leftChars="500" w:left="31680" w:hangingChars="200" w:firstLine="31680"/>
        <w:rPr>
          <w:rFonts w:hint="eastAsia"/>
          <w:lang w:val="zh-CN"/>
        </w:rPr>
      </w:pPr>
      <w:r>
        <w:rPr>
          <w:rFonts w:hint="eastAsia"/>
          <w:lang w:val="zh-CN"/>
        </w:rPr>
        <w:t>一、通过协调劳资双方权利，在各种生产各要素之间实现平等；</w:t>
      </w:r>
    </w:p>
    <w:p w:rsidR="00000000" w:rsidRDefault="00457650" w:rsidP="00457650">
      <w:pPr>
        <w:widowControl/>
        <w:tabs>
          <w:tab w:val="left" w:pos="630"/>
        </w:tabs>
        <w:spacing w:after="240" w:line="360" w:lineRule="exact"/>
        <w:ind w:leftChars="500" w:left="31680" w:hangingChars="200" w:firstLine="31680"/>
        <w:rPr>
          <w:rFonts w:hint="eastAsia"/>
          <w:lang w:val="zh-CN"/>
        </w:rPr>
      </w:pPr>
      <w:r>
        <w:rPr>
          <w:rFonts w:hint="eastAsia"/>
          <w:lang w:val="zh-CN"/>
        </w:rPr>
        <w:t>二、根据标题七下第三章的规定，与一个雇主或若干雇主缔结集体劳动合同，并确保在其有效期结束时进行重审；</w:t>
      </w:r>
    </w:p>
    <w:p w:rsidR="00000000" w:rsidRDefault="00457650" w:rsidP="00457650">
      <w:pPr>
        <w:widowControl/>
        <w:tabs>
          <w:tab w:val="left" w:pos="630"/>
        </w:tabs>
        <w:spacing w:after="240" w:line="360" w:lineRule="exact"/>
        <w:ind w:leftChars="500" w:left="31680" w:hangingChars="200" w:firstLine="31680"/>
        <w:rPr>
          <w:rFonts w:hint="eastAsia"/>
          <w:lang w:val="zh-CN"/>
        </w:rPr>
      </w:pPr>
      <w:r>
        <w:rPr>
          <w:rFonts w:hint="eastAsia"/>
          <w:lang w:val="zh-CN"/>
        </w:rPr>
        <w:t>三、根据标题七下第四章的规定，与若干雇主缔结示范协议，并要求确保在其有效期结束时进行重审；</w:t>
      </w:r>
    </w:p>
    <w:p w:rsidR="00000000" w:rsidRDefault="00457650" w:rsidP="00457650">
      <w:pPr>
        <w:widowControl/>
        <w:tabs>
          <w:tab w:val="left" w:pos="630"/>
        </w:tabs>
        <w:spacing w:after="240" w:line="360" w:lineRule="exact"/>
        <w:ind w:leftChars="500" w:left="31680" w:hangingChars="200" w:firstLine="31680"/>
        <w:rPr>
          <w:rFonts w:hint="eastAsia"/>
          <w:lang w:val="zh-CN"/>
        </w:rPr>
      </w:pPr>
      <w:r>
        <w:rPr>
          <w:rFonts w:hint="eastAsia"/>
          <w:lang w:val="zh-CN"/>
        </w:rPr>
        <w:t>四、要求在违反了集体劳动合同或示范协议的组织中执行这些合同或协议；</w:t>
      </w:r>
    </w:p>
    <w:p w:rsidR="00000000" w:rsidRDefault="00457650" w:rsidP="00457650">
      <w:pPr>
        <w:widowControl/>
        <w:tabs>
          <w:tab w:val="left" w:pos="630"/>
        </w:tabs>
        <w:spacing w:after="240" w:line="360" w:lineRule="exact"/>
        <w:ind w:leftChars="500" w:left="31680" w:hangingChars="200" w:firstLine="31680"/>
        <w:rPr>
          <w:rFonts w:hint="eastAsia"/>
          <w:lang w:val="zh-CN"/>
        </w:rPr>
      </w:pPr>
      <w:r>
        <w:rPr>
          <w:rFonts w:hint="eastAsia"/>
          <w:lang w:val="zh-CN"/>
        </w:rPr>
        <w:t>五、要求执行关于职工分红的法定规定；</w:t>
      </w:r>
    </w:p>
    <w:p w:rsidR="00000000" w:rsidRDefault="00457650" w:rsidP="00457650">
      <w:pPr>
        <w:widowControl/>
        <w:tabs>
          <w:tab w:val="left" w:pos="630"/>
        </w:tabs>
        <w:spacing w:after="240" w:line="360" w:lineRule="exact"/>
        <w:ind w:leftChars="500" w:left="31680" w:hangingChars="200" w:firstLine="31680"/>
        <w:rPr>
          <w:rFonts w:hint="eastAsia"/>
          <w:lang w:val="zh-CN"/>
        </w:rPr>
      </w:pPr>
      <w:r>
        <w:rPr>
          <w:rFonts w:hint="eastAsia"/>
          <w:lang w:val="zh-CN"/>
        </w:rPr>
        <w:t>六、支持从上述条款所列任何一项目标出发举行的罢工；</w:t>
      </w:r>
    </w:p>
    <w:p w:rsidR="00000000" w:rsidRDefault="00457650" w:rsidP="00457650">
      <w:pPr>
        <w:widowControl/>
        <w:tabs>
          <w:tab w:val="left" w:pos="630"/>
        </w:tabs>
        <w:spacing w:after="240" w:line="360" w:lineRule="exact"/>
        <w:ind w:leftChars="500" w:left="31680" w:hangingChars="200" w:firstLine="31680"/>
        <w:rPr>
          <w:rFonts w:hint="eastAsia"/>
          <w:lang w:val="zh-CN"/>
        </w:rPr>
      </w:pPr>
      <w:r>
        <w:rPr>
          <w:rFonts w:hint="eastAsia"/>
          <w:lang w:val="zh-CN"/>
        </w:rPr>
        <w:t>七、要求对第</w:t>
      </w:r>
      <w:r>
        <w:rPr>
          <w:rFonts w:hint="eastAsia"/>
          <w:lang w:val="zh-CN"/>
        </w:rPr>
        <w:t>399</w:t>
      </w:r>
      <w:r>
        <w:rPr>
          <w:rFonts w:hint="eastAsia"/>
          <w:lang w:val="zh-CN"/>
        </w:rPr>
        <w:t>条之二和第</w:t>
      </w:r>
      <w:r>
        <w:rPr>
          <w:rFonts w:hint="eastAsia"/>
          <w:lang w:val="zh-CN"/>
        </w:rPr>
        <w:t>4</w:t>
      </w:r>
      <w:r>
        <w:rPr>
          <w:rFonts w:hint="eastAsia"/>
          <w:lang w:val="zh-CN"/>
        </w:rPr>
        <w:t>19</w:t>
      </w:r>
      <w:r>
        <w:rPr>
          <w:rFonts w:hint="eastAsia"/>
          <w:lang w:val="zh-CN"/>
        </w:rPr>
        <w:t>条之二中提及的约定薪酬重新审议。</w:t>
      </w:r>
    </w:p>
    <w:p w:rsidR="00000000" w:rsidRDefault="00457650">
      <w:pPr>
        <w:widowControl/>
        <w:tabs>
          <w:tab w:val="left" w:pos="630"/>
        </w:tabs>
        <w:spacing w:after="220" w:line="360" w:lineRule="exact"/>
        <w:rPr>
          <w:rFonts w:ascii="SimHei" w:eastAsia="SimHei" w:hint="eastAsia"/>
        </w:rPr>
      </w:pPr>
      <w:r>
        <w:rPr>
          <w:rFonts w:ascii="SimHei" w:eastAsia="SimHei" w:hint="eastAsia"/>
        </w:rPr>
        <w:t>第</w:t>
      </w:r>
      <w:r>
        <w:rPr>
          <w:rFonts w:ascii="SimHei" w:eastAsia="SimHei" w:hint="eastAsia"/>
        </w:rPr>
        <w:t>23</w:t>
      </w:r>
      <w:r>
        <w:rPr>
          <w:rFonts w:ascii="SimHei" w:eastAsia="SimHei" w:hint="eastAsia"/>
        </w:rPr>
        <w:t>段（</w:t>
      </w:r>
      <w:r>
        <w:rPr>
          <w:rFonts w:ascii="SimHei" w:eastAsia="SimHei" w:hint="eastAsia"/>
        </w:rPr>
        <w:t>a</w:t>
      </w:r>
      <w:r>
        <w:rPr>
          <w:rFonts w:ascii="SimHei" w:eastAsia="SimHei" w:hint="eastAsia"/>
        </w:rPr>
        <w:t>）</w:t>
      </w:r>
    </w:p>
    <w:p w:rsidR="00000000" w:rsidRDefault="00457650">
      <w:pPr>
        <w:widowControl/>
        <w:tabs>
          <w:tab w:val="left" w:pos="630"/>
        </w:tabs>
        <w:spacing w:after="220" w:line="360" w:lineRule="exact"/>
        <w:rPr>
          <w:rFonts w:hint="eastAsia"/>
        </w:rPr>
      </w:pPr>
      <w:r>
        <w:rPr>
          <w:rFonts w:hint="eastAsia"/>
        </w:rPr>
        <w:t>305.</w:t>
      </w:r>
      <w:r>
        <w:rPr>
          <w:rFonts w:hint="eastAsia"/>
        </w:rPr>
        <w:tab/>
      </w:r>
      <w:r>
        <w:rPr>
          <w:rFonts w:hint="eastAsia"/>
        </w:rPr>
        <w:t>如上所述，《墨西哥合众国宪法》对行使罢工权利做了以下规定：</w:t>
      </w:r>
    </w:p>
    <w:p w:rsidR="00000000" w:rsidRDefault="00457650" w:rsidP="00457650">
      <w:pPr>
        <w:widowControl/>
        <w:tabs>
          <w:tab w:val="left" w:pos="630"/>
        </w:tabs>
        <w:spacing w:after="220" w:line="360" w:lineRule="exact"/>
        <w:ind w:leftChars="300" w:left="31680" w:firstLineChars="200" w:firstLine="31680"/>
        <w:rPr>
          <w:rFonts w:hint="eastAsia"/>
        </w:rPr>
      </w:pPr>
      <w:r>
        <w:rPr>
          <w:rFonts w:hint="eastAsia"/>
        </w:rPr>
        <w:t>“第</w:t>
      </w:r>
      <w:r>
        <w:rPr>
          <w:rFonts w:hint="eastAsia"/>
        </w:rPr>
        <w:t>123</w:t>
      </w:r>
      <w:r>
        <w:rPr>
          <w:rFonts w:hint="eastAsia"/>
        </w:rPr>
        <w:t>条，第</w:t>
      </w:r>
      <w:r>
        <w:rPr>
          <w:rFonts w:hint="eastAsia"/>
        </w:rPr>
        <w:t>18</w:t>
      </w:r>
      <w:r>
        <w:rPr>
          <w:rFonts w:hint="eastAsia"/>
        </w:rPr>
        <w:t>款……公共机构的劳动者依法应该提前</w:t>
      </w:r>
      <w:r>
        <w:rPr>
          <w:rFonts w:hint="eastAsia"/>
        </w:rPr>
        <w:t>10</w:t>
      </w:r>
      <w:r>
        <w:rPr>
          <w:rFonts w:hint="eastAsia"/>
        </w:rPr>
        <w:t>天通知调解和仲裁委员会议定的停工日期。只有在大多数</w:t>
      </w:r>
      <w:r>
        <w:rPr>
          <w:rFonts w:hint="eastAsia"/>
          <w:lang w:val="zh-CN"/>
        </w:rPr>
        <w:t>罢工</w:t>
      </w:r>
      <w:r>
        <w:rPr>
          <w:rFonts w:hint="eastAsia"/>
        </w:rPr>
        <w:t>者采取针对个人或财产，或者战争期间罢工工人隶属于政府组织或者部门的时候，罢工才被认为违法。”</w:t>
      </w:r>
    </w:p>
    <w:p w:rsidR="00000000" w:rsidRDefault="00457650">
      <w:pPr>
        <w:widowControl/>
        <w:tabs>
          <w:tab w:val="left" w:pos="630"/>
        </w:tabs>
        <w:spacing w:after="220" w:line="360" w:lineRule="exact"/>
        <w:rPr>
          <w:rFonts w:hint="eastAsia"/>
        </w:rPr>
      </w:pPr>
      <w:r>
        <w:rPr>
          <w:rFonts w:hint="eastAsia"/>
        </w:rPr>
        <w:t>306.</w:t>
      </w:r>
      <w:r>
        <w:rPr>
          <w:rFonts w:hint="eastAsia"/>
        </w:rPr>
        <w:tab/>
      </w:r>
      <w:r>
        <w:rPr>
          <w:rFonts w:hint="eastAsia"/>
        </w:rPr>
        <w:t>根据《宪法》第</w:t>
      </w:r>
      <w:r>
        <w:rPr>
          <w:rFonts w:hint="eastAsia"/>
        </w:rPr>
        <w:t>123</w:t>
      </w:r>
      <w:r>
        <w:rPr>
          <w:rFonts w:hint="eastAsia"/>
        </w:rPr>
        <w:t>条第</w:t>
      </w:r>
      <w:r>
        <w:rPr>
          <w:rFonts w:hint="eastAsia"/>
        </w:rPr>
        <w:t>18</w:t>
      </w:r>
      <w:r>
        <w:rPr>
          <w:rFonts w:hint="eastAsia"/>
        </w:rPr>
        <w:t>款最后一句，《联邦劳动法》第</w:t>
      </w:r>
      <w:r>
        <w:rPr>
          <w:rFonts w:hint="eastAsia"/>
        </w:rPr>
        <w:t>925</w:t>
      </w:r>
      <w:r>
        <w:rPr>
          <w:rFonts w:hint="eastAsia"/>
        </w:rPr>
        <w:t>条具体说明了应如何理解公共机构概念。</w:t>
      </w:r>
    </w:p>
    <w:p w:rsidR="00000000" w:rsidRDefault="00457650">
      <w:pPr>
        <w:widowControl/>
        <w:tabs>
          <w:tab w:val="left" w:pos="630"/>
        </w:tabs>
        <w:spacing w:after="220" w:line="360" w:lineRule="exact"/>
        <w:rPr>
          <w:rFonts w:hint="eastAsia"/>
        </w:rPr>
      </w:pPr>
      <w:r>
        <w:rPr>
          <w:rFonts w:hint="eastAsia"/>
        </w:rPr>
        <w:t>307.</w:t>
      </w:r>
      <w:r>
        <w:rPr>
          <w:rFonts w:hint="eastAsia"/>
        </w:rPr>
        <w:tab/>
      </w:r>
      <w:r>
        <w:rPr>
          <w:rFonts w:hint="eastAsia"/>
        </w:rPr>
        <w:t>《联邦劳动法》还具体规定了行使罢工权利须具备的条件：</w:t>
      </w:r>
    </w:p>
    <w:p w:rsidR="00000000" w:rsidRDefault="00457650" w:rsidP="00457650">
      <w:pPr>
        <w:widowControl/>
        <w:tabs>
          <w:tab w:val="left" w:pos="630"/>
        </w:tabs>
        <w:spacing w:after="220" w:line="360" w:lineRule="exact"/>
        <w:ind w:leftChars="300" w:left="31680" w:firstLineChars="200" w:firstLine="31680"/>
        <w:rPr>
          <w:rFonts w:hint="eastAsia"/>
        </w:rPr>
      </w:pPr>
      <w:r>
        <w:rPr>
          <w:rFonts w:hint="eastAsia"/>
        </w:rPr>
        <w:t>“第</w:t>
      </w:r>
      <w:r>
        <w:rPr>
          <w:rFonts w:hint="eastAsia"/>
        </w:rPr>
        <w:t>44</w:t>
      </w:r>
      <w:r>
        <w:rPr>
          <w:rFonts w:hint="eastAsia"/>
        </w:rPr>
        <w:t>3</w:t>
      </w:r>
      <w:r>
        <w:rPr>
          <w:rFonts w:hint="eastAsia"/>
        </w:rPr>
        <w:t>条。罢工必须仅限于停止工作的简单行动。”</w:t>
      </w:r>
    </w:p>
    <w:p w:rsidR="00000000" w:rsidRDefault="00457650" w:rsidP="00457650">
      <w:pPr>
        <w:widowControl/>
        <w:tabs>
          <w:tab w:val="left" w:pos="630"/>
        </w:tabs>
        <w:spacing w:after="220" w:line="360" w:lineRule="exact"/>
        <w:ind w:leftChars="300" w:left="31680" w:firstLineChars="200" w:firstLine="31680"/>
        <w:rPr>
          <w:rFonts w:hint="eastAsia"/>
        </w:rPr>
      </w:pPr>
      <w:r>
        <w:rPr>
          <w:rFonts w:hint="eastAsia"/>
        </w:rPr>
        <w:t>“第</w:t>
      </w:r>
      <w:r>
        <w:rPr>
          <w:rFonts w:hint="eastAsia"/>
        </w:rPr>
        <w:t>444</w:t>
      </w:r>
      <w:r>
        <w:rPr>
          <w:rFonts w:hint="eastAsia"/>
        </w:rPr>
        <w:t>条。如果罢工符合第</w:t>
      </w:r>
      <w:r>
        <w:rPr>
          <w:rFonts w:hint="eastAsia"/>
        </w:rPr>
        <w:t>450</w:t>
      </w:r>
      <w:r>
        <w:rPr>
          <w:rFonts w:hint="eastAsia"/>
        </w:rPr>
        <w:t>条中规定的要求，并且其目的也与之相符，则罢工合法。”</w:t>
      </w:r>
    </w:p>
    <w:p w:rsidR="00000000" w:rsidRDefault="00457650">
      <w:pPr>
        <w:keepNext/>
        <w:widowControl/>
        <w:tabs>
          <w:tab w:val="left" w:pos="630"/>
        </w:tabs>
        <w:spacing w:after="220" w:line="360" w:lineRule="exact"/>
        <w:rPr>
          <w:rFonts w:hint="eastAsia"/>
        </w:rPr>
      </w:pPr>
      <w:r>
        <w:rPr>
          <w:rFonts w:hint="eastAsia"/>
        </w:rPr>
        <w:t>308.</w:t>
      </w:r>
      <w:r>
        <w:rPr>
          <w:rFonts w:hint="eastAsia"/>
        </w:rPr>
        <w:tab/>
      </w:r>
      <w:r>
        <w:rPr>
          <w:rFonts w:hint="eastAsia"/>
        </w:rPr>
        <w:t>在下列情况下，罢工不合法：</w:t>
      </w:r>
    </w:p>
    <w:p w:rsidR="00000000" w:rsidRDefault="00457650" w:rsidP="00457650">
      <w:pPr>
        <w:keepNext/>
        <w:widowControl/>
        <w:tabs>
          <w:tab w:val="left" w:pos="630"/>
        </w:tabs>
        <w:spacing w:after="220" w:line="360" w:lineRule="exact"/>
        <w:ind w:leftChars="300" w:left="31680" w:firstLineChars="200" w:firstLine="31680"/>
        <w:rPr>
          <w:rFonts w:hint="eastAsia"/>
        </w:rPr>
      </w:pPr>
      <w:r>
        <w:rPr>
          <w:rFonts w:hint="eastAsia"/>
        </w:rPr>
        <w:t>“第</w:t>
      </w:r>
      <w:r>
        <w:rPr>
          <w:rFonts w:hint="eastAsia"/>
        </w:rPr>
        <w:t>445</w:t>
      </w:r>
      <w:r>
        <w:rPr>
          <w:rFonts w:hint="eastAsia"/>
        </w:rPr>
        <w:t>条。发生以下情况，罢工违法：</w:t>
      </w:r>
    </w:p>
    <w:p w:rsidR="00000000" w:rsidRDefault="00457650" w:rsidP="00457650">
      <w:pPr>
        <w:widowControl/>
        <w:tabs>
          <w:tab w:val="left" w:pos="630"/>
        </w:tabs>
        <w:spacing w:after="220" w:line="360" w:lineRule="exact"/>
        <w:ind w:leftChars="500" w:left="31680" w:hangingChars="200" w:firstLine="31680"/>
        <w:rPr>
          <w:rFonts w:hint="eastAsia"/>
          <w:lang w:val="zh-CN"/>
        </w:rPr>
      </w:pPr>
      <w:r>
        <w:rPr>
          <w:rFonts w:hint="eastAsia"/>
          <w:lang w:val="zh-CN"/>
        </w:rPr>
        <w:t>一、如果罢工主体采取针对个人或者财产的暴力行为，</w:t>
      </w:r>
    </w:p>
    <w:p w:rsidR="00000000" w:rsidRDefault="00457650" w:rsidP="00457650">
      <w:pPr>
        <w:widowControl/>
        <w:tabs>
          <w:tab w:val="left" w:pos="630"/>
        </w:tabs>
        <w:spacing w:after="220" w:line="360" w:lineRule="exact"/>
        <w:ind w:leftChars="500" w:left="31680" w:hangingChars="200" w:firstLine="31680"/>
        <w:rPr>
          <w:rFonts w:hint="eastAsia"/>
          <w:lang w:val="zh-CN"/>
        </w:rPr>
      </w:pPr>
      <w:r>
        <w:rPr>
          <w:rFonts w:hint="eastAsia"/>
          <w:lang w:val="zh-CN"/>
        </w:rPr>
        <w:t>二、在战争期间，罢工工人隶属于政府组织或者部门。”</w:t>
      </w:r>
    </w:p>
    <w:p w:rsidR="00000000" w:rsidRDefault="00457650" w:rsidP="00457650">
      <w:pPr>
        <w:widowControl/>
        <w:tabs>
          <w:tab w:val="left" w:pos="630"/>
        </w:tabs>
        <w:spacing w:after="220" w:line="360" w:lineRule="exact"/>
        <w:ind w:leftChars="300" w:left="31680" w:firstLineChars="200" w:firstLine="31680"/>
        <w:rPr>
          <w:rFonts w:hint="eastAsia"/>
        </w:rPr>
      </w:pPr>
      <w:r>
        <w:rPr>
          <w:rFonts w:hint="eastAsia"/>
        </w:rPr>
        <w:t>“第</w:t>
      </w:r>
      <w:r>
        <w:rPr>
          <w:rFonts w:hint="eastAsia"/>
        </w:rPr>
        <w:t>451</w:t>
      </w:r>
      <w:r>
        <w:rPr>
          <w:rFonts w:hint="eastAsia"/>
        </w:rPr>
        <w:t>条。如果要停工，必须做到：</w:t>
      </w:r>
    </w:p>
    <w:p w:rsidR="00000000" w:rsidRDefault="00457650" w:rsidP="00457650">
      <w:pPr>
        <w:widowControl/>
        <w:tabs>
          <w:tab w:val="left" w:pos="630"/>
        </w:tabs>
        <w:spacing w:after="220" w:line="340" w:lineRule="exact"/>
        <w:ind w:leftChars="500" w:left="31680" w:hangingChars="300" w:firstLine="31680"/>
        <w:rPr>
          <w:rFonts w:hint="eastAsia"/>
          <w:lang w:val="zh-CN"/>
        </w:rPr>
      </w:pPr>
      <w:r>
        <w:rPr>
          <w:rFonts w:hint="eastAsia"/>
          <w:lang w:val="zh-CN"/>
        </w:rPr>
        <w:t>“一、组织罢工出于上述条款中所列的一个或更多目的，</w:t>
      </w:r>
    </w:p>
    <w:p w:rsidR="00000000" w:rsidRDefault="00457650" w:rsidP="00457650">
      <w:pPr>
        <w:widowControl/>
        <w:tabs>
          <w:tab w:val="left" w:pos="630"/>
        </w:tabs>
        <w:spacing w:after="220" w:line="340" w:lineRule="exact"/>
        <w:ind w:leftChars="500" w:left="31680" w:hangingChars="300" w:firstLine="31680"/>
        <w:rPr>
          <w:rFonts w:hint="eastAsia"/>
          <w:lang w:val="zh-CN"/>
        </w:rPr>
      </w:pPr>
      <w:r>
        <w:rPr>
          <w:rFonts w:hint="eastAsia"/>
          <w:lang w:val="zh-CN"/>
        </w:rPr>
        <w:t>“二、企业或者组织中的大多数工人都停止了该项工作。根据第</w:t>
      </w:r>
      <w:r>
        <w:rPr>
          <w:rFonts w:hint="eastAsia"/>
          <w:lang w:val="zh-CN"/>
        </w:rPr>
        <w:t>460</w:t>
      </w:r>
      <w:r>
        <w:rPr>
          <w:rFonts w:hint="eastAsia"/>
          <w:lang w:val="zh-CN"/>
        </w:rPr>
        <w:t>条规定，这里提到的大多数人的</w:t>
      </w:r>
      <w:r>
        <w:rPr>
          <w:rFonts w:hint="eastAsia"/>
        </w:rPr>
        <w:t>决心</w:t>
      </w:r>
      <w:r>
        <w:rPr>
          <w:rFonts w:hint="eastAsia"/>
          <w:lang w:val="zh-CN"/>
        </w:rPr>
        <w:t>，只能作为请求宣</w:t>
      </w:r>
      <w:r>
        <w:rPr>
          <w:rFonts w:hint="eastAsia"/>
          <w:lang w:val="zh-CN"/>
        </w:rPr>
        <w:t>布罢工没有发生的条件，但是在停工开始之前，决不能提出该问题”。</w:t>
      </w:r>
    </w:p>
    <w:p w:rsidR="00000000" w:rsidRDefault="00457650">
      <w:pPr>
        <w:widowControl/>
        <w:tabs>
          <w:tab w:val="left" w:pos="630"/>
        </w:tabs>
        <w:spacing w:after="240" w:line="340" w:lineRule="exact"/>
        <w:rPr>
          <w:rFonts w:hint="eastAsia"/>
        </w:rPr>
      </w:pPr>
      <w:r>
        <w:rPr>
          <w:rFonts w:hint="eastAsia"/>
        </w:rPr>
        <w:t>309.</w:t>
      </w:r>
      <w:r>
        <w:rPr>
          <w:rFonts w:hint="eastAsia"/>
        </w:rPr>
        <w:tab/>
      </w:r>
      <w:r>
        <w:rPr>
          <w:rFonts w:hint="eastAsia"/>
        </w:rPr>
        <w:t>以下情况下不存在罢工：</w:t>
      </w:r>
    </w:p>
    <w:p w:rsidR="00000000" w:rsidRDefault="00457650" w:rsidP="00457650">
      <w:pPr>
        <w:widowControl/>
        <w:tabs>
          <w:tab w:val="left" w:pos="630"/>
        </w:tabs>
        <w:spacing w:after="240" w:line="340" w:lineRule="exact"/>
        <w:ind w:leftChars="300" w:left="31680" w:firstLineChars="200" w:firstLine="31680"/>
        <w:rPr>
          <w:rFonts w:hint="eastAsia"/>
        </w:rPr>
      </w:pPr>
      <w:r>
        <w:rPr>
          <w:rFonts w:hint="eastAsia"/>
        </w:rPr>
        <w:t>“第</w:t>
      </w:r>
      <w:r>
        <w:rPr>
          <w:rFonts w:hint="eastAsia"/>
        </w:rPr>
        <w:t>459</w:t>
      </w:r>
      <w:r>
        <w:rPr>
          <w:rFonts w:hint="eastAsia"/>
        </w:rPr>
        <w:t>条。法律上在以下情况下不存在罢工：</w:t>
      </w:r>
    </w:p>
    <w:p w:rsidR="00000000" w:rsidRDefault="00457650" w:rsidP="00457650">
      <w:pPr>
        <w:widowControl/>
        <w:tabs>
          <w:tab w:val="left" w:pos="630"/>
        </w:tabs>
        <w:spacing w:after="240" w:line="340" w:lineRule="exact"/>
        <w:ind w:leftChars="500" w:left="31680" w:hangingChars="300" w:firstLine="31680"/>
        <w:rPr>
          <w:rFonts w:hint="eastAsia"/>
          <w:lang w:val="zh-CN"/>
        </w:rPr>
      </w:pPr>
      <w:r>
        <w:rPr>
          <w:rFonts w:hint="eastAsia"/>
          <w:lang w:val="zh-CN"/>
        </w:rPr>
        <w:t>“一、</w:t>
      </w:r>
      <w:r>
        <w:rPr>
          <w:rFonts w:hint="eastAsia"/>
        </w:rPr>
        <w:t>停工</w:t>
      </w:r>
      <w:r>
        <w:rPr>
          <w:rFonts w:hint="eastAsia"/>
          <w:lang w:val="zh-CN"/>
        </w:rPr>
        <w:t>工人数目不足第</w:t>
      </w:r>
      <w:r>
        <w:rPr>
          <w:rFonts w:hint="eastAsia"/>
          <w:lang w:val="zh-CN"/>
        </w:rPr>
        <w:t>451</w:t>
      </w:r>
      <w:r>
        <w:rPr>
          <w:rFonts w:hint="eastAsia"/>
          <w:lang w:val="zh-CN"/>
        </w:rPr>
        <w:t>条第</w:t>
      </w:r>
      <w:r>
        <w:rPr>
          <w:rFonts w:hint="eastAsia"/>
          <w:lang w:val="zh-CN"/>
        </w:rPr>
        <w:t>2</w:t>
      </w:r>
      <w:r>
        <w:rPr>
          <w:rFonts w:hint="eastAsia"/>
          <w:lang w:val="zh-CN"/>
        </w:rPr>
        <w:t>款规定的人数；</w:t>
      </w:r>
    </w:p>
    <w:p w:rsidR="00000000" w:rsidRDefault="00457650" w:rsidP="00457650">
      <w:pPr>
        <w:widowControl/>
        <w:tabs>
          <w:tab w:val="left" w:pos="630"/>
        </w:tabs>
        <w:spacing w:after="240" w:line="340" w:lineRule="exact"/>
        <w:ind w:leftChars="500" w:left="31680" w:hangingChars="300" w:firstLine="31680"/>
        <w:rPr>
          <w:rFonts w:hint="eastAsia"/>
          <w:lang w:val="zh-CN"/>
        </w:rPr>
      </w:pPr>
      <w:r>
        <w:rPr>
          <w:rFonts w:hint="eastAsia"/>
          <w:lang w:val="zh-CN"/>
        </w:rPr>
        <w:t>“二、</w:t>
      </w:r>
      <w:r>
        <w:rPr>
          <w:rFonts w:hint="eastAsia"/>
        </w:rPr>
        <w:t>罢工</w:t>
      </w:r>
      <w:r>
        <w:rPr>
          <w:rFonts w:hint="eastAsia"/>
          <w:lang w:val="zh-CN"/>
        </w:rPr>
        <w:t>的目的不在第</w:t>
      </w:r>
      <w:r>
        <w:rPr>
          <w:rFonts w:hint="eastAsia"/>
          <w:lang w:val="zh-CN"/>
        </w:rPr>
        <w:t>450</w:t>
      </w:r>
      <w:r>
        <w:rPr>
          <w:rFonts w:hint="eastAsia"/>
          <w:lang w:val="zh-CN"/>
        </w:rPr>
        <w:t>条规定的范围之内；以及</w:t>
      </w:r>
    </w:p>
    <w:p w:rsidR="00000000" w:rsidRDefault="00457650" w:rsidP="00457650">
      <w:pPr>
        <w:widowControl/>
        <w:tabs>
          <w:tab w:val="left" w:pos="630"/>
        </w:tabs>
        <w:spacing w:after="240" w:line="340" w:lineRule="exact"/>
        <w:ind w:leftChars="500" w:left="31680" w:hangingChars="300" w:firstLine="31680"/>
        <w:rPr>
          <w:rFonts w:hint="eastAsia"/>
          <w:lang w:val="zh-CN"/>
        </w:rPr>
      </w:pPr>
      <w:r>
        <w:rPr>
          <w:rFonts w:hint="eastAsia"/>
          <w:lang w:val="zh-CN"/>
        </w:rPr>
        <w:t>“三、不满足第</w:t>
      </w:r>
      <w:r>
        <w:rPr>
          <w:rFonts w:hint="eastAsia"/>
          <w:lang w:val="zh-CN"/>
        </w:rPr>
        <w:t>452</w:t>
      </w:r>
      <w:r>
        <w:rPr>
          <w:rFonts w:hint="eastAsia"/>
          <w:lang w:val="zh-CN"/>
        </w:rPr>
        <w:t>条中所列要求。</w:t>
      </w:r>
    </w:p>
    <w:p w:rsidR="00000000" w:rsidRDefault="00457650" w:rsidP="00457650">
      <w:pPr>
        <w:widowControl/>
        <w:tabs>
          <w:tab w:val="left" w:pos="630"/>
        </w:tabs>
        <w:spacing w:after="240" w:line="340" w:lineRule="exact"/>
        <w:ind w:leftChars="300" w:left="31680" w:firstLineChars="200" w:firstLine="31680"/>
        <w:rPr>
          <w:rFonts w:hint="eastAsia"/>
        </w:rPr>
      </w:pPr>
      <w:r>
        <w:rPr>
          <w:rFonts w:hint="eastAsia"/>
        </w:rPr>
        <w:t>“除了上述条款所列之原因外，不得宣布罢工不存在。”</w:t>
      </w:r>
    </w:p>
    <w:p w:rsidR="00000000" w:rsidRDefault="00457650">
      <w:pPr>
        <w:widowControl/>
        <w:tabs>
          <w:tab w:val="left" w:pos="630"/>
        </w:tabs>
        <w:spacing w:after="240" w:line="340" w:lineRule="exact"/>
        <w:rPr>
          <w:rFonts w:hint="eastAsia"/>
        </w:rPr>
      </w:pPr>
      <w:r>
        <w:rPr>
          <w:rFonts w:hint="eastAsia"/>
        </w:rPr>
        <w:t>310.</w:t>
      </w:r>
      <w:r>
        <w:rPr>
          <w:rFonts w:hint="eastAsia"/>
        </w:rPr>
        <w:tab/>
      </w:r>
      <w:r>
        <w:rPr>
          <w:rFonts w:hint="eastAsia"/>
        </w:rPr>
        <w:t>关于罢工发生后复工的问题，《联邦劳动法》做了以下规定：</w:t>
      </w:r>
    </w:p>
    <w:p w:rsidR="00000000" w:rsidRDefault="00457650" w:rsidP="00457650">
      <w:pPr>
        <w:widowControl/>
        <w:tabs>
          <w:tab w:val="left" w:pos="630"/>
        </w:tabs>
        <w:spacing w:after="240" w:line="340" w:lineRule="exact"/>
        <w:ind w:leftChars="300" w:left="31680" w:firstLineChars="200" w:firstLine="31680"/>
        <w:rPr>
          <w:rFonts w:hint="eastAsia"/>
        </w:rPr>
      </w:pPr>
      <w:r>
        <w:rPr>
          <w:rFonts w:hint="eastAsia"/>
        </w:rPr>
        <w:t>“第</w:t>
      </w:r>
      <w:r>
        <w:rPr>
          <w:rFonts w:hint="eastAsia"/>
        </w:rPr>
        <w:t>466</w:t>
      </w:r>
      <w:r>
        <w:rPr>
          <w:rFonts w:hint="eastAsia"/>
        </w:rPr>
        <w:t>条。以下情况罢工工人必须继续工作：</w:t>
      </w:r>
    </w:p>
    <w:p w:rsidR="00000000" w:rsidRDefault="00457650" w:rsidP="00457650">
      <w:pPr>
        <w:widowControl/>
        <w:tabs>
          <w:tab w:val="left" w:pos="630"/>
        </w:tabs>
        <w:spacing w:after="240" w:line="340" w:lineRule="exact"/>
        <w:ind w:leftChars="500" w:left="31680" w:hangingChars="300" w:firstLine="31680"/>
        <w:rPr>
          <w:rFonts w:hint="eastAsia"/>
        </w:rPr>
      </w:pPr>
      <w:r>
        <w:rPr>
          <w:rFonts w:hint="eastAsia"/>
        </w:rPr>
        <w:t>“一、正在途中的船舶、飞机、火车、公共汽车和其他交通工具必须继续</w:t>
      </w:r>
      <w:r>
        <w:rPr>
          <w:rFonts w:hint="eastAsia"/>
        </w:rPr>
        <w:t>行进到达其终点。</w:t>
      </w:r>
    </w:p>
    <w:p w:rsidR="00000000" w:rsidRDefault="00457650" w:rsidP="00457650">
      <w:pPr>
        <w:widowControl/>
        <w:tabs>
          <w:tab w:val="left" w:pos="630"/>
        </w:tabs>
        <w:spacing w:after="240" w:line="340" w:lineRule="exact"/>
        <w:ind w:leftChars="500" w:left="31680" w:hangingChars="300" w:firstLine="31680"/>
        <w:rPr>
          <w:rFonts w:hint="eastAsia"/>
        </w:rPr>
      </w:pPr>
      <w:r>
        <w:rPr>
          <w:rFonts w:hint="eastAsia"/>
        </w:rPr>
        <w:t>“二、医院、休养地、诊所和类似机构中，对发生罢工时的住院病人应该继续治疗，直到他们可以被转送到其他机构。”</w:t>
      </w:r>
    </w:p>
    <w:p w:rsidR="00000000" w:rsidRDefault="00457650">
      <w:pPr>
        <w:widowControl/>
        <w:tabs>
          <w:tab w:val="left" w:pos="630"/>
        </w:tabs>
        <w:spacing w:after="240" w:line="340" w:lineRule="exact"/>
        <w:rPr>
          <w:rFonts w:ascii="SimHei" w:eastAsia="SimHei" w:hint="eastAsia"/>
        </w:rPr>
      </w:pPr>
      <w:r>
        <w:rPr>
          <w:rFonts w:ascii="SimHei" w:eastAsia="SimHei" w:hint="eastAsia"/>
        </w:rPr>
        <w:t>第</w:t>
      </w:r>
      <w:r>
        <w:rPr>
          <w:rFonts w:ascii="SimHei" w:eastAsia="SimHei" w:hint="eastAsia"/>
        </w:rPr>
        <w:t>23</w:t>
      </w:r>
      <w:r>
        <w:rPr>
          <w:rFonts w:ascii="SimHei" w:eastAsia="SimHei" w:hint="eastAsia"/>
        </w:rPr>
        <w:t>条（</w:t>
      </w:r>
      <w:r>
        <w:rPr>
          <w:rFonts w:ascii="SimHei" w:eastAsia="SimHei" w:hint="eastAsia"/>
        </w:rPr>
        <w:t>b</w:t>
      </w:r>
      <w:r>
        <w:rPr>
          <w:rFonts w:ascii="SimHei" w:eastAsia="SimHei" w:hint="eastAsia"/>
        </w:rPr>
        <w:t>）</w:t>
      </w:r>
    </w:p>
    <w:p w:rsidR="00000000" w:rsidRDefault="00457650">
      <w:pPr>
        <w:widowControl/>
        <w:tabs>
          <w:tab w:val="left" w:pos="630"/>
        </w:tabs>
        <w:spacing w:after="240" w:line="340" w:lineRule="exact"/>
      </w:pPr>
      <w:r>
        <w:rPr>
          <w:rFonts w:hint="eastAsia"/>
        </w:rPr>
        <w:t>311.</w:t>
      </w:r>
      <w:r>
        <w:rPr>
          <w:rFonts w:hint="eastAsia"/>
        </w:rPr>
        <w:tab/>
      </w:r>
      <w:r>
        <w:rPr>
          <w:rFonts w:hint="eastAsia"/>
        </w:rPr>
        <w:t>《联邦劳动法》的规定适用于所有工作中心；因此它们是普遍适用的规定。尽管如此，它仍然规定在某些情况下，一些罢工工人必须继续工作。</w:t>
      </w:r>
    </w:p>
    <w:p w:rsidR="00000000" w:rsidRDefault="00457650">
      <w:pPr>
        <w:pStyle w:val="Date"/>
        <w:widowControl/>
        <w:tabs>
          <w:tab w:val="left" w:pos="630"/>
        </w:tabs>
        <w:spacing w:after="240" w:line="340" w:lineRule="exact"/>
        <w:rPr>
          <w:rFonts w:hint="eastAsia"/>
        </w:rPr>
      </w:pPr>
      <w:r>
        <w:br w:type="page"/>
      </w:r>
    </w:p>
    <w:p w:rsidR="00000000" w:rsidRDefault="00457650" w:rsidP="00457650">
      <w:pPr>
        <w:widowControl/>
        <w:tabs>
          <w:tab w:val="left" w:pos="630"/>
        </w:tabs>
        <w:spacing w:after="240" w:line="340" w:lineRule="exact"/>
        <w:ind w:leftChars="300" w:left="31680" w:firstLineChars="200" w:firstLine="31680"/>
        <w:rPr>
          <w:rFonts w:hint="eastAsia"/>
        </w:rPr>
      </w:pPr>
      <w:r>
        <w:rPr>
          <w:rFonts w:hint="eastAsia"/>
        </w:rPr>
        <w:t>“第</w:t>
      </w:r>
      <w:r>
        <w:rPr>
          <w:rFonts w:hint="eastAsia"/>
        </w:rPr>
        <w:t>466</w:t>
      </w:r>
      <w:r>
        <w:rPr>
          <w:rFonts w:hint="eastAsia"/>
        </w:rPr>
        <w:t>条。以下情况罢工工人必须继续工作：</w:t>
      </w:r>
    </w:p>
    <w:p w:rsidR="00000000" w:rsidRDefault="00457650" w:rsidP="00457650">
      <w:pPr>
        <w:widowControl/>
        <w:tabs>
          <w:tab w:val="left" w:pos="630"/>
        </w:tabs>
        <w:spacing w:after="240" w:line="340" w:lineRule="exact"/>
        <w:ind w:leftChars="500" w:left="31680" w:hangingChars="300" w:firstLine="31680"/>
        <w:rPr>
          <w:rFonts w:hint="eastAsia"/>
        </w:rPr>
      </w:pPr>
      <w:r>
        <w:rPr>
          <w:rFonts w:hint="eastAsia"/>
        </w:rPr>
        <w:t>“一、正在途中的船舶、飞机、火车、公共汽车和其他交通工具必须继续行进到达其终点。</w:t>
      </w:r>
    </w:p>
    <w:p w:rsidR="00000000" w:rsidRDefault="00457650" w:rsidP="00457650">
      <w:pPr>
        <w:widowControl/>
        <w:tabs>
          <w:tab w:val="left" w:pos="630"/>
        </w:tabs>
        <w:spacing w:after="240" w:line="340" w:lineRule="exact"/>
        <w:ind w:leftChars="500" w:left="31680" w:hangingChars="300" w:firstLine="31680"/>
        <w:rPr>
          <w:rFonts w:hint="eastAsia"/>
        </w:rPr>
      </w:pPr>
      <w:r>
        <w:rPr>
          <w:rFonts w:hint="eastAsia"/>
        </w:rPr>
        <w:t>“二、医院、休养地、诊所和类似机构中，对发生罢工时的住院病人应该继续治疗，直到他们可以被转送到其他机</w:t>
      </w:r>
      <w:r>
        <w:rPr>
          <w:rFonts w:hint="eastAsia"/>
        </w:rPr>
        <w:t>构。”</w:t>
      </w:r>
    </w:p>
    <w:p w:rsidR="00000000" w:rsidRDefault="00457650">
      <w:pPr>
        <w:widowControl/>
        <w:tabs>
          <w:tab w:val="left" w:pos="630"/>
        </w:tabs>
        <w:spacing w:after="240" w:line="340" w:lineRule="exact"/>
        <w:rPr>
          <w:rFonts w:hint="eastAsia"/>
        </w:rPr>
      </w:pPr>
      <w:r>
        <w:rPr>
          <w:rFonts w:hint="eastAsia"/>
        </w:rPr>
        <w:t>312.</w:t>
      </w:r>
      <w:r>
        <w:rPr>
          <w:rFonts w:hint="eastAsia"/>
        </w:rPr>
        <w:tab/>
      </w:r>
      <w:r>
        <w:rPr>
          <w:rFonts w:hint="eastAsia"/>
        </w:rPr>
        <w:t>此外，第</w:t>
      </w:r>
      <w:r>
        <w:rPr>
          <w:rFonts w:hint="eastAsia"/>
        </w:rPr>
        <w:t>925</w:t>
      </w:r>
      <w:r>
        <w:rPr>
          <w:rFonts w:hint="eastAsia"/>
        </w:rPr>
        <w:t>条针对交通和运输、照明和电力、清洁、用水供应和输送、燃气、卫生、医院、墓地和粮食供应等部门的企业制定了特殊条款，规定如果以上所提及的情况中，一个部门的整个分支完全受到影响，政府将进行干预以确保相关服务得以继续。</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24</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313.</w:t>
      </w:r>
      <w:r>
        <w:rPr>
          <w:rFonts w:hint="eastAsia"/>
        </w:rPr>
        <w:tab/>
      </w:r>
      <w:r>
        <w:rPr>
          <w:rFonts w:hint="eastAsia"/>
        </w:rPr>
        <w:t>关于国家机关的工作人员，《墨西哥合众国宪法》第</w:t>
      </w:r>
      <w:r>
        <w:rPr>
          <w:rFonts w:hint="eastAsia"/>
        </w:rPr>
        <w:t>123</w:t>
      </w:r>
      <w:r>
        <w:rPr>
          <w:rFonts w:hint="eastAsia"/>
        </w:rPr>
        <w:t>条</w:t>
      </w:r>
      <w:r>
        <w:rPr>
          <w:rFonts w:hint="eastAsia"/>
        </w:rPr>
        <w:t>B</w:t>
      </w:r>
      <w:r>
        <w:rPr>
          <w:rFonts w:hint="eastAsia"/>
        </w:rPr>
        <w:t>部分做出如下规定。</w:t>
      </w:r>
    </w:p>
    <w:p w:rsidR="00000000" w:rsidRDefault="00457650" w:rsidP="00457650">
      <w:pPr>
        <w:widowControl/>
        <w:tabs>
          <w:tab w:val="left" w:pos="630"/>
        </w:tabs>
        <w:spacing w:after="240" w:line="360" w:lineRule="exact"/>
        <w:ind w:leftChars="300" w:left="31680" w:firstLineChars="200" w:firstLine="31680"/>
        <w:rPr>
          <w:rFonts w:hint="eastAsia"/>
        </w:rPr>
      </w:pPr>
      <w:r>
        <w:rPr>
          <w:rFonts w:hint="eastAsia"/>
        </w:rPr>
        <w:t>“第二部分。</w:t>
      </w:r>
      <w:r>
        <w:rPr>
          <w:rFonts w:hint="eastAsia"/>
        </w:rPr>
        <w:t xml:space="preserve"> </w:t>
      </w:r>
      <w:r>
        <w:rPr>
          <w:rFonts w:hint="eastAsia"/>
        </w:rPr>
        <w:t>联邦、联邦区和联邦境内各政府分支机构及其工作人员：</w:t>
      </w:r>
    </w:p>
    <w:p w:rsidR="00000000" w:rsidRDefault="00457650" w:rsidP="00457650">
      <w:pPr>
        <w:widowControl/>
        <w:tabs>
          <w:tab w:val="left" w:pos="630"/>
        </w:tabs>
        <w:spacing w:after="240" w:line="360" w:lineRule="exact"/>
        <w:ind w:leftChars="500" w:left="31680" w:hangingChars="200" w:firstLine="31680"/>
        <w:rPr>
          <w:rFonts w:hint="eastAsia"/>
        </w:rPr>
      </w:pPr>
      <w:r>
        <w:rPr>
          <w:rFonts w:hint="eastAsia"/>
        </w:rPr>
        <w:t>十、工作人员有权利为了保护他们的共同利益联合起来。只要本条所确认的权利受到广泛且系统的侵犯，他们就可以行使</w:t>
      </w:r>
      <w:r>
        <w:rPr>
          <w:rFonts w:hint="eastAsia"/>
        </w:rPr>
        <w:t>罢工权利，但首先要遵守法律要求，还要在一个或多个政府管理机构的指导下进行。</w:t>
      </w:r>
    </w:p>
    <w:p w:rsidR="00000000" w:rsidRDefault="00457650" w:rsidP="00457650">
      <w:pPr>
        <w:widowControl/>
        <w:tabs>
          <w:tab w:val="left" w:pos="630"/>
        </w:tabs>
        <w:spacing w:after="240" w:line="360" w:lineRule="exact"/>
        <w:ind w:leftChars="500" w:left="31680" w:hangingChars="200" w:firstLine="31680"/>
        <w:rPr>
          <w:rFonts w:hint="eastAsia"/>
        </w:rPr>
      </w:pPr>
      <w:r>
        <w:rPr>
          <w:rFonts w:hint="eastAsia"/>
        </w:rPr>
        <w:t>十三、陆军和海军人员，公共安全部队人员，以及驻外机构的人员应该遵守他们自己的法律。”</w:t>
      </w:r>
    </w:p>
    <w:p w:rsidR="00000000" w:rsidRDefault="00457650">
      <w:pPr>
        <w:widowControl/>
        <w:tabs>
          <w:tab w:val="left" w:pos="630"/>
        </w:tabs>
        <w:spacing w:after="240" w:line="360" w:lineRule="exact"/>
        <w:rPr>
          <w:rFonts w:hint="eastAsia"/>
        </w:rPr>
      </w:pPr>
      <w:r>
        <w:rPr>
          <w:rFonts w:hint="eastAsia"/>
        </w:rPr>
        <w:t>314.</w:t>
      </w:r>
      <w:r>
        <w:rPr>
          <w:rFonts w:hint="eastAsia"/>
        </w:rPr>
        <w:tab/>
      </w:r>
      <w:r>
        <w:rPr>
          <w:rFonts w:hint="eastAsia"/>
        </w:rPr>
        <w:t>与上述相一致，落实《宪法》第</w:t>
      </w:r>
      <w:r>
        <w:rPr>
          <w:rFonts w:hint="eastAsia"/>
        </w:rPr>
        <w:t>123</w:t>
      </w:r>
      <w:r>
        <w:rPr>
          <w:rFonts w:hint="eastAsia"/>
        </w:rPr>
        <w:t>条</w:t>
      </w:r>
      <w:r>
        <w:rPr>
          <w:rFonts w:hint="eastAsia"/>
        </w:rPr>
        <w:t>B</w:t>
      </w:r>
      <w:r>
        <w:rPr>
          <w:rFonts w:hint="eastAsia"/>
        </w:rPr>
        <w:t>部分的《联邦国家工作人员法》规定如下：</w:t>
      </w:r>
    </w:p>
    <w:p w:rsidR="00000000" w:rsidRDefault="00457650" w:rsidP="00457650">
      <w:pPr>
        <w:widowControl/>
        <w:tabs>
          <w:tab w:val="left" w:pos="630"/>
        </w:tabs>
        <w:spacing w:after="240" w:line="360" w:lineRule="exact"/>
        <w:ind w:leftChars="300" w:left="31680" w:firstLineChars="200" w:firstLine="31680"/>
        <w:rPr>
          <w:rFonts w:hint="eastAsia"/>
        </w:rPr>
      </w:pPr>
      <w:r>
        <w:t>“</w:t>
      </w:r>
      <w:r>
        <w:rPr>
          <w:rFonts w:hint="eastAsia"/>
        </w:rPr>
        <w:t>第</w:t>
      </w:r>
      <w:r>
        <w:rPr>
          <w:rFonts w:hint="eastAsia"/>
        </w:rPr>
        <w:t>8</w:t>
      </w:r>
      <w:r>
        <w:rPr>
          <w:rFonts w:hint="eastAsia"/>
        </w:rPr>
        <w:t>条。以下人员不受本法案约束：第</w:t>
      </w:r>
      <w:r>
        <w:rPr>
          <w:rFonts w:hint="eastAsia"/>
        </w:rPr>
        <w:t>5</w:t>
      </w:r>
      <w:r>
        <w:rPr>
          <w:rFonts w:hint="eastAsia"/>
        </w:rPr>
        <w:t>条中涉及的负责人；国家陆军和海军人员（不包括国防部和海军部的非军事人员）；民兵以及在法律上属于民兵组织的人员；墨西哥驻外机构人员；看管机构，监狱或者战舰中的看管人员；以及根据民事合同或者为了报酬而提供服务的人员。</w:t>
      </w:r>
      <w:r>
        <w:t>”</w:t>
      </w:r>
    </w:p>
    <w:p w:rsidR="00000000" w:rsidRDefault="00457650">
      <w:pPr>
        <w:widowControl/>
        <w:tabs>
          <w:tab w:val="left" w:pos="630"/>
        </w:tabs>
        <w:spacing w:after="240" w:line="360" w:lineRule="exact"/>
        <w:rPr>
          <w:rFonts w:hint="eastAsia"/>
        </w:rPr>
      </w:pPr>
      <w:r>
        <w:rPr>
          <w:rFonts w:hint="eastAsia"/>
        </w:rPr>
        <w:t>315.</w:t>
      </w:r>
      <w:r>
        <w:rPr>
          <w:rFonts w:hint="eastAsia"/>
        </w:rPr>
        <w:tab/>
      </w:r>
      <w:r>
        <w:rPr>
          <w:rFonts w:hint="eastAsia"/>
        </w:rPr>
        <w:t>从以上规定可以很清楚地看出，国家陆军和海军的积极分子，民兵以及在法律上属于民兵组织的人员，看管机构，监狱或者战舰中的看管人员，检察官办公室工作人员以及警察，不能为了保护他们的利益组成协会。但是，有关各类工作人员的情况都有特殊的法律规定。</w:t>
      </w:r>
    </w:p>
    <w:p w:rsidR="00000000" w:rsidRDefault="00457650">
      <w:pPr>
        <w:widowControl/>
        <w:tabs>
          <w:tab w:val="left" w:pos="630"/>
        </w:tabs>
        <w:spacing w:after="240" w:line="360" w:lineRule="exact"/>
        <w:rPr>
          <w:rFonts w:hint="eastAsia"/>
        </w:rPr>
      </w:pPr>
      <w:r>
        <w:rPr>
          <w:rFonts w:hint="eastAsia"/>
        </w:rPr>
        <w:t>316.</w:t>
      </w:r>
      <w:r>
        <w:rPr>
          <w:rFonts w:hint="eastAsia"/>
        </w:rPr>
        <w:tab/>
      </w:r>
      <w:r>
        <w:rPr>
          <w:rFonts w:hint="eastAsia"/>
        </w:rPr>
        <w:t>值得注意的是，最高法院就武装部队和警察与政府之间的关系做了若干裁定，确认这种关系不是劳资关系，而是行政关系，从而说明了为什么他们不得行使罢工权利。</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25</w:t>
      </w:r>
      <w:r>
        <w:rPr>
          <w:rFonts w:ascii="SimHei" w:eastAsia="SimHei" w:hint="eastAsia"/>
        </w:rPr>
        <w:t>段</w:t>
      </w:r>
    </w:p>
    <w:p w:rsidR="00000000" w:rsidRDefault="00457650">
      <w:pPr>
        <w:keepNext/>
        <w:widowControl/>
        <w:tabs>
          <w:tab w:val="left" w:pos="630"/>
        </w:tabs>
        <w:spacing w:after="240" w:line="360" w:lineRule="exact"/>
        <w:rPr>
          <w:rFonts w:hint="eastAsia"/>
        </w:rPr>
      </w:pPr>
      <w:r>
        <w:rPr>
          <w:rFonts w:hint="eastAsia"/>
        </w:rPr>
        <w:t>317.</w:t>
      </w:r>
      <w:r>
        <w:rPr>
          <w:rFonts w:hint="eastAsia"/>
        </w:rPr>
        <w:tab/>
      </w:r>
      <w:r>
        <w:rPr>
          <w:rFonts w:hint="eastAsia"/>
        </w:rPr>
        <w:t>没有适用的情况。有关上述指南的信息与上一份报告中的信息相同，因为立法并没有改动。</w:t>
      </w:r>
    </w:p>
    <w:p w:rsidR="00000000" w:rsidRDefault="00457650">
      <w:pPr>
        <w:keepNext/>
        <w:widowControl/>
        <w:tabs>
          <w:tab w:val="left" w:pos="630"/>
        </w:tabs>
        <w:spacing w:after="240" w:line="360" w:lineRule="exact"/>
        <w:jc w:val="center"/>
        <w:rPr>
          <w:rFonts w:ascii="SimHei" w:eastAsia="SimHei" w:hint="eastAsia"/>
          <w:sz w:val="24"/>
        </w:rPr>
      </w:pPr>
      <w:r>
        <w:rPr>
          <w:rFonts w:ascii="SimHei" w:eastAsia="SimHei" w:hint="eastAsia"/>
          <w:sz w:val="24"/>
        </w:rPr>
        <w:t xml:space="preserve">D. </w:t>
      </w:r>
      <w:r>
        <w:rPr>
          <w:rFonts w:ascii="SimHei" w:eastAsia="SimHei" w:hint="eastAsia"/>
          <w:sz w:val="24"/>
        </w:rPr>
        <w:t>第</w:t>
      </w:r>
      <w:r>
        <w:rPr>
          <w:rFonts w:ascii="SimHei" w:eastAsia="SimHei" w:hint="eastAsia"/>
          <w:sz w:val="24"/>
        </w:rPr>
        <w:t>9</w:t>
      </w:r>
      <w:r>
        <w:rPr>
          <w:rFonts w:ascii="SimHei" w:eastAsia="SimHei" w:hint="eastAsia"/>
          <w:sz w:val="24"/>
        </w:rPr>
        <w:t>条</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指南第</w:t>
      </w:r>
      <w:r>
        <w:rPr>
          <w:rFonts w:ascii="SimHei" w:eastAsia="SimHei" w:hint="eastAsia"/>
        </w:rPr>
        <w:t>27</w:t>
      </w:r>
      <w:r>
        <w:rPr>
          <w:rFonts w:ascii="SimHei" w:eastAsia="SimHei" w:hint="eastAsia"/>
        </w:rPr>
        <w:t>段</w:t>
      </w:r>
    </w:p>
    <w:p w:rsidR="00000000" w:rsidRDefault="00457650">
      <w:pPr>
        <w:keepNext/>
        <w:widowControl/>
        <w:tabs>
          <w:tab w:val="left" w:pos="630"/>
        </w:tabs>
        <w:spacing w:after="240" w:line="360" w:lineRule="exact"/>
        <w:rPr>
          <w:rFonts w:hint="eastAsia"/>
        </w:rPr>
      </w:pPr>
      <w:r>
        <w:rPr>
          <w:rFonts w:hint="eastAsia"/>
        </w:rPr>
        <w:t>318.</w:t>
      </w:r>
      <w:r>
        <w:rPr>
          <w:rFonts w:hint="eastAsia"/>
        </w:rPr>
        <w:tab/>
      </w:r>
      <w:r>
        <w:rPr>
          <w:rFonts w:hint="eastAsia"/>
        </w:rPr>
        <w:t>墨西哥社会保障局包括五个保险分支部门：</w:t>
      </w:r>
    </w:p>
    <w:p w:rsidR="00000000" w:rsidRDefault="00457650" w:rsidP="00457650">
      <w:pPr>
        <w:widowControl/>
        <w:tabs>
          <w:tab w:val="left" w:pos="630"/>
        </w:tabs>
        <w:spacing w:after="240" w:line="360" w:lineRule="exact"/>
        <w:ind w:leftChars="300" w:left="31680" w:firstLineChars="200" w:firstLine="31680"/>
        <w:rPr>
          <w:rFonts w:hint="eastAsia"/>
        </w:rPr>
      </w:pPr>
      <w:r>
        <w:rPr>
          <w:rFonts w:hint="eastAsia"/>
        </w:rPr>
        <w:t>疾病和生育保险；职业危险保险；伤残和人寿保险；退休、高龄中断就业和养老保险；日托和社会福利保险。</w:t>
      </w:r>
    </w:p>
    <w:p w:rsidR="00000000" w:rsidRDefault="00457650">
      <w:pPr>
        <w:widowControl/>
        <w:tabs>
          <w:tab w:val="left" w:pos="630"/>
        </w:tabs>
        <w:spacing w:after="240" w:line="360" w:lineRule="exact"/>
        <w:rPr>
          <w:rFonts w:hint="eastAsia"/>
        </w:rPr>
      </w:pPr>
      <w:r>
        <w:rPr>
          <w:rFonts w:hint="eastAsia"/>
        </w:rPr>
        <w:t>319.</w:t>
      </w:r>
      <w:r>
        <w:rPr>
          <w:rFonts w:hint="eastAsia"/>
        </w:rPr>
        <w:tab/>
      </w:r>
      <w:r>
        <w:rPr>
          <w:rFonts w:hint="eastAsia"/>
        </w:rPr>
        <w:t>国家工人社会保障和服务协会提供以下福利：医疗保险；疾病、生育和养老保险；伤残保险；遗属保险；劳动事故保险和家庭津贴。</w:t>
      </w:r>
    </w:p>
    <w:p w:rsidR="00000000" w:rsidRDefault="00457650">
      <w:pPr>
        <w:widowControl/>
        <w:tabs>
          <w:tab w:val="left" w:pos="630"/>
        </w:tabs>
        <w:spacing w:after="240" w:line="360" w:lineRule="exact"/>
        <w:rPr>
          <w:rFonts w:hint="eastAsia"/>
        </w:rPr>
      </w:pPr>
      <w:r>
        <w:rPr>
          <w:rFonts w:hint="eastAsia"/>
        </w:rPr>
        <w:t>320.</w:t>
      </w:r>
      <w:r>
        <w:rPr>
          <w:rFonts w:hint="eastAsia"/>
        </w:rPr>
        <w:tab/>
      </w:r>
      <w:r>
        <w:rPr>
          <w:rFonts w:hint="eastAsia"/>
        </w:rPr>
        <w:t>国家工人社会保障和服务协会通过以下保险计划、福利和服务开展活动：预防性医疗；疾病和生育保险；身体和精神康复服务；职业危险保险；退休保险；退休和服务年限保险；伤残保险；遗属保险；高龄失业保险；一次性补偿；儿童福利</w:t>
      </w:r>
      <w:r>
        <w:rPr>
          <w:rFonts w:hint="eastAsia"/>
        </w:rPr>
        <w:t>和成长服务；退休人员和领取养老金人员综合服务；出租和出售属于该机构的廉价住宅，抵押借款和住宅信贷，一般这涉及到购置土地和</w:t>
      </w:r>
      <w:r>
        <w:rPr>
          <w:rFonts w:hint="eastAsia"/>
        </w:rPr>
        <w:t>/</w:t>
      </w:r>
      <w:r>
        <w:rPr>
          <w:rFonts w:hint="eastAsia"/>
        </w:rPr>
        <w:t>或住宅的手续以及其后的建设、修理、扩大和改造；清偿由此产生的债务；中短期贷款；提高公务员家庭成员生活质量的服务；旅游服务；推崇文化风尚，技术准备；大力开展体育和娱乐活动；殡葬服务和退休储蓄计划（《国家工人社会保障和服务协会法》，第</w:t>
      </w:r>
      <w:r>
        <w:rPr>
          <w:rFonts w:hint="eastAsia"/>
        </w:rPr>
        <w:t>3</w:t>
      </w:r>
      <w:r>
        <w:rPr>
          <w:rFonts w:hint="eastAsia"/>
        </w:rPr>
        <w:t>条）。</w:t>
      </w:r>
    </w:p>
    <w:p w:rsidR="00000000" w:rsidRDefault="00457650">
      <w:pPr>
        <w:widowControl/>
        <w:tabs>
          <w:tab w:val="left" w:pos="630"/>
        </w:tabs>
        <w:spacing w:after="240" w:line="340" w:lineRule="exact"/>
        <w:rPr>
          <w:rFonts w:ascii="SimHei" w:eastAsia="SimHei" w:hint="eastAsia"/>
        </w:rPr>
      </w:pPr>
      <w:r>
        <w:rPr>
          <w:rFonts w:ascii="SimHei" w:eastAsia="SimHei" w:hint="eastAsia"/>
        </w:rPr>
        <w:t>第</w:t>
      </w:r>
      <w:r>
        <w:rPr>
          <w:rFonts w:ascii="SimHei" w:eastAsia="SimHei" w:hint="eastAsia"/>
        </w:rPr>
        <w:t>28</w:t>
      </w:r>
      <w:r>
        <w:rPr>
          <w:rFonts w:ascii="SimHei" w:eastAsia="SimHei" w:hint="eastAsia"/>
        </w:rPr>
        <w:t>段</w:t>
      </w:r>
    </w:p>
    <w:p w:rsidR="00000000" w:rsidRDefault="00457650">
      <w:pPr>
        <w:widowControl/>
        <w:tabs>
          <w:tab w:val="left" w:pos="630"/>
        </w:tabs>
        <w:spacing w:after="240" w:line="340" w:lineRule="exact"/>
        <w:rPr>
          <w:rFonts w:hint="eastAsia"/>
        </w:rPr>
      </w:pPr>
      <w:r>
        <w:rPr>
          <w:rFonts w:hint="eastAsia"/>
        </w:rPr>
        <w:t>321.</w:t>
      </w:r>
      <w:r>
        <w:rPr>
          <w:rFonts w:hint="eastAsia"/>
        </w:rPr>
        <w:tab/>
      </w:r>
      <w:r>
        <w:rPr>
          <w:rFonts w:hint="eastAsia"/>
        </w:rPr>
        <w:t>墨西哥主要社会保险机构针对各种不同社会保险分支部门制定的计划提供了以下形式的保险和福利：</w:t>
      </w:r>
    </w:p>
    <w:p w:rsidR="00000000" w:rsidRDefault="00457650">
      <w:pPr>
        <w:pStyle w:val="Date"/>
        <w:widowControl/>
        <w:tabs>
          <w:tab w:val="left" w:pos="630"/>
        </w:tabs>
        <w:spacing w:after="240" w:line="340" w:lineRule="exact"/>
        <w:rPr>
          <w:rFonts w:eastAsia="SimHei" w:hint="eastAsia"/>
        </w:rPr>
      </w:pPr>
      <w:r>
        <w:rPr>
          <w:rFonts w:eastAsia="SimHei" w:hint="eastAsia"/>
        </w:rPr>
        <w:t>墨西哥社会保障局</w:t>
      </w:r>
    </w:p>
    <w:p w:rsidR="00000000" w:rsidRDefault="00457650" w:rsidP="00457650">
      <w:pPr>
        <w:widowControl/>
        <w:numPr>
          <w:ilvl w:val="0"/>
          <w:numId w:val="1898"/>
        </w:numPr>
        <w:tabs>
          <w:tab w:val="clear" w:pos="900"/>
          <w:tab w:val="left" w:pos="1050"/>
        </w:tabs>
        <w:spacing w:after="240" w:line="340" w:lineRule="exact"/>
        <w:ind w:leftChars="300" w:left="31680"/>
        <w:rPr>
          <w:rFonts w:hint="eastAsia"/>
        </w:rPr>
      </w:pPr>
      <w:r>
        <w:rPr>
          <w:rFonts w:eastAsia="SimHei" w:hint="eastAsia"/>
        </w:rPr>
        <w:t>疾病和生育保险</w:t>
      </w:r>
      <w:r>
        <w:rPr>
          <w:rFonts w:hint="eastAsia"/>
        </w:rPr>
        <w:t>。通过改</w:t>
      </w:r>
      <w:r>
        <w:rPr>
          <w:rFonts w:hint="eastAsia"/>
        </w:rPr>
        <w:t>善和保护被保险人健康的计划提供这种保险。为疑难病症提供必须的内科、外科、药物和住院治疗，并酌情为一般疾病支付医保费。在生育的情况下，在一定期限内向母亲提供产科帮助及现金和实物形式的生育补助。</w:t>
      </w:r>
    </w:p>
    <w:p w:rsidR="00000000" w:rsidRDefault="00457650" w:rsidP="00457650">
      <w:pPr>
        <w:widowControl/>
        <w:tabs>
          <w:tab w:val="left" w:pos="630"/>
        </w:tabs>
        <w:spacing w:after="240" w:line="340" w:lineRule="exact"/>
        <w:ind w:leftChars="500" w:left="31680"/>
        <w:rPr>
          <w:rFonts w:hint="eastAsia"/>
        </w:rPr>
      </w:pPr>
      <w:r>
        <w:rPr>
          <w:rFonts w:hint="eastAsia"/>
        </w:rPr>
        <w:t>养恤金领取人有权按照“养恤金领取人医疗费用”项目从该计划中受益。</w:t>
      </w:r>
    </w:p>
    <w:p w:rsidR="00000000" w:rsidRDefault="00457650" w:rsidP="00457650">
      <w:pPr>
        <w:widowControl/>
        <w:numPr>
          <w:ilvl w:val="0"/>
          <w:numId w:val="1898"/>
        </w:numPr>
        <w:tabs>
          <w:tab w:val="clear" w:pos="900"/>
          <w:tab w:val="left" w:pos="1050"/>
        </w:tabs>
        <w:spacing w:after="240" w:line="340" w:lineRule="exact"/>
        <w:ind w:leftChars="300" w:left="31680"/>
        <w:rPr>
          <w:rFonts w:hint="eastAsia"/>
        </w:rPr>
      </w:pPr>
      <w:r>
        <w:rPr>
          <w:rFonts w:eastAsia="SimHei" w:hint="eastAsia"/>
        </w:rPr>
        <w:t>职业危险保险</w:t>
      </w:r>
      <w:r>
        <w:rPr>
          <w:rFonts w:hint="eastAsia"/>
        </w:rPr>
        <w:t>。该计划向在工作过程中或由于工作而暴露在危险中的工人提供事故和疾病医疗保健和现金补助。此外为了保护工人，该计划还向有关的雇主提供保险，因为工人因职业风险而受伤时，雇主要承担责任。</w:t>
      </w:r>
    </w:p>
    <w:p w:rsidR="00000000" w:rsidRDefault="00457650" w:rsidP="00457650">
      <w:pPr>
        <w:widowControl/>
        <w:numPr>
          <w:ilvl w:val="0"/>
          <w:numId w:val="1898"/>
        </w:numPr>
        <w:tabs>
          <w:tab w:val="clear" w:pos="900"/>
          <w:tab w:val="left" w:pos="1050"/>
        </w:tabs>
        <w:spacing w:after="240" w:line="340" w:lineRule="exact"/>
        <w:ind w:leftChars="300" w:left="31680"/>
        <w:rPr>
          <w:rFonts w:hint="eastAsia"/>
        </w:rPr>
      </w:pPr>
      <w:r>
        <w:rPr>
          <w:rFonts w:eastAsia="SimHei" w:hint="eastAsia"/>
        </w:rPr>
        <w:t>日托和社会福利计划</w:t>
      </w:r>
      <w:r>
        <w:rPr>
          <w:rFonts w:hint="eastAsia"/>
        </w:rPr>
        <w:t>。墨西哥社会保障局为抚养幼儿并需要工作的母亲</w:t>
      </w:r>
      <w:r>
        <w:rPr>
          <w:rFonts w:hint="eastAsia"/>
        </w:rPr>
        <w:t>以及获得儿童监护权的丧偶和离婚母亲开办了日托中心。该计划的覆盖范围可以延伸到经法院裁决享有养育权利或未成年人监护权的参保男性，只要他们有权向社会保障局提出申请且无法提供儿童所需要的照管。该项社会福利的目的是增进该群体的健康，防止疾病和事故，并帮助他们普遍提高生活水平。</w:t>
      </w:r>
    </w:p>
    <w:p w:rsidR="00000000" w:rsidRDefault="00457650" w:rsidP="00457650">
      <w:pPr>
        <w:widowControl/>
        <w:numPr>
          <w:ilvl w:val="0"/>
          <w:numId w:val="1898"/>
        </w:numPr>
        <w:tabs>
          <w:tab w:val="clear" w:pos="900"/>
          <w:tab w:val="left" w:pos="1050"/>
        </w:tabs>
        <w:spacing w:after="240" w:line="340" w:lineRule="exact"/>
        <w:ind w:leftChars="300" w:left="31680"/>
        <w:rPr>
          <w:rFonts w:hint="eastAsia"/>
        </w:rPr>
      </w:pPr>
      <w:r>
        <w:rPr>
          <w:rFonts w:eastAsia="SimHei" w:hint="eastAsia"/>
        </w:rPr>
        <w:t>伤残和人寿保险</w:t>
      </w:r>
      <w:r>
        <w:rPr>
          <w:rFonts w:hint="eastAsia"/>
        </w:rPr>
        <w:t>。该计划为投保人发生意外伤残或死亡提供保护，向相关人员提供暂时的或长期的养恤金，或在其死亡的情况下，向其家庭成员提供抚恤金。伤残和人寿保险覆盖两种意外情况：非职业性事故或疾病和投保人死亡后对其家人的保护。如果事故或疾病导致工人伤</w:t>
      </w:r>
      <w:r>
        <w:rPr>
          <w:rFonts w:hint="eastAsia"/>
        </w:rPr>
        <w:t>残，他有权获得终身年金。如果是死亡，受益人通过遗属保险单接受抚恤金。</w:t>
      </w:r>
    </w:p>
    <w:p w:rsidR="00000000" w:rsidRDefault="00457650" w:rsidP="00457650">
      <w:pPr>
        <w:widowControl/>
        <w:numPr>
          <w:ilvl w:val="0"/>
          <w:numId w:val="1898"/>
        </w:numPr>
        <w:tabs>
          <w:tab w:val="clear" w:pos="900"/>
          <w:tab w:val="left" w:pos="1050"/>
        </w:tabs>
        <w:spacing w:after="240" w:line="340" w:lineRule="exact"/>
        <w:ind w:leftChars="300" w:left="31680"/>
        <w:rPr>
          <w:rFonts w:hint="eastAsia"/>
        </w:rPr>
      </w:pPr>
      <w:r>
        <w:rPr>
          <w:rFonts w:eastAsia="SimHei" w:hint="eastAsia"/>
        </w:rPr>
        <w:t>高龄中断就业和养老保险</w:t>
      </w:r>
      <w:r>
        <w:rPr>
          <w:rFonts w:hint="eastAsia"/>
        </w:rPr>
        <w:t>。该计划覆盖的范围包括退休、高龄中断就业和年老，还包括计划中的养老金领取者死亡。社会保障局提供了多项福利，例如养老金、医疗保健、家庭福利和援助。“退休基金管理人”是社会保障局实施的社会保险计划的有机组成部分；他们的责任是管理工人个人账户，每个工人都拥有一个由金融机构管理的退休储蓄金。</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SimHei" w:hint="eastAsia"/>
        </w:rPr>
        <w:t>家庭健康保险</w:t>
      </w:r>
      <w:r>
        <w:rPr>
          <w:rFonts w:hint="eastAsia"/>
        </w:rPr>
        <w:t>。该计划提供疾病和生育计划中规定的实物福利。它向没有参加其他社会保险计划的户主及其抚养人开放。该计划为墨西哥家庭提供了良好</w:t>
      </w:r>
      <w:r>
        <w:rPr>
          <w:rFonts w:hint="eastAsia"/>
        </w:rPr>
        <w:t>的契机，让它们获得社会保障局提供的公共医疗卫生服务，不论其职业或所从事的生产活动。</w:t>
      </w:r>
    </w:p>
    <w:p w:rsidR="00000000" w:rsidRDefault="00457650">
      <w:pPr>
        <w:widowControl/>
        <w:tabs>
          <w:tab w:val="left" w:pos="630"/>
        </w:tabs>
        <w:spacing w:after="240" w:line="360" w:lineRule="exact"/>
        <w:rPr>
          <w:rFonts w:hint="eastAsia"/>
        </w:rPr>
      </w:pPr>
      <w:r>
        <w:rPr>
          <w:rFonts w:hint="eastAsia"/>
        </w:rPr>
        <w:t>322.</w:t>
      </w:r>
      <w:r>
        <w:rPr>
          <w:rFonts w:hint="eastAsia"/>
        </w:rPr>
        <w:tab/>
      </w:r>
      <w:r>
        <w:rPr>
          <w:rFonts w:hint="eastAsia"/>
        </w:rPr>
        <w:t>日托计划涵盖参加工作的母亲无法照顾子女的情况，包括丧偶或根据法院裁决负有监护责任，在工作时间照顾年幼子女的离婚工人。</w:t>
      </w:r>
    </w:p>
    <w:p w:rsidR="00000000" w:rsidRDefault="00457650">
      <w:pPr>
        <w:widowControl/>
        <w:tabs>
          <w:tab w:val="left" w:pos="630"/>
        </w:tabs>
        <w:spacing w:after="240" w:line="360" w:lineRule="exact"/>
        <w:rPr>
          <w:rFonts w:hint="eastAsia"/>
        </w:rPr>
      </w:pPr>
      <w:r>
        <w:rPr>
          <w:rFonts w:hint="eastAsia"/>
        </w:rPr>
        <w:t>323.</w:t>
      </w:r>
      <w:r>
        <w:rPr>
          <w:rFonts w:hint="eastAsia"/>
        </w:rPr>
        <w:tab/>
      </w:r>
      <w:r>
        <w:rPr>
          <w:rFonts w:hint="eastAsia"/>
        </w:rPr>
        <w:t>该计划的覆盖范围可以延伸到经法院裁决享有养育权或未成年人监护权的参保男性，只要他们有权向社会保障局提出申请且无法提供子女所需要的照管。</w:t>
      </w:r>
    </w:p>
    <w:p w:rsidR="00000000" w:rsidRDefault="00457650">
      <w:pPr>
        <w:widowControl/>
        <w:tabs>
          <w:tab w:val="left" w:pos="630"/>
        </w:tabs>
        <w:spacing w:after="240" w:line="360" w:lineRule="exact"/>
        <w:rPr>
          <w:rFonts w:hint="eastAsia"/>
        </w:rPr>
      </w:pPr>
      <w:r>
        <w:rPr>
          <w:rFonts w:hint="eastAsia"/>
        </w:rPr>
        <w:t>324.</w:t>
      </w:r>
      <w:r>
        <w:rPr>
          <w:rFonts w:hint="eastAsia"/>
        </w:rPr>
        <w:tab/>
      </w:r>
      <w:r>
        <w:rPr>
          <w:rFonts w:hint="eastAsia"/>
        </w:rPr>
        <w:t>日托中心的服务适用于出生</w:t>
      </w:r>
      <w:r>
        <w:rPr>
          <w:rFonts w:hint="eastAsia"/>
        </w:rPr>
        <w:t>43</w:t>
      </w:r>
      <w:r>
        <w:rPr>
          <w:rFonts w:hint="eastAsia"/>
        </w:rPr>
        <w:t>天至</w:t>
      </w:r>
      <w:r>
        <w:rPr>
          <w:rFonts w:hint="eastAsia"/>
        </w:rPr>
        <w:t>4</w:t>
      </w:r>
      <w:r>
        <w:rPr>
          <w:rFonts w:hint="eastAsia"/>
        </w:rPr>
        <w:t>周岁的儿童。</w:t>
      </w:r>
    </w:p>
    <w:p w:rsidR="00000000" w:rsidRDefault="00457650">
      <w:pPr>
        <w:widowControl/>
        <w:tabs>
          <w:tab w:val="left" w:pos="630"/>
        </w:tabs>
        <w:spacing w:after="240" w:line="360" w:lineRule="exact"/>
        <w:rPr>
          <w:rFonts w:hint="eastAsia"/>
        </w:rPr>
      </w:pPr>
      <w:r>
        <w:rPr>
          <w:rFonts w:hint="eastAsia"/>
        </w:rPr>
        <w:t>325.</w:t>
      </w:r>
      <w:r>
        <w:rPr>
          <w:rFonts w:hint="eastAsia"/>
        </w:rPr>
        <w:tab/>
      </w:r>
      <w:r>
        <w:rPr>
          <w:rFonts w:hint="eastAsia"/>
        </w:rPr>
        <w:t>社会保障局开展各种活动，增进人们的健康，防止疾病和事故，并提高人们的生活水平。这些活动</w:t>
      </w:r>
      <w:r>
        <w:rPr>
          <w:rFonts w:hint="eastAsia"/>
        </w:rPr>
        <w:t>集中于四项基本战略：</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增进健康；</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改善个人和家庭经济；</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为更美好的生活进行教育；</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进行环境教育。</w:t>
      </w:r>
    </w:p>
    <w:p w:rsidR="00000000" w:rsidRDefault="00457650">
      <w:pPr>
        <w:widowControl/>
        <w:tabs>
          <w:tab w:val="left" w:pos="630"/>
        </w:tabs>
        <w:spacing w:after="240" w:line="360" w:lineRule="exact"/>
        <w:rPr>
          <w:rFonts w:hint="eastAsia"/>
        </w:rPr>
      </w:pPr>
      <w:r>
        <w:rPr>
          <w:rFonts w:hint="eastAsia"/>
        </w:rPr>
        <w:t>326.</w:t>
      </w:r>
      <w:r>
        <w:rPr>
          <w:rFonts w:hint="eastAsia"/>
        </w:rPr>
        <w:tab/>
      </w:r>
      <w:r>
        <w:rPr>
          <w:rFonts w:hint="eastAsia"/>
        </w:rPr>
        <w:t>通过培训班、讲习班、宣传运动、支助和扩展活动、体育协会、室内剧场和具体活动实施这些战略。</w:t>
      </w:r>
    </w:p>
    <w:p w:rsidR="00000000" w:rsidRDefault="00457650">
      <w:pPr>
        <w:keepNext/>
        <w:widowControl/>
        <w:tabs>
          <w:tab w:val="left" w:pos="630"/>
        </w:tabs>
        <w:spacing w:after="240" w:line="360" w:lineRule="exact"/>
        <w:rPr>
          <w:rFonts w:hint="eastAsia"/>
        </w:rPr>
      </w:pPr>
      <w:r>
        <w:rPr>
          <w:rFonts w:hint="eastAsia"/>
        </w:rPr>
        <w:t>327.</w:t>
      </w:r>
      <w:r>
        <w:rPr>
          <w:rFonts w:hint="eastAsia"/>
        </w:rPr>
        <w:tab/>
      </w:r>
      <w:r>
        <w:rPr>
          <w:rFonts w:hint="eastAsia"/>
        </w:rPr>
        <w:t>保险计划不同部分提供的经济补助如下：</w:t>
      </w:r>
    </w:p>
    <w:p w:rsidR="00000000" w:rsidRDefault="00457650" w:rsidP="00457650">
      <w:pPr>
        <w:keepNext/>
        <w:widowControl/>
        <w:numPr>
          <w:ilvl w:val="0"/>
          <w:numId w:val="1898"/>
        </w:numPr>
        <w:tabs>
          <w:tab w:val="clear" w:pos="900"/>
          <w:tab w:val="left" w:pos="1050"/>
        </w:tabs>
        <w:spacing w:after="240" w:line="360" w:lineRule="exact"/>
        <w:ind w:leftChars="300" w:left="31680"/>
        <w:rPr>
          <w:rFonts w:hint="eastAsia"/>
        </w:rPr>
      </w:pPr>
      <w:r>
        <w:rPr>
          <w:rFonts w:eastAsia="SimHei" w:hint="eastAsia"/>
        </w:rPr>
        <w:t>职业危险一次性补偿</w:t>
      </w:r>
      <w:r>
        <w:rPr>
          <w:rFonts w:hint="eastAsia"/>
        </w:rPr>
        <w:t>。这项补助规定，根据《社会保险法》，如果最终评估伤残等级不足</w:t>
      </w:r>
      <w:r>
        <w:rPr>
          <w:rFonts w:hint="eastAsia"/>
        </w:rPr>
        <w:t>25%</w:t>
      </w:r>
      <w:r>
        <w:rPr>
          <w:rFonts w:hint="eastAsia"/>
        </w:rPr>
        <w:t>，投保人将获得相当于</w:t>
      </w:r>
      <w:r>
        <w:rPr>
          <w:rFonts w:hint="eastAsia"/>
        </w:rPr>
        <w:t>5</w:t>
      </w:r>
      <w:r>
        <w:rPr>
          <w:rFonts w:hint="eastAsia"/>
        </w:rPr>
        <w:t>年应支付养恤金的一次性补偿，而不是养恤金。如果伤残等级超过</w:t>
      </w:r>
      <w:r>
        <w:rPr>
          <w:rFonts w:hint="eastAsia"/>
        </w:rPr>
        <w:t>25%</w:t>
      </w:r>
      <w:r>
        <w:rPr>
          <w:rFonts w:hint="eastAsia"/>
        </w:rPr>
        <w:t>，但不足</w:t>
      </w:r>
      <w:r>
        <w:rPr>
          <w:rFonts w:hint="eastAsia"/>
        </w:rPr>
        <w:t>50%</w:t>
      </w:r>
      <w:r>
        <w:rPr>
          <w:rFonts w:hint="eastAsia"/>
        </w:rPr>
        <w:t>，投保人可以选择一次性补偿或养恤金。</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SimHei" w:hint="eastAsia"/>
        </w:rPr>
        <w:t>由于职业危险造成的部分或完全丧失工作能力的养</w:t>
      </w:r>
      <w:r>
        <w:rPr>
          <w:rFonts w:eastAsia="SimHei" w:hint="eastAsia"/>
        </w:rPr>
        <w:t>恤金</w:t>
      </w:r>
      <w:r>
        <w:rPr>
          <w:rFonts w:hint="eastAsia"/>
        </w:rPr>
        <w:t>。这项现金补助提供给因职业危险造成工作能力部分或全部丧失无法复原的个人。它可以在两年调整期内暂时发放，或者最终确定。在完全永久丧失工作能力的情况下，养恤金数额应相当于发生危险时该人缴费工资的</w:t>
      </w:r>
      <w:r>
        <w:rPr>
          <w:rFonts w:hint="eastAsia"/>
        </w:rPr>
        <w:t>70%</w:t>
      </w:r>
      <w:r>
        <w:rPr>
          <w:rFonts w:hint="eastAsia"/>
        </w:rPr>
        <w:t>。在患有职业病的情况下，数额相当于该人过去</w:t>
      </w:r>
      <w:r>
        <w:rPr>
          <w:rFonts w:hint="eastAsia"/>
        </w:rPr>
        <w:t>52</w:t>
      </w:r>
      <w:r>
        <w:rPr>
          <w:rFonts w:hint="eastAsia"/>
        </w:rPr>
        <w:t>周平均缴费工资的</w:t>
      </w:r>
      <w:r>
        <w:rPr>
          <w:rFonts w:hint="eastAsia"/>
        </w:rPr>
        <w:t>50%</w:t>
      </w:r>
      <w:r>
        <w:rPr>
          <w:rFonts w:hint="eastAsia"/>
        </w:rPr>
        <w:t>，或者如果他的保险时间不够，根据其实际工作了多少周计算。</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在部分永久丧失工作能力的情况下，养恤金应根据应支付的完全永久丧失工作能力的一定百分比支付。支付机构可以是社会保障局，或者是一家签订合同的保险机构，根据合同该保险机构负责在领取人有生之年定</w:t>
      </w:r>
      <w:r>
        <w:rPr>
          <w:rFonts w:hint="eastAsia"/>
        </w:rPr>
        <w:t>期发放养恤金，并接收被保险人个人账户上积攒的资金。</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SimHei" w:hint="eastAsia"/>
        </w:rPr>
        <w:t>由于职业危险而丧偶者的养恤金</w:t>
      </w:r>
      <w:r>
        <w:rPr>
          <w:rFonts w:hint="eastAsia"/>
        </w:rPr>
        <w:t>。这项现金补助提供给经济上依靠投保人的丧偶者或同居者，投保人的死亡是由于职业危险造成的，或者死者生前已接受全部或部分丧失工作能力养恤金。这项养恤金数额相当于应支付给投保人的完全永久丧失工作能力养恤金的</w:t>
      </w:r>
      <w:r>
        <w:rPr>
          <w:rFonts w:hint="eastAsia"/>
        </w:rPr>
        <w:t>40%</w:t>
      </w:r>
      <w:r>
        <w:rPr>
          <w:rFonts w:hint="eastAsia"/>
        </w:rPr>
        <w:t>，但是不得低于根据伤残和人寿保险计划应支付的最低丧偶养恤金。支付机构可以是社会保障局，或者是一家签订合同的保险机构，根据合同该保险机构负责在领取人（即丧偶或同居者）有生之年定期发放养恤金，并接收投保人个人账户上积攒的资金。</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SimHei" w:hint="eastAsia"/>
        </w:rPr>
        <w:t>由</w:t>
      </w:r>
      <w:r>
        <w:rPr>
          <w:rFonts w:eastAsia="SimHei" w:hint="eastAsia"/>
        </w:rPr>
        <w:t>于职业危险而成为孤儿的养恤金</w:t>
      </w:r>
      <w:r>
        <w:rPr>
          <w:rFonts w:hint="eastAsia"/>
        </w:rPr>
        <w:t>。这项现金补助提供给由于职业危险而死亡的投保人所有子女，或者接受全部或部分丧失工作能力养恤金者的子女，以及</w:t>
      </w:r>
      <w:r>
        <w:rPr>
          <w:rFonts w:hint="eastAsia"/>
        </w:rPr>
        <w:t>/</w:t>
      </w:r>
      <w:r>
        <w:rPr>
          <w:rFonts w:hint="eastAsia"/>
        </w:rPr>
        <w:t>或配偶或同居者死亡，子女的年龄超过</w:t>
      </w:r>
      <w:r>
        <w:rPr>
          <w:rFonts w:hint="eastAsia"/>
        </w:rPr>
        <w:t>16</w:t>
      </w:r>
      <w:r>
        <w:rPr>
          <w:rFonts w:hint="eastAsia"/>
        </w:rPr>
        <w:t>周岁但不满</w:t>
      </w:r>
      <w:r>
        <w:rPr>
          <w:rFonts w:hint="eastAsia"/>
        </w:rPr>
        <w:t>25</w:t>
      </w:r>
      <w:r>
        <w:rPr>
          <w:rFonts w:hint="eastAsia"/>
        </w:rPr>
        <w:t>周岁，只要他们能提供证据表明他们在国家培训机构学习；如果孤儿因长期患病或因患有身体或精神缺陷而完全丧失工作能力，他可以终生领取该养恤金或在病愈前可一直领取养恤金。如果孤儿失去父亲或母亲，养恤金的数额相当于投保人完全永久丧失工作能力情况下的</w:t>
      </w:r>
      <w:r>
        <w:rPr>
          <w:rFonts w:hint="eastAsia"/>
        </w:rPr>
        <w:t>20%</w:t>
      </w:r>
      <w:r>
        <w:rPr>
          <w:rFonts w:hint="eastAsia"/>
        </w:rPr>
        <w:t>。如果父母另一方也死亡，数额增加到</w:t>
      </w:r>
      <w:r>
        <w:rPr>
          <w:rFonts w:hint="eastAsia"/>
        </w:rPr>
        <w:t>30%</w:t>
      </w:r>
      <w:r>
        <w:rPr>
          <w:rFonts w:hint="eastAsia"/>
        </w:rPr>
        <w:t>。支付机构可以是社会保障局，或者是一家签</w:t>
      </w:r>
      <w:r>
        <w:rPr>
          <w:rFonts w:hint="eastAsia"/>
        </w:rPr>
        <w:t>订合同的保险机构，根据合同该保险机构负责定期发放养恤金，并接收被保险人个人账户上积攒的资金。</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SimHei" w:hint="eastAsia"/>
        </w:rPr>
        <w:t>发生职业危险后长辈应得到的养恤金</w:t>
      </w:r>
      <w:r>
        <w:rPr>
          <w:rFonts w:hint="eastAsia"/>
        </w:rPr>
        <w:t>。这项现金补助在没有丧偶者、孤儿或同居者的情况下发放。它提供在给经济上依赖于由于职业危险而死亡的投保人或养恤金领取人的所有长辈。该养恤金应支付的数额相当于投保人死亡或在完全永久丧失工作能力情况下应得养恤金的</w:t>
      </w:r>
      <w:r>
        <w:rPr>
          <w:rFonts w:hint="eastAsia"/>
        </w:rPr>
        <w:t>20%</w:t>
      </w:r>
      <w:r>
        <w:rPr>
          <w:rFonts w:hint="eastAsia"/>
        </w:rPr>
        <w:t>。支付机构可以是社会保障局，或者是一家签订合同的保险机构，根据合同该保险机构负责在领取人（即长辈）有生之年定期发放养恤金，并接收被保险人个人账户上积攒的资金。</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SimHei" w:hint="eastAsia"/>
        </w:rPr>
        <w:t>根据伤残和人寿</w:t>
      </w:r>
      <w:r>
        <w:rPr>
          <w:rFonts w:eastAsia="SimHei" w:hint="eastAsia"/>
        </w:rPr>
        <w:t>保险计划在伤残情况下应支付的养恤金</w:t>
      </w:r>
      <w:r>
        <w:rPr>
          <w:rFonts w:hint="eastAsia"/>
        </w:rPr>
        <w:t>。这项现金补助提供给由于非职业性事故或疾病而丧失就业能力的投保人；它是一项暂时性补助，在有可能恢复工作的情况下也可以延期；如果被认为是永久性丧失工作能力，这一补助即成为限定的补助。支付机构可以是社会保障局，或者是一家签订合同的保险机构，根据合同该保险机构负责在领取人有生之年定期发放养恤金，并接收投保人个人账户上积攒的资金。</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SimHei" w:hint="eastAsia"/>
        </w:rPr>
        <w:t>根据伤残和人寿保险计划应支付的丧偶者养恤金</w:t>
      </w:r>
      <w:r>
        <w:rPr>
          <w:rFonts w:hint="eastAsia"/>
        </w:rPr>
        <w:t>。获得这项现金补助的丧偶者或同居者在经济上依赖于投保人或者依赖于永久完全或部分丧失工作能力的养恤金领取者，其死</w:t>
      </w:r>
      <w:r>
        <w:rPr>
          <w:rFonts w:hint="eastAsia"/>
        </w:rPr>
        <w:t>亡是由于非职业性事故或疾病造成的（丧偶者还必须具有伤残的官方证明）。养恤金数额相当于投保人在伤残情况下或者养恤金领取人在此项下所领取养恤金的</w:t>
      </w:r>
      <w:r>
        <w:rPr>
          <w:rFonts w:hint="eastAsia"/>
        </w:rPr>
        <w:t>90%</w:t>
      </w:r>
      <w:r>
        <w:rPr>
          <w:rFonts w:hint="eastAsia"/>
        </w:rPr>
        <w:t>。支付机构可以是社会保障局（</w:t>
      </w:r>
      <w:r>
        <w:rPr>
          <w:rFonts w:hint="eastAsia"/>
        </w:rPr>
        <w:t>1973</w:t>
      </w:r>
      <w:r>
        <w:rPr>
          <w:rFonts w:hint="eastAsia"/>
        </w:rPr>
        <w:t>年法案），或者是一家签订合同的保险机构（</w:t>
      </w:r>
      <w:r>
        <w:rPr>
          <w:rFonts w:hint="eastAsia"/>
        </w:rPr>
        <w:t>1997</w:t>
      </w:r>
      <w:r>
        <w:rPr>
          <w:rFonts w:hint="eastAsia"/>
        </w:rPr>
        <w:t>年法案），根据合同该保险机构负责在领取人（丧偶者或同居者）有生之年定期发放养恤金，并接收被保险人个人账户上积攒的资金。</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SimHei" w:hint="eastAsia"/>
        </w:rPr>
        <w:t>根据伤残和人寿保险计划应支付给孤儿的养恤金</w:t>
      </w:r>
      <w:r>
        <w:rPr>
          <w:rFonts w:hint="eastAsia"/>
        </w:rPr>
        <w:t>。这项现金补助提供给经济上依赖于投保人的每个子女且投保人由于非职业性事故或疾病而死亡，或者其领取永久完全或部分丧失劳动能</w:t>
      </w:r>
      <w:r>
        <w:rPr>
          <w:rFonts w:hint="eastAsia"/>
        </w:rPr>
        <w:t>力养恤金，以及</w:t>
      </w:r>
      <w:r>
        <w:rPr>
          <w:rFonts w:hint="eastAsia"/>
        </w:rPr>
        <w:t>/</w:t>
      </w:r>
      <w:r>
        <w:rPr>
          <w:rFonts w:hint="eastAsia"/>
        </w:rPr>
        <w:t>或者配偶或同居者死亡。养恤金提供给年龄不满</w:t>
      </w:r>
      <w:r>
        <w:rPr>
          <w:rFonts w:hint="eastAsia"/>
        </w:rPr>
        <w:t>16</w:t>
      </w:r>
      <w:r>
        <w:rPr>
          <w:rFonts w:hint="eastAsia"/>
        </w:rPr>
        <w:t>周岁的儿童并且可以一直延续到</w:t>
      </w:r>
      <w:r>
        <w:rPr>
          <w:rFonts w:hint="eastAsia"/>
        </w:rPr>
        <w:t>25</w:t>
      </w:r>
      <w:r>
        <w:rPr>
          <w:rFonts w:hint="eastAsia"/>
        </w:rPr>
        <w:t>周岁，只要他可以提出证据证明自己正在国家培训学校学习。如果孤儿因长期患病或因患有身体或精神缺陷而完全丧失工作能力，可以终生领取该养恤金或在病愈前一直领取该养恤金。如果孤儿失去父亲或母亲，养恤金的数额相当于投保人或者完全永久丧失工作能力情况下养恤金领取人所领取的</w:t>
      </w:r>
      <w:r>
        <w:rPr>
          <w:rFonts w:hint="eastAsia"/>
        </w:rPr>
        <w:t>20%</w:t>
      </w:r>
      <w:r>
        <w:rPr>
          <w:rFonts w:hint="eastAsia"/>
        </w:rPr>
        <w:t>。如果父母另一方也死亡，数额增加到</w:t>
      </w:r>
      <w:r>
        <w:rPr>
          <w:rFonts w:hint="eastAsia"/>
        </w:rPr>
        <w:t>30%</w:t>
      </w:r>
      <w:r>
        <w:rPr>
          <w:rFonts w:hint="eastAsia"/>
        </w:rPr>
        <w:t>。支付机构可以是社会保障局，或者是一家签订合同的保险机构，根据合同该保险机构负责定期发放养恤金，并接收被保险人个</w:t>
      </w:r>
      <w:r>
        <w:rPr>
          <w:rFonts w:hint="eastAsia"/>
        </w:rPr>
        <w:t>人账户上积攒的资金。</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SimHei" w:hint="eastAsia"/>
        </w:rPr>
        <w:t>根据伤残和人寿保险计划应支付给长辈的养恤金</w:t>
      </w:r>
      <w:r>
        <w:rPr>
          <w:rFonts w:hint="eastAsia"/>
        </w:rPr>
        <w:t>。这项现金补助在没有丧偶者、孤儿或同居者的情况下发放。它提供在给经济上依赖于由于非职业性事故或疾病而死亡的投保人或养恤金领取人的每个长辈。该养恤金应支付的数额相当于被保险人死亡或在完全永久丧失工作能力情况下应得养恤金的</w:t>
      </w:r>
      <w:r>
        <w:rPr>
          <w:rFonts w:hint="eastAsia"/>
        </w:rPr>
        <w:t>20%</w:t>
      </w:r>
      <w:r>
        <w:rPr>
          <w:rFonts w:hint="eastAsia"/>
        </w:rPr>
        <w:t>。支付机构可以是社会保障局，或者是一家签订合同的保险机构，根据合同该保险机构负责在领取人（即长辈）有生之年定期发放养恤金，并接收个人账户上积攒的资金。</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SimHei" w:hint="eastAsia"/>
        </w:rPr>
        <w:t>根据退休、高龄中断就业和养老计划提供的高龄中断就业养老金</w:t>
      </w:r>
      <w:r>
        <w:rPr>
          <w:rFonts w:hint="eastAsia"/>
        </w:rPr>
        <w:t>。这项现金补助在</w:t>
      </w:r>
      <w:r>
        <w:rPr>
          <w:rFonts w:hint="eastAsia"/>
        </w:rPr>
        <w:t>投保人达到或超过</w:t>
      </w:r>
      <w:r>
        <w:rPr>
          <w:rFonts w:hint="eastAsia"/>
        </w:rPr>
        <w:t>60</w:t>
      </w:r>
      <w:r>
        <w:rPr>
          <w:rFonts w:hint="eastAsia"/>
        </w:rPr>
        <w:t>周岁且没有工作收入时发放。支付机构可以是社会保障局（根据</w:t>
      </w:r>
      <w:r>
        <w:rPr>
          <w:rFonts w:hint="eastAsia"/>
        </w:rPr>
        <w:t>1973</w:t>
      </w:r>
      <w:r>
        <w:rPr>
          <w:rFonts w:hint="eastAsia"/>
        </w:rPr>
        <w:t>年法案缴费</w:t>
      </w:r>
      <w:r>
        <w:rPr>
          <w:rFonts w:hint="eastAsia"/>
        </w:rPr>
        <w:t>500</w:t>
      </w:r>
      <w:r>
        <w:rPr>
          <w:rFonts w:hint="eastAsia"/>
        </w:rPr>
        <w:t>周），或者是一家签订合同的保险机构（根据</w:t>
      </w:r>
      <w:r>
        <w:rPr>
          <w:rFonts w:hint="eastAsia"/>
        </w:rPr>
        <w:t>1997</w:t>
      </w:r>
      <w:r>
        <w:rPr>
          <w:rFonts w:hint="eastAsia"/>
        </w:rPr>
        <w:t>年法案缴费</w:t>
      </w:r>
      <w:r>
        <w:rPr>
          <w:rFonts w:hint="eastAsia"/>
        </w:rPr>
        <w:t>1 250</w:t>
      </w:r>
      <w:r>
        <w:rPr>
          <w:rFonts w:hint="eastAsia"/>
        </w:rPr>
        <w:t>周），根据合同该保险机构负责在领取人有生之年定期发放养恤金，并接收个人账户上积攒的资金。</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SimHei" w:hint="eastAsia"/>
        </w:rPr>
        <w:t>根据退休、高龄中断就业和养老计划提供的养老金</w:t>
      </w:r>
      <w:r>
        <w:rPr>
          <w:rFonts w:hint="eastAsia"/>
        </w:rPr>
        <w:t>。这项现金补助在投保人达到</w:t>
      </w:r>
      <w:r>
        <w:rPr>
          <w:rFonts w:hint="eastAsia"/>
        </w:rPr>
        <w:t>65</w:t>
      </w:r>
      <w:r>
        <w:rPr>
          <w:rFonts w:hint="eastAsia"/>
        </w:rPr>
        <w:t>周岁且没有工作收入时发放。支付机构可以是社会保障局（根据</w:t>
      </w:r>
      <w:r>
        <w:rPr>
          <w:rFonts w:hint="eastAsia"/>
        </w:rPr>
        <w:t>1977</w:t>
      </w:r>
      <w:r>
        <w:rPr>
          <w:rFonts w:hint="eastAsia"/>
        </w:rPr>
        <w:t>年法案缴费</w:t>
      </w:r>
      <w:r>
        <w:rPr>
          <w:rFonts w:hint="eastAsia"/>
        </w:rPr>
        <w:t>500</w:t>
      </w:r>
      <w:r>
        <w:rPr>
          <w:rFonts w:hint="eastAsia"/>
        </w:rPr>
        <w:t>周），或者是一家签订合同的保险机构（根据</w:t>
      </w:r>
      <w:r>
        <w:rPr>
          <w:rFonts w:hint="eastAsia"/>
        </w:rPr>
        <w:t>1997</w:t>
      </w:r>
      <w:r>
        <w:rPr>
          <w:rFonts w:hint="eastAsia"/>
        </w:rPr>
        <w:t>年法案缴费</w:t>
      </w:r>
      <w:r>
        <w:rPr>
          <w:rFonts w:hint="eastAsia"/>
        </w:rPr>
        <w:t>1 250</w:t>
      </w:r>
      <w:r>
        <w:rPr>
          <w:rFonts w:hint="eastAsia"/>
        </w:rPr>
        <w:t>周），根据合同该保险机构负责在领</w:t>
      </w:r>
      <w:r>
        <w:rPr>
          <w:rFonts w:hint="eastAsia"/>
        </w:rPr>
        <w:t>取人有生之年定期发放养恤金，并接收个人账户上积攒的资金。</w:t>
      </w:r>
    </w:p>
    <w:p w:rsidR="00000000" w:rsidRDefault="00457650" w:rsidP="00457650">
      <w:pPr>
        <w:widowControl/>
        <w:numPr>
          <w:ilvl w:val="0"/>
          <w:numId w:val="1898"/>
        </w:numPr>
        <w:tabs>
          <w:tab w:val="clear" w:pos="900"/>
          <w:tab w:val="left" w:pos="1050"/>
        </w:tabs>
        <w:spacing w:after="240" w:line="360" w:lineRule="exact"/>
        <w:ind w:leftChars="300" w:left="31680"/>
      </w:pPr>
      <w:r>
        <w:rPr>
          <w:rFonts w:eastAsia="SimHei" w:hint="eastAsia"/>
        </w:rPr>
        <w:t>职业危险补助金</w:t>
      </w:r>
      <w:r>
        <w:rPr>
          <w:rFonts w:hint="eastAsia"/>
        </w:rPr>
        <w:t>。这项现金补助在投保人由于职业危险而无法工作时作为代替收入发放。补助金的数额相当于工人事故当天收入的</w:t>
      </w:r>
      <w:r>
        <w:rPr>
          <w:rFonts w:hint="eastAsia"/>
        </w:rPr>
        <w:t>100%</w:t>
      </w:r>
      <w:r>
        <w:rPr>
          <w:rFonts w:hint="eastAsia"/>
        </w:rPr>
        <w:t>；发放起始于丧失工作能力的第一天，最长持续</w:t>
      </w:r>
      <w:r>
        <w:rPr>
          <w:rFonts w:hint="eastAsia"/>
        </w:rPr>
        <w:t>52</w:t>
      </w:r>
      <w:r>
        <w:rPr>
          <w:rFonts w:hint="eastAsia"/>
        </w:rPr>
        <w:t>周。</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SimHei" w:hint="eastAsia"/>
        </w:rPr>
        <w:t>一般疾病补助金</w:t>
      </w:r>
      <w:r>
        <w:rPr>
          <w:rFonts w:hint="eastAsia"/>
        </w:rPr>
        <w:t>。这项现金补助在投保人由于非职业性事故或疾病而无法工作时作为代替收入发放。补助金的数额相当于其最后一天缴费收入的</w:t>
      </w:r>
      <w:r>
        <w:rPr>
          <w:rFonts w:hint="eastAsia"/>
        </w:rPr>
        <w:t>60%</w:t>
      </w:r>
      <w:r>
        <w:rPr>
          <w:rFonts w:hint="eastAsia"/>
        </w:rPr>
        <w:t>；发放时间从丧失工作能力后的第四天算起，持续时间不超过</w:t>
      </w:r>
      <w:r>
        <w:rPr>
          <w:rFonts w:hint="eastAsia"/>
        </w:rPr>
        <w:t>52</w:t>
      </w:r>
      <w:r>
        <w:rPr>
          <w:rFonts w:hint="eastAsia"/>
        </w:rPr>
        <w:t>周。根据医嘱可以延长发放时间，但不能超过</w:t>
      </w:r>
      <w:r>
        <w:rPr>
          <w:rFonts w:hint="eastAsia"/>
        </w:rPr>
        <w:t>26</w:t>
      </w:r>
      <w:r>
        <w:rPr>
          <w:rFonts w:hint="eastAsia"/>
        </w:rPr>
        <w:t>周。</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SimHei" w:hint="eastAsia"/>
        </w:rPr>
        <w:t>产假补助金</w:t>
      </w:r>
      <w:r>
        <w:rPr>
          <w:rFonts w:hint="eastAsia"/>
        </w:rPr>
        <w:t>。这项现金补助作为一种替代收入</w:t>
      </w:r>
      <w:r>
        <w:rPr>
          <w:rFonts w:hint="eastAsia"/>
        </w:rPr>
        <w:t>提供给由于怀孕而无法继续工作的女性投保人。补助金的数额相当于其最后一天缴费收入的</w:t>
      </w:r>
      <w:r>
        <w:rPr>
          <w:rFonts w:hint="eastAsia"/>
        </w:rPr>
        <w:t>100%</w:t>
      </w:r>
      <w:r>
        <w:rPr>
          <w:rFonts w:hint="eastAsia"/>
        </w:rPr>
        <w:t>，发放期限是产前和产后</w:t>
      </w:r>
      <w:r>
        <w:rPr>
          <w:rFonts w:hint="eastAsia"/>
        </w:rPr>
        <w:t>42</w:t>
      </w:r>
      <w:r>
        <w:rPr>
          <w:rFonts w:hint="eastAsia"/>
        </w:rPr>
        <w:t>天（出生前和出生后），在此期间，根据医嘱和法律，怀孕妇女必须休息。如果产前到生产这期间有任何时间没有包括在内，她们应能获得缴费日工资的</w:t>
      </w:r>
      <w:r>
        <w:rPr>
          <w:rFonts w:hint="eastAsia"/>
        </w:rPr>
        <w:t>60%</w:t>
      </w:r>
      <w:r>
        <w:rPr>
          <w:rFonts w:hint="eastAsia"/>
        </w:rPr>
        <w:t>。</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SimHei" w:hint="eastAsia"/>
        </w:rPr>
        <w:t>丧葬费补助</w:t>
      </w:r>
      <w:r>
        <w:rPr>
          <w:rFonts w:hint="eastAsia"/>
        </w:rPr>
        <w:t>。这项现金补助发放给提交死亡证明和丧葬费原始发票的个人，最好是已故投保人或养恤金领取人的亲属。其数额相当于死亡时联邦区所执行的最低一般月工资的两倍（经营月：</w:t>
      </w:r>
      <w:r>
        <w:rPr>
          <w:rFonts w:hint="eastAsia"/>
        </w:rPr>
        <w:t>30</w:t>
      </w:r>
      <w:r>
        <w:rPr>
          <w:rFonts w:hint="eastAsia"/>
        </w:rPr>
        <w:t>天）。</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SimHei" w:hint="eastAsia"/>
        </w:rPr>
        <w:t>结婚费用补助</w:t>
      </w:r>
      <w:r>
        <w:rPr>
          <w:rFonts w:hint="eastAsia"/>
        </w:rPr>
        <w:t>。这项现金补助的数额相当于联邦区所执行的最低一般日工资的</w:t>
      </w:r>
      <w:r>
        <w:rPr>
          <w:rFonts w:hint="eastAsia"/>
        </w:rPr>
        <w:t>30</w:t>
      </w:r>
      <w:r>
        <w:rPr>
          <w:rFonts w:hint="eastAsia"/>
        </w:rPr>
        <w:t>倍，</w:t>
      </w:r>
      <w:r>
        <w:rPr>
          <w:rFonts w:hint="eastAsia"/>
        </w:rPr>
        <w:t>根据联邦政府所分配的社会配额存入有关的投保人个人账户，条件是此人到结婚的那一天至少已经向退休、高龄中断就业和养老保险计划缴费</w:t>
      </w:r>
      <w:r>
        <w:rPr>
          <w:rFonts w:hint="eastAsia"/>
        </w:rPr>
        <w:t>150</w:t>
      </w:r>
      <w:r>
        <w:rPr>
          <w:rFonts w:hint="eastAsia"/>
        </w:rPr>
        <w:t>周，而且持有在该机构登记的配偶的真实死亡证明，必要时还要出示离婚证明，且该配偶以前没有在该机构登记。这类补助金只能申请一次，投保人此后再婚无权申请。</w:t>
      </w:r>
    </w:p>
    <w:p w:rsidR="00000000" w:rsidRDefault="00457650">
      <w:pPr>
        <w:widowControl/>
        <w:tabs>
          <w:tab w:val="left" w:pos="630"/>
        </w:tabs>
        <w:spacing w:after="240" w:line="360" w:lineRule="exact"/>
        <w:rPr>
          <w:rFonts w:hint="eastAsia"/>
        </w:rPr>
      </w:pPr>
      <w:r>
        <w:rPr>
          <w:rFonts w:hint="eastAsia"/>
        </w:rPr>
        <w:t>328.</w:t>
      </w:r>
      <w:r>
        <w:rPr>
          <w:rFonts w:hint="eastAsia"/>
        </w:rPr>
        <w:tab/>
        <w:t>1998</w:t>
      </w:r>
      <w:r>
        <w:rPr>
          <w:rFonts w:hint="eastAsia"/>
        </w:rPr>
        <w:t>年至</w:t>
      </w:r>
      <w:r>
        <w:rPr>
          <w:rFonts w:hint="eastAsia"/>
        </w:rPr>
        <w:t>2003</w:t>
      </w:r>
      <w:r>
        <w:rPr>
          <w:rFonts w:hint="eastAsia"/>
        </w:rPr>
        <w:t>年现金补助发放趋势如下：</w:t>
      </w:r>
    </w:p>
    <w:p w:rsidR="00000000" w:rsidRDefault="00457650">
      <w:pPr>
        <w:widowControl/>
        <w:tabs>
          <w:tab w:val="left" w:pos="630"/>
        </w:tabs>
        <w:spacing w:after="240" w:line="360" w:lineRule="exact"/>
        <w:jc w:val="center"/>
        <w:rPr>
          <w:rFonts w:ascii="SimHei" w:eastAsia="SimHei" w:hint="eastAsia"/>
        </w:rPr>
      </w:pPr>
      <w:r>
        <w:rPr>
          <w:rFonts w:ascii="SimHei" w:eastAsia="SimHei" w:hint="eastAsia"/>
        </w:rPr>
        <w:t>1998-2003</w:t>
      </w:r>
      <w:r>
        <w:rPr>
          <w:rFonts w:ascii="SimHei" w:eastAsia="SimHei" w:hint="eastAsia"/>
        </w:rPr>
        <w:t>年养恤金领取人和一次性补偿数额</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9"/>
        <w:gridCol w:w="2045"/>
        <w:gridCol w:w="3116"/>
        <w:gridCol w:w="1801"/>
      </w:tblGrid>
      <w:tr w:rsidR="00000000">
        <w:tc>
          <w:tcPr>
            <w:tcW w:w="1463" w:type="pct"/>
          </w:tcPr>
          <w:p w:rsidR="00000000" w:rsidRDefault="00457650">
            <w:pPr>
              <w:pStyle w:val="a3"/>
              <w:widowControl/>
              <w:tabs>
                <w:tab w:val="left" w:pos="372"/>
              </w:tabs>
              <w:adjustRightInd w:val="0"/>
              <w:spacing w:line="340" w:lineRule="exact"/>
              <w:textAlignment w:val="baseline"/>
              <w:rPr>
                <w:rFonts w:hint="eastAsia"/>
                <w:kern w:val="0"/>
                <w:szCs w:val="20"/>
              </w:rPr>
            </w:pPr>
            <w:r>
              <w:rPr>
                <w:rFonts w:hint="eastAsia"/>
                <w:kern w:val="0"/>
                <w:szCs w:val="20"/>
              </w:rPr>
              <w:sym w:font="Wingdings 2" w:char="F097"/>
            </w:r>
            <w:r>
              <w:rPr>
                <w:kern w:val="0"/>
                <w:szCs w:val="20"/>
              </w:rPr>
              <w:tab/>
            </w:r>
            <w:r>
              <w:rPr>
                <w:rFonts w:hint="eastAsia"/>
                <w:kern w:val="0"/>
                <w:szCs w:val="20"/>
              </w:rPr>
              <w:t>养恤金领取人</w:t>
            </w: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1 734 945</w:t>
            </w:r>
          </w:p>
        </w:tc>
        <w:tc>
          <w:tcPr>
            <w:tcW w:w="1583" w:type="pct"/>
          </w:tcPr>
          <w:p w:rsidR="00000000" w:rsidRDefault="00457650">
            <w:pPr>
              <w:pStyle w:val="a3"/>
              <w:widowControl/>
              <w:tabs>
                <w:tab w:val="left" w:pos="372"/>
              </w:tabs>
              <w:adjustRightInd w:val="0"/>
              <w:spacing w:line="340" w:lineRule="exact"/>
              <w:textAlignment w:val="baseline"/>
              <w:rPr>
                <w:rFonts w:hint="eastAsia"/>
              </w:rPr>
            </w:pPr>
            <w:r>
              <w:rPr>
                <w:rFonts w:hint="eastAsia"/>
                <w:kern w:val="0"/>
                <w:szCs w:val="20"/>
              </w:rPr>
              <w:sym w:font="Wingdings 2" w:char="F097"/>
            </w:r>
            <w:r>
              <w:rPr>
                <w:kern w:val="0"/>
                <w:szCs w:val="20"/>
              </w:rPr>
              <w:tab/>
            </w:r>
            <w:r>
              <w:rPr>
                <w:rFonts w:hint="eastAsia"/>
              </w:rPr>
              <w:t>伤残</w:t>
            </w: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325 152</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1 797 016</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324 829</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1 861 05</w:t>
            </w:r>
            <w:r>
              <w:rPr>
                <w:rFonts w:hint="eastAsia"/>
                <w:kern w:val="0"/>
                <w:szCs w:val="20"/>
              </w:rPr>
              <w:t>8</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325 708</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1 950 909</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330 775</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2 034 188</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331 626</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2 133 532</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334 551</w:t>
            </w:r>
          </w:p>
        </w:tc>
      </w:tr>
      <w:tr w:rsidR="00000000">
        <w:tc>
          <w:tcPr>
            <w:tcW w:w="1463" w:type="pct"/>
          </w:tcPr>
          <w:p w:rsidR="00000000" w:rsidRDefault="00457650">
            <w:pPr>
              <w:pStyle w:val="a3"/>
              <w:widowControl/>
              <w:tabs>
                <w:tab w:val="left" w:pos="372"/>
              </w:tabs>
              <w:adjustRightInd w:val="0"/>
              <w:spacing w:line="340" w:lineRule="exact"/>
              <w:textAlignment w:val="baseline"/>
              <w:rPr>
                <w:rFonts w:hint="eastAsia"/>
              </w:rPr>
            </w:pPr>
            <w:r>
              <w:rPr>
                <w:rFonts w:hint="eastAsia"/>
                <w:kern w:val="0"/>
                <w:szCs w:val="20"/>
              </w:rPr>
              <w:sym w:font="Wingdings 2" w:char="F097"/>
            </w:r>
            <w:r>
              <w:rPr>
                <w:kern w:val="0"/>
                <w:szCs w:val="20"/>
              </w:rPr>
              <w:tab/>
            </w:r>
            <w:r>
              <w:rPr>
                <w:rFonts w:hint="eastAsia"/>
              </w:rPr>
              <w:t>职业危险</w:t>
            </w: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281 781</w:t>
            </w:r>
          </w:p>
        </w:tc>
        <w:tc>
          <w:tcPr>
            <w:tcW w:w="1583" w:type="pct"/>
          </w:tcPr>
          <w:p w:rsidR="00000000" w:rsidRDefault="00457650">
            <w:pPr>
              <w:pStyle w:val="a3"/>
              <w:widowControl/>
              <w:tabs>
                <w:tab w:val="left" w:pos="372"/>
              </w:tabs>
              <w:adjustRightInd w:val="0"/>
              <w:spacing w:line="340" w:lineRule="exact"/>
              <w:textAlignment w:val="baseline"/>
              <w:rPr>
                <w:rFonts w:hint="eastAsia"/>
              </w:rPr>
            </w:pPr>
            <w:r>
              <w:rPr>
                <w:rFonts w:hint="eastAsia"/>
                <w:kern w:val="0"/>
                <w:szCs w:val="20"/>
              </w:rPr>
              <w:sym w:font="Wingdings 2" w:char="F097"/>
            </w:r>
            <w:r>
              <w:rPr>
                <w:kern w:val="0"/>
                <w:szCs w:val="20"/>
              </w:rPr>
              <w:tab/>
            </w:r>
            <w:r>
              <w:rPr>
                <w:rFonts w:hint="eastAsia"/>
              </w:rPr>
              <w:t>丧偶</w:t>
            </w: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390 911</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286 212</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409 586</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292 548</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427 694</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301 410</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449 657</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308 217</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470 604</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318 465</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494 086</w:t>
            </w:r>
          </w:p>
        </w:tc>
      </w:tr>
      <w:tr w:rsidR="00000000">
        <w:tc>
          <w:tcPr>
            <w:tcW w:w="1463" w:type="pct"/>
          </w:tcPr>
          <w:p w:rsidR="00000000" w:rsidRDefault="00457650">
            <w:pPr>
              <w:pStyle w:val="a3"/>
              <w:widowControl/>
              <w:tabs>
                <w:tab w:val="left" w:pos="372"/>
              </w:tabs>
              <w:adjustRightInd w:val="0"/>
              <w:spacing w:line="340" w:lineRule="exact"/>
              <w:textAlignment w:val="baseline"/>
              <w:rPr>
                <w:rFonts w:hint="eastAsia"/>
              </w:rPr>
            </w:pPr>
            <w:r>
              <w:rPr>
                <w:rFonts w:hint="eastAsia"/>
                <w:kern w:val="0"/>
                <w:szCs w:val="20"/>
              </w:rPr>
              <w:sym w:font="Wingdings 2" w:char="F097"/>
            </w:r>
            <w:r>
              <w:rPr>
                <w:kern w:val="0"/>
                <w:szCs w:val="20"/>
              </w:rPr>
              <w:tab/>
            </w:r>
            <w:r>
              <w:rPr>
                <w:rFonts w:hint="eastAsia"/>
              </w:rPr>
              <w:t>永久丧失</w:t>
            </w:r>
            <w:r>
              <w:rPr>
                <w:rFonts w:hint="eastAsia"/>
                <w:kern w:val="0"/>
                <w:szCs w:val="20"/>
              </w:rPr>
              <w:t>工作</w:t>
            </w:r>
            <w:r>
              <w:rPr>
                <w:rFonts w:hint="eastAsia"/>
              </w:rPr>
              <w:t>能力</w:t>
            </w: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210 862</w:t>
            </w:r>
          </w:p>
        </w:tc>
        <w:tc>
          <w:tcPr>
            <w:tcW w:w="1583" w:type="pct"/>
          </w:tcPr>
          <w:p w:rsidR="00000000" w:rsidRDefault="00457650">
            <w:pPr>
              <w:pStyle w:val="a3"/>
              <w:widowControl/>
              <w:tabs>
                <w:tab w:val="left" w:pos="372"/>
              </w:tabs>
              <w:adjustRightInd w:val="0"/>
              <w:spacing w:line="340" w:lineRule="exact"/>
              <w:textAlignment w:val="baseline"/>
              <w:rPr>
                <w:rFonts w:hint="eastAsia"/>
              </w:rPr>
            </w:pPr>
            <w:r>
              <w:rPr>
                <w:rFonts w:hint="eastAsia"/>
                <w:kern w:val="0"/>
                <w:szCs w:val="20"/>
              </w:rPr>
              <w:sym w:font="Wingdings 2" w:char="F097"/>
            </w:r>
            <w:r>
              <w:rPr>
                <w:kern w:val="0"/>
                <w:szCs w:val="20"/>
              </w:rPr>
              <w:tab/>
            </w:r>
            <w:r>
              <w:rPr>
                <w:rFonts w:hint="eastAsia"/>
              </w:rPr>
              <w:t>孤儿</w:t>
            </w: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103 890</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216 478</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97 146</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224 6</w:t>
            </w:r>
            <w:r>
              <w:rPr>
                <w:rFonts w:hint="eastAsia"/>
                <w:kern w:val="0"/>
                <w:szCs w:val="20"/>
              </w:rPr>
              <w:t>44</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88 576</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234 645</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82 322</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242 439</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78 241</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253 064</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79 268</w:t>
            </w:r>
          </w:p>
        </w:tc>
      </w:tr>
      <w:tr w:rsidR="00000000">
        <w:tc>
          <w:tcPr>
            <w:tcW w:w="1463" w:type="pct"/>
          </w:tcPr>
          <w:p w:rsidR="00000000" w:rsidRDefault="00457650">
            <w:pPr>
              <w:pStyle w:val="a3"/>
              <w:widowControl/>
              <w:tabs>
                <w:tab w:val="left" w:pos="372"/>
              </w:tabs>
              <w:adjustRightInd w:val="0"/>
              <w:spacing w:line="340" w:lineRule="exact"/>
              <w:textAlignment w:val="baseline"/>
              <w:rPr>
                <w:rFonts w:hint="eastAsia"/>
              </w:rPr>
            </w:pPr>
            <w:r>
              <w:rPr>
                <w:rFonts w:hint="eastAsia"/>
                <w:kern w:val="0"/>
                <w:szCs w:val="20"/>
              </w:rPr>
              <w:sym w:font="Wingdings 2" w:char="F097"/>
            </w:r>
            <w:r>
              <w:rPr>
                <w:kern w:val="0"/>
                <w:szCs w:val="20"/>
              </w:rPr>
              <w:tab/>
            </w:r>
            <w:r>
              <w:rPr>
                <w:rFonts w:hint="eastAsia"/>
              </w:rPr>
              <w:t>丧偶</w:t>
            </w: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33 882</w:t>
            </w:r>
          </w:p>
        </w:tc>
        <w:tc>
          <w:tcPr>
            <w:tcW w:w="1583" w:type="pct"/>
          </w:tcPr>
          <w:p w:rsidR="00000000" w:rsidRDefault="00457650">
            <w:pPr>
              <w:pStyle w:val="a3"/>
              <w:widowControl/>
              <w:tabs>
                <w:tab w:val="left" w:pos="372"/>
              </w:tabs>
              <w:adjustRightInd w:val="0"/>
              <w:spacing w:line="340" w:lineRule="exact"/>
              <w:textAlignment w:val="baseline"/>
              <w:rPr>
                <w:rFonts w:hint="eastAsia"/>
              </w:rPr>
            </w:pPr>
            <w:r>
              <w:rPr>
                <w:rFonts w:hint="eastAsia"/>
                <w:kern w:val="0"/>
                <w:szCs w:val="20"/>
              </w:rPr>
              <w:sym w:font="Wingdings 2" w:char="F097"/>
            </w:r>
            <w:r>
              <w:rPr>
                <w:kern w:val="0"/>
                <w:szCs w:val="20"/>
              </w:rPr>
              <w:tab/>
            </w:r>
            <w:r>
              <w:rPr>
                <w:rFonts w:hint="eastAsia"/>
              </w:rPr>
              <w:t>长辈</w:t>
            </w: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20 700</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34 822</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21 691</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35 642</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22 644</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36 579</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23 884</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37 231</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25 051</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37 971</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26 975</w:t>
            </w:r>
          </w:p>
        </w:tc>
      </w:tr>
      <w:tr w:rsidR="00000000">
        <w:tc>
          <w:tcPr>
            <w:tcW w:w="1463" w:type="pct"/>
          </w:tcPr>
          <w:p w:rsidR="00000000" w:rsidRDefault="00457650">
            <w:pPr>
              <w:pStyle w:val="a3"/>
              <w:widowControl/>
              <w:tabs>
                <w:tab w:val="left" w:pos="372"/>
              </w:tabs>
              <w:adjustRightInd w:val="0"/>
              <w:spacing w:line="340" w:lineRule="exact"/>
              <w:textAlignment w:val="baseline"/>
              <w:rPr>
                <w:rFonts w:hint="eastAsia"/>
              </w:rPr>
            </w:pPr>
            <w:r>
              <w:rPr>
                <w:rFonts w:hint="eastAsia"/>
                <w:kern w:val="0"/>
                <w:szCs w:val="20"/>
              </w:rPr>
              <w:sym w:font="Wingdings 2" w:char="F097"/>
            </w:r>
            <w:r>
              <w:rPr>
                <w:kern w:val="0"/>
                <w:szCs w:val="20"/>
              </w:rPr>
              <w:tab/>
            </w:r>
            <w:r>
              <w:rPr>
                <w:rFonts w:hint="eastAsia"/>
              </w:rPr>
              <w:t>孤儿</w:t>
            </w: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24 603</w:t>
            </w:r>
          </w:p>
        </w:tc>
        <w:tc>
          <w:tcPr>
            <w:tcW w:w="1583" w:type="pct"/>
          </w:tcPr>
          <w:p w:rsidR="00000000" w:rsidRDefault="00457650">
            <w:pPr>
              <w:pStyle w:val="a3"/>
              <w:widowControl/>
              <w:tabs>
                <w:tab w:val="left" w:pos="372"/>
              </w:tabs>
              <w:adjustRightInd w:val="0"/>
              <w:spacing w:line="340" w:lineRule="exact"/>
              <w:textAlignment w:val="baseline"/>
              <w:rPr>
                <w:rFonts w:hint="eastAsia"/>
              </w:rPr>
            </w:pPr>
            <w:r>
              <w:rPr>
                <w:rFonts w:hint="eastAsia"/>
                <w:kern w:val="0"/>
                <w:szCs w:val="20"/>
              </w:rPr>
              <w:sym w:font="Wingdings 2" w:char="F097"/>
            </w:r>
            <w:r>
              <w:rPr>
                <w:kern w:val="0"/>
                <w:szCs w:val="20"/>
              </w:rPr>
              <w:tab/>
            </w:r>
            <w:r>
              <w:rPr>
                <w:rFonts w:hint="eastAsia"/>
              </w:rPr>
              <w:t>退休、高龄</w:t>
            </w:r>
            <w:r>
              <w:rPr>
                <w:rFonts w:hint="eastAsia"/>
                <w:kern w:val="0"/>
                <w:szCs w:val="20"/>
              </w:rPr>
              <w:t>中断</w:t>
            </w:r>
            <w:r>
              <w:rPr>
                <w:rFonts w:hint="eastAsia"/>
              </w:rPr>
              <w:t>就业和养老</w:t>
            </w: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612 511</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22 399</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657 552</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19 672</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703 888</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17 402</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762 861</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15 719</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820 449</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14 546</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880 187</w:t>
            </w:r>
          </w:p>
        </w:tc>
      </w:tr>
      <w:tr w:rsidR="00000000">
        <w:tc>
          <w:tcPr>
            <w:tcW w:w="1463" w:type="pct"/>
          </w:tcPr>
          <w:p w:rsidR="00000000" w:rsidRDefault="00457650">
            <w:pPr>
              <w:pStyle w:val="a3"/>
              <w:widowControl/>
              <w:tabs>
                <w:tab w:val="left" w:pos="372"/>
              </w:tabs>
              <w:adjustRightInd w:val="0"/>
              <w:spacing w:line="340" w:lineRule="exact"/>
              <w:textAlignment w:val="baseline"/>
              <w:rPr>
                <w:rFonts w:hint="eastAsia"/>
              </w:rPr>
            </w:pPr>
            <w:r>
              <w:rPr>
                <w:rFonts w:hint="eastAsia"/>
                <w:kern w:val="0"/>
                <w:szCs w:val="20"/>
              </w:rPr>
              <w:sym w:font="Wingdings 2" w:char="F097"/>
            </w:r>
            <w:r>
              <w:rPr>
                <w:kern w:val="0"/>
                <w:szCs w:val="20"/>
              </w:rPr>
              <w:tab/>
            </w:r>
            <w:r>
              <w:rPr>
                <w:rFonts w:hint="eastAsia"/>
              </w:rPr>
              <w:t>长辈</w:t>
            </w: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12 434</w:t>
            </w:r>
          </w:p>
        </w:tc>
        <w:tc>
          <w:tcPr>
            <w:tcW w:w="1583" w:type="pct"/>
          </w:tcPr>
          <w:p w:rsidR="00000000" w:rsidRDefault="00457650">
            <w:pPr>
              <w:pStyle w:val="a3"/>
              <w:widowControl/>
              <w:tabs>
                <w:tab w:val="left" w:pos="372"/>
              </w:tabs>
              <w:adjustRightInd w:val="0"/>
              <w:spacing w:line="340" w:lineRule="exact"/>
              <w:textAlignment w:val="baseline"/>
              <w:rPr>
                <w:rFonts w:hint="eastAsia"/>
              </w:rPr>
            </w:pPr>
            <w:r>
              <w:rPr>
                <w:rFonts w:hint="eastAsia"/>
                <w:kern w:val="0"/>
                <w:szCs w:val="20"/>
              </w:rPr>
              <w:sym w:font="Wingdings 2" w:char="F097"/>
            </w:r>
            <w:r>
              <w:rPr>
                <w:kern w:val="0"/>
                <w:szCs w:val="20"/>
              </w:rPr>
              <w:tab/>
            </w:r>
            <w:r>
              <w:rPr>
                <w:rFonts w:hint="eastAsia"/>
                <w:kern w:val="0"/>
                <w:szCs w:val="20"/>
              </w:rPr>
              <w:t>中断</w:t>
            </w:r>
            <w:r>
              <w:rPr>
                <w:rFonts w:hint="eastAsia"/>
              </w:rPr>
              <w:t>就业</w:t>
            </w: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412 847</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12 513</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450 550</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12 590</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489 991</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12 784</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538 855</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12 828</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587 457</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12 884</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638 298</w:t>
            </w:r>
          </w:p>
        </w:tc>
      </w:tr>
      <w:tr w:rsidR="00000000">
        <w:tc>
          <w:tcPr>
            <w:tcW w:w="1463" w:type="pct"/>
          </w:tcPr>
          <w:p w:rsidR="00000000" w:rsidRDefault="00457650">
            <w:pPr>
              <w:pStyle w:val="a3"/>
              <w:widowControl/>
              <w:tabs>
                <w:tab w:val="left" w:pos="372"/>
              </w:tabs>
              <w:adjustRightInd w:val="0"/>
              <w:spacing w:line="340" w:lineRule="exact"/>
              <w:textAlignment w:val="baseline"/>
              <w:rPr>
                <w:rFonts w:hint="eastAsia"/>
              </w:rPr>
            </w:pPr>
            <w:r>
              <w:rPr>
                <w:rFonts w:hint="eastAsia"/>
                <w:kern w:val="0"/>
                <w:szCs w:val="20"/>
              </w:rPr>
              <w:sym w:font="Wingdings 2" w:char="F097"/>
            </w:r>
            <w:r>
              <w:rPr>
                <w:kern w:val="0"/>
                <w:szCs w:val="20"/>
              </w:rPr>
              <w:tab/>
            </w:r>
            <w:r>
              <w:rPr>
                <w:rFonts w:hint="eastAsia"/>
              </w:rPr>
              <w:t>伤残和人寿保险</w:t>
            </w: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840 653</w:t>
            </w:r>
          </w:p>
        </w:tc>
        <w:tc>
          <w:tcPr>
            <w:tcW w:w="1583" w:type="pct"/>
          </w:tcPr>
          <w:p w:rsidR="00000000" w:rsidRDefault="00457650">
            <w:pPr>
              <w:pStyle w:val="a3"/>
              <w:widowControl/>
              <w:tabs>
                <w:tab w:val="left" w:pos="372"/>
              </w:tabs>
              <w:adjustRightInd w:val="0"/>
              <w:spacing w:line="340" w:lineRule="exact"/>
              <w:textAlignment w:val="baseline"/>
              <w:rPr>
                <w:rFonts w:hint="eastAsia"/>
              </w:rPr>
            </w:pPr>
            <w:r>
              <w:rPr>
                <w:rFonts w:hint="eastAsia"/>
                <w:kern w:val="0"/>
                <w:szCs w:val="20"/>
              </w:rPr>
              <w:sym w:font="Wingdings 2" w:char="F097"/>
            </w:r>
            <w:r>
              <w:rPr>
                <w:kern w:val="0"/>
                <w:szCs w:val="20"/>
              </w:rPr>
              <w:tab/>
            </w:r>
            <w:r>
              <w:rPr>
                <w:rFonts w:hint="eastAsia"/>
              </w:rPr>
              <w:t>养老</w:t>
            </w: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199 664</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853 622</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207 002</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864 622</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213 897</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886 638</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224 006</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90</w:t>
            </w:r>
            <w:r>
              <w:rPr>
                <w:rFonts w:hint="eastAsia"/>
                <w:kern w:val="0"/>
                <w:szCs w:val="20"/>
              </w:rPr>
              <w:t>5 522</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232 992</w:t>
            </w:r>
          </w:p>
        </w:tc>
      </w:tr>
      <w:tr w:rsidR="00000000">
        <w:tc>
          <w:tcPr>
            <w:tcW w:w="1463" w:type="pct"/>
          </w:tcPr>
          <w:p w:rsidR="00000000" w:rsidRDefault="00457650">
            <w:pPr>
              <w:widowControl/>
              <w:tabs>
                <w:tab w:val="left" w:pos="630"/>
              </w:tabs>
              <w:spacing w:line="340" w:lineRule="exact"/>
              <w:rPr>
                <w:rFonts w:hint="eastAsia"/>
                <w:sz w:val="18"/>
              </w:rPr>
            </w:pPr>
          </w:p>
        </w:tc>
        <w:tc>
          <w:tcPr>
            <w:tcW w:w="1039"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934 880</w:t>
            </w:r>
          </w:p>
        </w:tc>
        <w:tc>
          <w:tcPr>
            <w:tcW w:w="1583" w:type="pct"/>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241 889</w:t>
            </w:r>
          </w:p>
        </w:tc>
      </w:tr>
      <w:tr w:rsidR="00000000">
        <w:tc>
          <w:tcPr>
            <w:tcW w:w="4085" w:type="pct"/>
            <w:gridSpan w:val="3"/>
          </w:tcPr>
          <w:p w:rsidR="00000000" w:rsidRDefault="00457650" w:rsidP="00457650">
            <w:pPr>
              <w:pStyle w:val="a3"/>
              <w:widowControl/>
              <w:tabs>
                <w:tab w:val="left" w:pos="6252"/>
              </w:tabs>
              <w:adjustRightInd w:val="0"/>
              <w:spacing w:line="340" w:lineRule="exact"/>
              <w:ind w:firstLineChars="3206" w:firstLine="31680"/>
              <w:textAlignment w:val="baseline"/>
              <w:rPr>
                <w:rFonts w:hint="eastAsia"/>
              </w:rPr>
            </w:pPr>
            <w:r>
              <w:rPr>
                <w:rFonts w:hint="eastAsia"/>
                <w:kern w:val="0"/>
                <w:szCs w:val="20"/>
              </w:rPr>
              <w:sym w:font="Wingdings 2" w:char="F097"/>
            </w:r>
            <w:r>
              <w:rPr>
                <w:kern w:val="0"/>
                <w:szCs w:val="20"/>
              </w:rPr>
              <w:tab/>
            </w:r>
            <w:r>
              <w:rPr>
                <w:rFonts w:hint="eastAsia"/>
              </w:rPr>
              <w:t>一次性补偿</w:t>
            </w: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11 528</w:t>
            </w:r>
          </w:p>
        </w:tc>
      </w:tr>
      <w:tr w:rsidR="00000000">
        <w:tc>
          <w:tcPr>
            <w:tcW w:w="4085" w:type="pct"/>
            <w:gridSpan w:val="3"/>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11 101</w:t>
            </w:r>
          </w:p>
        </w:tc>
      </w:tr>
      <w:tr w:rsidR="00000000">
        <w:tc>
          <w:tcPr>
            <w:tcW w:w="4085" w:type="pct"/>
            <w:gridSpan w:val="3"/>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11 012</w:t>
            </w:r>
          </w:p>
        </w:tc>
      </w:tr>
      <w:tr w:rsidR="00000000">
        <w:tc>
          <w:tcPr>
            <w:tcW w:w="4085" w:type="pct"/>
            <w:gridSpan w:val="3"/>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9 891</w:t>
            </w:r>
          </w:p>
        </w:tc>
      </w:tr>
      <w:tr w:rsidR="00000000">
        <w:tc>
          <w:tcPr>
            <w:tcW w:w="4085" w:type="pct"/>
            <w:gridSpan w:val="3"/>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8 830</w:t>
            </w:r>
          </w:p>
        </w:tc>
      </w:tr>
      <w:tr w:rsidR="00000000">
        <w:tc>
          <w:tcPr>
            <w:tcW w:w="4085" w:type="pct"/>
            <w:gridSpan w:val="3"/>
          </w:tcPr>
          <w:p w:rsidR="00000000" w:rsidRDefault="00457650">
            <w:pPr>
              <w:widowControl/>
              <w:tabs>
                <w:tab w:val="left" w:pos="630"/>
              </w:tabs>
              <w:spacing w:line="340" w:lineRule="exact"/>
              <w:rPr>
                <w:rFonts w:hint="eastAsia"/>
                <w:sz w:val="18"/>
              </w:rPr>
            </w:pPr>
          </w:p>
        </w:tc>
        <w:tc>
          <w:tcPr>
            <w:tcW w:w="915" w:type="pct"/>
          </w:tcPr>
          <w:p w:rsidR="00000000" w:rsidRDefault="00457650" w:rsidP="00457650">
            <w:pPr>
              <w:pStyle w:val="a3"/>
              <w:widowControl/>
              <w:tabs>
                <w:tab w:val="left" w:pos="630"/>
              </w:tabs>
              <w:adjustRightInd w:val="0"/>
              <w:spacing w:line="340" w:lineRule="exact"/>
              <w:ind w:rightChars="236" w:right="31680"/>
              <w:jc w:val="right"/>
              <w:textAlignment w:val="baseline"/>
              <w:rPr>
                <w:rFonts w:hint="eastAsia"/>
                <w:kern w:val="0"/>
                <w:szCs w:val="20"/>
              </w:rPr>
            </w:pPr>
            <w:r>
              <w:rPr>
                <w:rFonts w:hint="eastAsia"/>
                <w:kern w:val="0"/>
                <w:szCs w:val="20"/>
              </w:rPr>
              <w:t>8 488</w:t>
            </w:r>
          </w:p>
        </w:tc>
      </w:tr>
    </w:tbl>
    <w:p w:rsidR="00000000" w:rsidRDefault="00457650">
      <w:pPr>
        <w:widowControl/>
        <w:tabs>
          <w:tab w:val="left" w:pos="630"/>
        </w:tabs>
        <w:spacing w:line="360" w:lineRule="exact"/>
        <w:rPr>
          <w:rFonts w:hint="eastAsia"/>
          <w:sz w:val="18"/>
        </w:rPr>
      </w:pPr>
      <w:r>
        <w:rPr>
          <w:rFonts w:hint="eastAsia"/>
          <w:sz w:val="18"/>
          <w:vertAlign w:val="superscript"/>
        </w:rPr>
        <w:t>1</w:t>
      </w:r>
      <w:r>
        <w:rPr>
          <w:rFonts w:hint="eastAsia"/>
          <w:sz w:val="18"/>
        </w:rPr>
        <w:t xml:space="preserve">  </w:t>
      </w:r>
      <w:r>
        <w:rPr>
          <w:rFonts w:hint="eastAsia"/>
          <w:sz w:val="18"/>
        </w:rPr>
        <w:t>初步数字。</w:t>
      </w:r>
    </w:p>
    <w:p w:rsidR="00000000" w:rsidRDefault="00457650">
      <w:pPr>
        <w:widowControl/>
        <w:tabs>
          <w:tab w:val="left" w:pos="630"/>
        </w:tabs>
        <w:spacing w:after="240" w:line="360" w:lineRule="exact"/>
        <w:rPr>
          <w:rFonts w:hint="eastAsia"/>
          <w:sz w:val="18"/>
        </w:rPr>
      </w:pPr>
      <w:r>
        <w:rPr>
          <w:rFonts w:eastAsia="KaiTi_GB2312" w:hint="eastAsia"/>
          <w:sz w:val="18"/>
        </w:rPr>
        <w:t>资料来源</w:t>
      </w:r>
      <w:r>
        <w:rPr>
          <w:rFonts w:hint="eastAsia"/>
          <w:sz w:val="18"/>
        </w:rPr>
        <w:t>：社会保障局，经济补助协调部。</w:t>
      </w:r>
    </w:p>
    <w:p w:rsidR="00000000" w:rsidRDefault="00457650">
      <w:pPr>
        <w:widowControl/>
        <w:tabs>
          <w:tab w:val="left" w:pos="630"/>
        </w:tabs>
        <w:spacing w:after="120" w:line="360" w:lineRule="exact"/>
        <w:jc w:val="center"/>
        <w:rPr>
          <w:rFonts w:ascii="SimHei" w:eastAsia="SimHei" w:hint="eastAsia"/>
        </w:rPr>
      </w:pPr>
      <w:r>
        <w:rPr>
          <w:rFonts w:ascii="SimHei" w:eastAsia="SimHei" w:hint="eastAsia"/>
        </w:rPr>
        <w:t>1998-2003</w:t>
      </w:r>
      <w:r>
        <w:rPr>
          <w:rFonts w:ascii="SimHei" w:eastAsia="SimHei" w:hint="eastAsia"/>
        </w:rPr>
        <w:t>年补助和资助</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2040"/>
        <w:gridCol w:w="3120"/>
        <w:gridCol w:w="1800"/>
      </w:tblGrid>
      <w:tr w:rsidR="00000000">
        <w:tc>
          <w:tcPr>
            <w:tcW w:w="4920" w:type="dxa"/>
            <w:gridSpan w:val="2"/>
          </w:tcPr>
          <w:p w:rsidR="00000000" w:rsidRDefault="00457650">
            <w:pPr>
              <w:widowControl/>
              <w:tabs>
                <w:tab w:val="left" w:pos="630"/>
              </w:tabs>
              <w:spacing w:line="320" w:lineRule="exact"/>
              <w:jc w:val="center"/>
              <w:rPr>
                <w:rFonts w:eastAsia="KaiTi_GB2312" w:hint="eastAsia"/>
                <w:sz w:val="18"/>
              </w:rPr>
            </w:pPr>
            <w:r>
              <w:rPr>
                <w:rFonts w:eastAsia="KaiTi_GB2312" w:hint="eastAsia"/>
                <w:sz w:val="18"/>
              </w:rPr>
              <w:t>补助</w:t>
            </w:r>
          </w:p>
        </w:tc>
        <w:tc>
          <w:tcPr>
            <w:tcW w:w="4920" w:type="dxa"/>
            <w:gridSpan w:val="2"/>
          </w:tcPr>
          <w:p w:rsidR="00000000" w:rsidRDefault="00457650">
            <w:pPr>
              <w:widowControl/>
              <w:tabs>
                <w:tab w:val="left" w:pos="630"/>
              </w:tabs>
              <w:spacing w:line="320" w:lineRule="exact"/>
              <w:jc w:val="center"/>
              <w:rPr>
                <w:rFonts w:eastAsia="KaiTi_GB2312" w:hint="eastAsia"/>
                <w:sz w:val="18"/>
              </w:rPr>
            </w:pPr>
            <w:r>
              <w:rPr>
                <w:rFonts w:eastAsia="KaiTi_GB2312" w:hint="eastAsia"/>
                <w:sz w:val="18"/>
              </w:rPr>
              <w:t>一般疾病</w:t>
            </w:r>
          </w:p>
        </w:tc>
      </w:tr>
      <w:tr w:rsidR="00000000">
        <w:tc>
          <w:tcPr>
            <w:tcW w:w="2880" w:type="dxa"/>
          </w:tcPr>
          <w:p w:rsidR="00000000" w:rsidRDefault="00457650">
            <w:pPr>
              <w:pStyle w:val="a3"/>
              <w:widowControl/>
              <w:tabs>
                <w:tab w:val="left" w:pos="372"/>
              </w:tabs>
              <w:adjustRightInd w:val="0"/>
              <w:spacing w:line="320" w:lineRule="exact"/>
              <w:textAlignment w:val="baseline"/>
              <w:rPr>
                <w:rFonts w:hint="eastAsia"/>
              </w:rPr>
            </w:pPr>
            <w:r>
              <w:rPr>
                <w:rFonts w:hint="eastAsia"/>
                <w:kern w:val="0"/>
                <w:szCs w:val="20"/>
              </w:rPr>
              <w:sym w:font="Wingdings 2" w:char="F097"/>
            </w:r>
            <w:r>
              <w:rPr>
                <w:kern w:val="0"/>
                <w:szCs w:val="20"/>
              </w:rPr>
              <w:tab/>
            </w:r>
            <w:r>
              <w:rPr>
                <w:rFonts w:hint="eastAsia"/>
              </w:rPr>
              <w:t>事例</w:t>
            </w: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4 878 095</w:t>
            </w:r>
          </w:p>
        </w:tc>
        <w:tc>
          <w:tcPr>
            <w:tcW w:w="3120" w:type="dxa"/>
          </w:tcPr>
          <w:p w:rsidR="00000000" w:rsidRDefault="00457650">
            <w:pPr>
              <w:pStyle w:val="a3"/>
              <w:widowControl/>
              <w:tabs>
                <w:tab w:val="left" w:pos="372"/>
              </w:tabs>
              <w:adjustRightInd w:val="0"/>
              <w:spacing w:line="320" w:lineRule="exact"/>
              <w:textAlignment w:val="baseline"/>
              <w:rPr>
                <w:rFonts w:hint="eastAsia"/>
                <w:kern w:val="0"/>
                <w:szCs w:val="20"/>
              </w:rPr>
            </w:pPr>
            <w:r>
              <w:rPr>
                <w:rFonts w:hint="eastAsia"/>
                <w:kern w:val="0"/>
                <w:szCs w:val="20"/>
              </w:rPr>
              <w:sym w:font="Wingdings 2" w:char="F097"/>
            </w:r>
            <w:r>
              <w:rPr>
                <w:kern w:val="0"/>
                <w:szCs w:val="20"/>
              </w:rPr>
              <w:tab/>
            </w:r>
            <w:r>
              <w:rPr>
                <w:rFonts w:hint="eastAsia"/>
                <w:kern w:val="0"/>
                <w:szCs w:val="20"/>
              </w:rPr>
              <w:t>事例</w:t>
            </w: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3 343 264</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5 053 676</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3 526 981</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5 189 053</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3 647 148</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4 867 280</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3 343 908</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4 620 46</w:t>
            </w:r>
            <w:r>
              <w:rPr>
                <w:rFonts w:hint="eastAsia"/>
                <w:kern w:val="0"/>
                <w:szCs w:val="20"/>
              </w:rPr>
              <w:t>3</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3 173 069</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4 417 884</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3 084 419</w:t>
            </w:r>
          </w:p>
        </w:tc>
      </w:tr>
      <w:tr w:rsidR="00000000">
        <w:tc>
          <w:tcPr>
            <w:tcW w:w="2880" w:type="dxa"/>
          </w:tcPr>
          <w:p w:rsidR="00000000" w:rsidRDefault="00457650">
            <w:pPr>
              <w:pStyle w:val="a3"/>
              <w:widowControl/>
              <w:tabs>
                <w:tab w:val="left" w:pos="372"/>
              </w:tabs>
              <w:adjustRightInd w:val="0"/>
              <w:spacing w:line="320" w:lineRule="exact"/>
              <w:textAlignment w:val="baseline"/>
              <w:rPr>
                <w:rFonts w:hint="eastAsia"/>
              </w:rPr>
            </w:pPr>
            <w:r>
              <w:rPr>
                <w:rFonts w:hint="eastAsia"/>
                <w:kern w:val="0"/>
                <w:szCs w:val="20"/>
              </w:rPr>
              <w:sym w:font="Wingdings 2" w:char="F097"/>
            </w:r>
            <w:r>
              <w:rPr>
                <w:kern w:val="0"/>
                <w:szCs w:val="20"/>
              </w:rPr>
              <w:tab/>
            </w:r>
            <w:r>
              <w:rPr>
                <w:rFonts w:hint="eastAsia"/>
              </w:rPr>
              <w:t>时间</w:t>
            </w: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49 375 781</w:t>
            </w:r>
          </w:p>
        </w:tc>
        <w:tc>
          <w:tcPr>
            <w:tcW w:w="3120" w:type="dxa"/>
          </w:tcPr>
          <w:p w:rsidR="00000000" w:rsidRDefault="00457650">
            <w:pPr>
              <w:pStyle w:val="a3"/>
              <w:widowControl/>
              <w:tabs>
                <w:tab w:val="left" w:pos="372"/>
              </w:tabs>
              <w:adjustRightInd w:val="0"/>
              <w:spacing w:line="320" w:lineRule="exact"/>
              <w:textAlignment w:val="baseline"/>
              <w:rPr>
                <w:rFonts w:hint="eastAsia"/>
              </w:rPr>
            </w:pPr>
            <w:r>
              <w:rPr>
                <w:rFonts w:hint="eastAsia"/>
                <w:kern w:val="0"/>
                <w:szCs w:val="20"/>
              </w:rPr>
              <w:sym w:font="Wingdings 2" w:char="F097"/>
            </w:r>
            <w:r>
              <w:rPr>
                <w:kern w:val="0"/>
                <w:szCs w:val="20"/>
              </w:rPr>
              <w:tab/>
            </w:r>
            <w:r>
              <w:rPr>
                <w:rFonts w:hint="eastAsia"/>
              </w:rPr>
              <w:t>时间</w:t>
            </w: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26 021 469</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51 529 182</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27 624 119</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53 763 012</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28 734 539</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51 690 738</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26 742 878</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49 779 141</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25 569 474</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47 004 950</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23 967 663</w:t>
            </w:r>
          </w:p>
        </w:tc>
      </w:tr>
      <w:tr w:rsidR="00000000">
        <w:tc>
          <w:tcPr>
            <w:tcW w:w="4920" w:type="dxa"/>
            <w:gridSpan w:val="2"/>
          </w:tcPr>
          <w:p w:rsidR="00000000" w:rsidRDefault="00457650">
            <w:pPr>
              <w:pStyle w:val="a3"/>
              <w:widowControl/>
              <w:tabs>
                <w:tab w:val="left" w:pos="372"/>
              </w:tabs>
              <w:adjustRightInd w:val="0"/>
              <w:spacing w:line="320" w:lineRule="exact"/>
              <w:textAlignment w:val="baseline"/>
              <w:rPr>
                <w:rFonts w:hint="eastAsia"/>
              </w:rPr>
            </w:pPr>
            <w:r>
              <w:rPr>
                <w:rFonts w:hint="eastAsia"/>
              </w:rPr>
              <w:t>职业危险</w:t>
            </w:r>
          </w:p>
        </w:tc>
        <w:tc>
          <w:tcPr>
            <w:tcW w:w="4920" w:type="dxa"/>
            <w:gridSpan w:val="2"/>
          </w:tcPr>
          <w:p w:rsidR="00000000" w:rsidRDefault="00457650">
            <w:pPr>
              <w:widowControl/>
              <w:tabs>
                <w:tab w:val="left" w:pos="630"/>
              </w:tabs>
              <w:spacing w:line="320" w:lineRule="exact"/>
              <w:rPr>
                <w:rFonts w:hint="eastAsia"/>
                <w:sz w:val="18"/>
              </w:rPr>
            </w:pPr>
            <w:r>
              <w:rPr>
                <w:rFonts w:hint="eastAsia"/>
                <w:sz w:val="18"/>
              </w:rPr>
              <w:t>生育</w:t>
            </w:r>
          </w:p>
        </w:tc>
      </w:tr>
      <w:tr w:rsidR="00000000">
        <w:tc>
          <w:tcPr>
            <w:tcW w:w="2880" w:type="dxa"/>
          </w:tcPr>
          <w:p w:rsidR="00000000" w:rsidRDefault="00457650">
            <w:pPr>
              <w:pStyle w:val="a3"/>
              <w:widowControl/>
              <w:tabs>
                <w:tab w:val="left" w:pos="372"/>
              </w:tabs>
              <w:adjustRightInd w:val="0"/>
              <w:spacing w:line="320" w:lineRule="exact"/>
              <w:textAlignment w:val="baseline"/>
              <w:rPr>
                <w:rFonts w:hint="eastAsia"/>
              </w:rPr>
            </w:pPr>
            <w:r>
              <w:rPr>
                <w:rFonts w:hint="eastAsia"/>
                <w:kern w:val="0"/>
                <w:szCs w:val="20"/>
              </w:rPr>
              <w:sym w:font="Wingdings 2" w:char="F097"/>
            </w:r>
            <w:r>
              <w:rPr>
                <w:kern w:val="0"/>
                <w:szCs w:val="20"/>
              </w:rPr>
              <w:tab/>
            </w:r>
            <w:r>
              <w:rPr>
                <w:rFonts w:hint="eastAsia"/>
              </w:rPr>
              <w:t>事例</w:t>
            </w: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1 148 263</w:t>
            </w:r>
          </w:p>
        </w:tc>
        <w:tc>
          <w:tcPr>
            <w:tcW w:w="3120" w:type="dxa"/>
          </w:tcPr>
          <w:p w:rsidR="00000000" w:rsidRDefault="00457650">
            <w:pPr>
              <w:pStyle w:val="a3"/>
              <w:widowControl/>
              <w:tabs>
                <w:tab w:val="left" w:pos="372"/>
              </w:tabs>
              <w:adjustRightInd w:val="0"/>
              <w:spacing w:line="320" w:lineRule="exact"/>
              <w:textAlignment w:val="baseline"/>
              <w:rPr>
                <w:rFonts w:hint="eastAsia"/>
              </w:rPr>
            </w:pPr>
            <w:r>
              <w:rPr>
                <w:rFonts w:hint="eastAsia"/>
                <w:kern w:val="0"/>
                <w:szCs w:val="20"/>
              </w:rPr>
              <w:sym w:font="Wingdings 2" w:char="F097"/>
            </w:r>
            <w:r>
              <w:rPr>
                <w:kern w:val="0"/>
                <w:szCs w:val="20"/>
              </w:rPr>
              <w:tab/>
            </w:r>
            <w:r>
              <w:rPr>
                <w:rFonts w:hint="eastAsia"/>
              </w:rPr>
              <w:t>事例</w:t>
            </w: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398 568</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1 121 241</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405 454</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1</w:t>
            </w:r>
            <w:r>
              <w:rPr>
                <w:rFonts w:hint="eastAsia"/>
                <w:kern w:val="0"/>
                <w:szCs w:val="20"/>
              </w:rPr>
              <w:t xml:space="preserve"> 107 599</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434 306</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1 077 063</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446 309</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1 006 389</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441 005</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 xml:space="preserve"> 899 499</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433 966</w:t>
            </w:r>
          </w:p>
        </w:tc>
      </w:tr>
      <w:tr w:rsidR="00000000">
        <w:tc>
          <w:tcPr>
            <w:tcW w:w="2880" w:type="dxa"/>
          </w:tcPr>
          <w:p w:rsidR="00000000" w:rsidRDefault="00457650">
            <w:pPr>
              <w:pStyle w:val="a3"/>
              <w:widowControl/>
              <w:tabs>
                <w:tab w:val="left" w:pos="372"/>
              </w:tabs>
              <w:adjustRightInd w:val="0"/>
              <w:spacing w:line="320" w:lineRule="exact"/>
              <w:textAlignment w:val="baseline"/>
              <w:rPr>
                <w:rFonts w:hint="eastAsia"/>
              </w:rPr>
            </w:pPr>
            <w:r>
              <w:rPr>
                <w:rFonts w:hint="eastAsia"/>
                <w:kern w:val="0"/>
                <w:szCs w:val="20"/>
              </w:rPr>
              <w:sym w:font="Wingdings 2" w:char="F097"/>
            </w:r>
            <w:r>
              <w:rPr>
                <w:kern w:val="0"/>
                <w:szCs w:val="20"/>
              </w:rPr>
              <w:tab/>
            </w:r>
            <w:r>
              <w:rPr>
                <w:rFonts w:hint="eastAsia"/>
              </w:rPr>
              <w:t>时间</w:t>
            </w: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9 387 341</w:t>
            </w:r>
          </w:p>
        </w:tc>
        <w:tc>
          <w:tcPr>
            <w:tcW w:w="3120" w:type="dxa"/>
          </w:tcPr>
          <w:p w:rsidR="00000000" w:rsidRDefault="00457650">
            <w:pPr>
              <w:pStyle w:val="a3"/>
              <w:widowControl/>
              <w:tabs>
                <w:tab w:val="left" w:pos="372"/>
              </w:tabs>
              <w:adjustRightInd w:val="0"/>
              <w:spacing w:line="320" w:lineRule="exact"/>
              <w:textAlignment w:val="baseline"/>
              <w:rPr>
                <w:rFonts w:hint="eastAsia"/>
              </w:rPr>
            </w:pPr>
            <w:r>
              <w:rPr>
                <w:rFonts w:hint="eastAsia"/>
                <w:kern w:val="0"/>
                <w:szCs w:val="20"/>
              </w:rPr>
              <w:sym w:font="Wingdings 2" w:char="F097"/>
            </w:r>
            <w:r>
              <w:rPr>
                <w:kern w:val="0"/>
                <w:szCs w:val="20"/>
              </w:rPr>
              <w:tab/>
            </w:r>
            <w:r>
              <w:rPr>
                <w:rFonts w:hint="eastAsia"/>
              </w:rPr>
              <w:t>时间</w:t>
            </w: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13 966 973</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9 240 694</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14 664 369</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9 109 674</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15 918 799</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8 571 204</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16 376 656</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rPr>
            </w:pPr>
            <w:r>
              <w:rPr>
                <w:rFonts w:hint="eastAsia"/>
              </w:rPr>
              <w:t>7 872 416</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16 337 251</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rPr>
            </w:pPr>
            <w:r>
              <w:rPr>
                <w:rFonts w:hint="eastAsia"/>
              </w:rPr>
              <w:t>6976 973</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rPr>
            </w:pPr>
            <w:r>
              <w:rPr>
                <w:rFonts w:hint="eastAsia"/>
                <w:kern w:val="0"/>
                <w:szCs w:val="20"/>
              </w:rPr>
              <w:t>16 060 315</w:t>
            </w:r>
          </w:p>
        </w:tc>
      </w:tr>
      <w:tr w:rsidR="00000000">
        <w:tc>
          <w:tcPr>
            <w:tcW w:w="4920" w:type="dxa"/>
            <w:gridSpan w:val="2"/>
          </w:tcPr>
          <w:p w:rsidR="00000000" w:rsidRDefault="00457650">
            <w:pPr>
              <w:widowControl/>
              <w:tabs>
                <w:tab w:val="left" w:pos="630"/>
              </w:tabs>
              <w:spacing w:line="320" w:lineRule="exact"/>
              <w:rPr>
                <w:rFonts w:hint="eastAsia"/>
                <w:sz w:val="18"/>
              </w:rPr>
            </w:pPr>
            <w:r>
              <w:rPr>
                <w:rFonts w:hint="eastAsia"/>
                <w:sz w:val="18"/>
              </w:rPr>
              <w:t>丧葬费补助</w:t>
            </w:r>
          </w:p>
        </w:tc>
        <w:tc>
          <w:tcPr>
            <w:tcW w:w="4920" w:type="dxa"/>
            <w:gridSpan w:val="2"/>
          </w:tcPr>
          <w:p w:rsidR="00000000" w:rsidRDefault="00457650">
            <w:pPr>
              <w:widowControl/>
              <w:tabs>
                <w:tab w:val="left" w:pos="630"/>
              </w:tabs>
              <w:spacing w:line="320" w:lineRule="exact"/>
              <w:rPr>
                <w:rFonts w:hint="eastAsia"/>
                <w:sz w:val="18"/>
              </w:rPr>
            </w:pPr>
            <w:r>
              <w:rPr>
                <w:rFonts w:hint="eastAsia"/>
                <w:sz w:val="18"/>
              </w:rPr>
              <w:t>结婚费用补助</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46 798</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7</w:t>
            </w:r>
            <w:r>
              <w:rPr>
                <w:rFonts w:hint="eastAsia"/>
                <w:kern w:val="0"/>
                <w:szCs w:val="20"/>
              </w:rPr>
              <w:t>5</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48 226</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53 579</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50 166</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60 073</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51 066</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64 191</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49 226</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58 505</w:t>
            </w:r>
          </w:p>
        </w:tc>
      </w:tr>
      <w:tr w:rsidR="00000000">
        <w:tc>
          <w:tcPr>
            <w:tcW w:w="2880" w:type="dxa"/>
          </w:tcPr>
          <w:p w:rsidR="00000000" w:rsidRDefault="00457650">
            <w:pPr>
              <w:widowControl/>
              <w:tabs>
                <w:tab w:val="left" w:pos="630"/>
              </w:tabs>
              <w:spacing w:line="320" w:lineRule="exact"/>
              <w:rPr>
                <w:rFonts w:hint="eastAsia"/>
                <w:sz w:val="18"/>
              </w:rPr>
            </w:pPr>
          </w:p>
        </w:tc>
        <w:tc>
          <w:tcPr>
            <w:tcW w:w="204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55 322</w:t>
            </w:r>
          </w:p>
        </w:tc>
        <w:tc>
          <w:tcPr>
            <w:tcW w:w="3120" w:type="dxa"/>
          </w:tcPr>
          <w:p w:rsidR="00000000" w:rsidRDefault="00457650">
            <w:pPr>
              <w:widowControl/>
              <w:tabs>
                <w:tab w:val="left" w:pos="630"/>
              </w:tabs>
              <w:spacing w:line="320" w:lineRule="exact"/>
              <w:rPr>
                <w:rFonts w:hint="eastAsia"/>
                <w:sz w:val="18"/>
              </w:rPr>
            </w:pPr>
          </w:p>
        </w:tc>
        <w:tc>
          <w:tcPr>
            <w:tcW w:w="1800" w:type="dxa"/>
          </w:tcPr>
          <w:p w:rsidR="00000000" w:rsidRDefault="00457650" w:rsidP="00457650">
            <w:pPr>
              <w:pStyle w:val="a3"/>
              <w:widowControl/>
              <w:tabs>
                <w:tab w:val="left" w:pos="630"/>
              </w:tabs>
              <w:adjustRightInd w:val="0"/>
              <w:spacing w:line="320" w:lineRule="exact"/>
              <w:ind w:rightChars="236" w:right="31680"/>
              <w:jc w:val="right"/>
              <w:textAlignment w:val="baseline"/>
              <w:rPr>
                <w:rFonts w:hint="eastAsia"/>
                <w:kern w:val="0"/>
                <w:szCs w:val="20"/>
              </w:rPr>
            </w:pPr>
            <w:r>
              <w:rPr>
                <w:rFonts w:hint="eastAsia"/>
                <w:kern w:val="0"/>
                <w:szCs w:val="20"/>
              </w:rPr>
              <w:t>64 203</w:t>
            </w:r>
          </w:p>
        </w:tc>
      </w:tr>
    </w:tbl>
    <w:p w:rsidR="00000000" w:rsidRDefault="00457650">
      <w:pPr>
        <w:widowControl/>
        <w:tabs>
          <w:tab w:val="left" w:pos="630"/>
        </w:tabs>
        <w:spacing w:line="360" w:lineRule="exact"/>
        <w:rPr>
          <w:rFonts w:hint="eastAsia"/>
          <w:sz w:val="18"/>
        </w:rPr>
      </w:pPr>
      <w:r>
        <w:rPr>
          <w:rFonts w:hint="eastAsia"/>
          <w:sz w:val="18"/>
          <w:vertAlign w:val="superscript"/>
        </w:rPr>
        <w:t>1</w:t>
      </w:r>
      <w:r>
        <w:rPr>
          <w:rFonts w:hint="eastAsia"/>
          <w:sz w:val="18"/>
        </w:rPr>
        <w:t xml:space="preserve"> </w:t>
      </w:r>
      <w:r>
        <w:rPr>
          <w:rFonts w:hint="eastAsia"/>
          <w:sz w:val="18"/>
        </w:rPr>
        <w:t>初步数字。</w:t>
      </w:r>
    </w:p>
    <w:p w:rsidR="00000000" w:rsidRDefault="00457650">
      <w:pPr>
        <w:widowControl/>
        <w:tabs>
          <w:tab w:val="left" w:pos="630"/>
        </w:tabs>
        <w:spacing w:after="240" w:line="360" w:lineRule="exact"/>
        <w:rPr>
          <w:rFonts w:hint="eastAsia"/>
          <w:sz w:val="18"/>
        </w:rPr>
      </w:pPr>
      <w:r>
        <w:rPr>
          <w:rFonts w:eastAsia="KaiTi_GB2312" w:hint="eastAsia"/>
          <w:sz w:val="18"/>
        </w:rPr>
        <w:t>资料来源</w:t>
      </w:r>
      <w:r>
        <w:rPr>
          <w:rFonts w:hint="eastAsia"/>
          <w:sz w:val="18"/>
        </w:rPr>
        <w:t>：社会保障局经济补助协调部。</w:t>
      </w:r>
    </w:p>
    <w:p w:rsidR="00000000" w:rsidRDefault="00457650">
      <w:pPr>
        <w:widowControl/>
        <w:tabs>
          <w:tab w:val="left" w:pos="630"/>
        </w:tabs>
        <w:spacing w:after="240" w:line="360" w:lineRule="exact"/>
        <w:rPr>
          <w:rFonts w:hint="eastAsia"/>
        </w:rPr>
      </w:pPr>
      <w:r>
        <w:rPr>
          <w:rFonts w:hint="eastAsia"/>
        </w:rPr>
        <w:t>329.</w:t>
      </w:r>
      <w:r>
        <w:rPr>
          <w:rFonts w:hint="eastAsia"/>
        </w:rPr>
        <w:tab/>
        <w:t>1996</w:t>
      </w:r>
      <w:r>
        <w:rPr>
          <w:rFonts w:hint="eastAsia"/>
        </w:rPr>
        <w:t>年</w:t>
      </w:r>
      <w:r>
        <w:rPr>
          <w:rFonts w:hint="eastAsia"/>
        </w:rPr>
        <w:t>11</w:t>
      </w:r>
      <w:r>
        <w:rPr>
          <w:rFonts w:hint="eastAsia"/>
        </w:rPr>
        <w:t>月</w:t>
      </w:r>
      <w:r>
        <w:rPr>
          <w:rFonts w:hint="eastAsia"/>
        </w:rPr>
        <w:t>21</w:t>
      </w:r>
      <w:r>
        <w:rPr>
          <w:rFonts w:hint="eastAsia"/>
        </w:rPr>
        <w:t>日和</w:t>
      </w:r>
      <w:r>
        <w:rPr>
          <w:rFonts w:hint="eastAsia"/>
        </w:rPr>
        <w:t>2001</w:t>
      </w:r>
      <w:r>
        <w:rPr>
          <w:rFonts w:hint="eastAsia"/>
        </w:rPr>
        <w:t>年</w:t>
      </w:r>
      <w:r>
        <w:rPr>
          <w:rFonts w:hint="eastAsia"/>
        </w:rPr>
        <w:t>12</w:t>
      </w:r>
      <w:r>
        <w:rPr>
          <w:rFonts w:hint="eastAsia"/>
        </w:rPr>
        <w:t>月</w:t>
      </w:r>
      <w:r>
        <w:rPr>
          <w:rFonts w:hint="eastAsia"/>
        </w:rPr>
        <w:t>21</w:t>
      </w:r>
      <w:r>
        <w:rPr>
          <w:rFonts w:hint="eastAsia"/>
        </w:rPr>
        <w:t>日《联邦政府公报》公布了对《社会保障法》的修改和补充，此后根据该法增加了如下几类养恤金：</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增加并调整参数，把根据</w:t>
      </w:r>
      <w:r>
        <w:rPr>
          <w:rFonts w:hint="eastAsia"/>
        </w:rPr>
        <w:t>1997</w:t>
      </w:r>
      <w:r>
        <w:rPr>
          <w:rFonts w:hint="eastAsia"/>
        </w:rPr>
        <w:t>年</w:t>
      </w:r>
      <w:r>
        <w:rPr>
          <w:rFonts w:hint="eastAsia"/>
        </w:rPr>
        <w:t>6</w:t>
      </w:r>
      <w:r>
        <w:rPr>
          <w:rFonts w:hint="eastAsia"/>
        </w:rPr>
        <w:t>月</w:t>
      </w:r>
      <w:r>
        <w:rPr>
          <w:rFonts w:hint="eastAsia"/>
        </w:rPr>
        <w:t>30</w:t>
      </w:r>
      <w:r>
        <w:rPr>
          <w:rFonts w:hint="eastAsia"/>
        </w:rPr>
        <w:t>日以前法案所发放的养恤金调整到现行法律规定的数额，也就是批准两个体系的养恤金参数同时增长，因此所有</w:t>
      </w:r>
      <w:r>
        <w:rPr>
          <w:rFonts w:hint="eastAsia"/>
        </w:rPr>
        <w:t>养恤金将经过调整与国家消费物价指数同步。</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增加两个体系下应支付的最低养恤金，也就是</w:t>
      </w:r>
      <w:r>
        <w:rPr>
          <w:rFonts w:hint="eastAsia"/>
        </w:rPr>
        <w:t>1973</w:t>
      </w:r>
      <w:r>
        <w:rPr>
          <w:rFonts w:hint="eastAsia"/>
        </w:rPr>
        <w:t>年法案和现行法案所规定的最低养恤金，对象是两个体系下处境最不利的群体，例如年龄在</w:t>
      </w:r>
      <w:r>
        <w:rPr>
          <w:rFonts w:hint="eastAsia"/>
        </w:rPr>
        <w:t>70</w:t>
      </w:r>
      <w:r>
        <w:rPr>
          <w:rFonts w:hint="eastAsia"/>
        </w:rPr>
        <w:t>岁以上的人，抚养</w:t>
      </w:r>
      <w:r>
        <w:rPr>
          <w:rFonts w:hint="eastAsia"/>
        </w:rPr>
        <w:t>18</w:t>
      </w:r>
      <w:r>
        <w:rPr>
          <w:rFonts w:hint="eastAsia"/>
        </w:rPr>
        <w:t>岁或不满</w:t>
      </w:r>
      <w:r>
        <w:rPr>
          <w:rFonts w:hint="eastAsia"/>
        </w:rPr>
        <w:t>18</w:t>
      </w:r>
      <w:r>
        <w:rPr>
          <w:rFonts w:hint="eastAsia"/>
        </w:rPr>
        <w:t>岁子女的丧偶者，完全的孤儿或有权获得养恤金的残疾孤儿。</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lang w:val="zh-CN"/>
        </w:rPr>
      </w:pPr>
      <w:r>
        <w:rPr>
          <w:rFonts w:hint="eastAsia"/>
        </w:rPr>
        <w:t>为回应社会的迫切要求，把所有低于最低工资两倍的丧偶者的养恤金从</w:t>
      </w:r>
      <w:r>
        <w:rPr>
          <w:rFonts w:hint="eastAsia"/>
        </w:rPr>
        <w:t>90%</w:t>
      </w:r>
      <w:r>
        <w:rPr>
          <w:rFonts w:hint="eastAsia"/>
        </w:rPr>
        <w:t>增加到</w:t>
      </w:r>
      <w:r>
        <w:rPr>
          <w:rFonts w:hint="eastAsia"/>
        </w:rPr>
        <w:t>100%</w:t>
      </w:r>
      <w:r>
        <w:rPr>
          <w:rFonts w:hint="eastAsia"/>
        </w:rPr>
        <w:t>（一切费用由联邦政府支付）。</w:t>
      </w:r>
    </w:p>
    <w:p w:rsidR="00000000" w:rsidRDefault="00457650">
      <w:pPr>
        <w:widowControl/>
        <w:tabs>
          <w:tab w:val="left" w:pos="630"/>
        </w:tabs>
        <w:spacing w:after="240" w:line="360" w:lineRule="exact"/>
        <w:rPr>
          <w:rFonts w:hint="eastAsia"/>
        </w:rPr>
      </w:pPr>
      <w:r>
        <w:rPr>
          <w:rFonts w:hint="eastAsia"/>
        </w:rPr>
        <w:t>330.</w:t>
      </w:r>
      <w:r>
        <w:rPr>
          <w:rFonts w:hint="eastAsia"/>
        </w:rPr>
        <w:tab/>
      </w:r>
      <w:r>
        <w:rPr>
          <w:rFonts w:hint="eastAsia"/>
        </w:rPr>
        <w:t>关于上述日托中心，儿童看护服务包括儿童的清洁、食物、卫生保健、教育和娱乐。</w:t>
      </w:r>
    </w:p>
    <w:p w:rsidR="00000000" w:rsidRDefault="00457650">
      <w:pPr>
        <w:widowControl/>
        <w:tabs>
          <w:tab w:val="left" w:pos="630"/>
        </w:tabs>
        <w:spacing w:after="240" w:line="360" w:lineRule="exact"/>
        <w:rPr>
          <w:rFonts w:hint="eastAsia"/>
        </w:rPr>
      </w:pPr>
      <w:r>
        <w:rPr>
          <w:rFonts w:hint="eastAsia"/>
        </w:rPr>
        <w:t>331.</w:t>
      </w:r>
      <w:r>
        <w:rPr>
          <w:rFonts w:hint="eastAsia"/>
        </w:rPr>
        <w:tab/>
      </w:r>
      <w:r>
        <w:rPr>
          <w:rFonts w:hint="eastAsia"/>
        </w:rPr>
        <w:t>日托可以分早班和晚班；上夜班的妇女其子女可</w:t>
      </w:r>
      <w:r>
        <w:rPr>
          <w:rFonts w:hint="eastAsia"/>
        </w:rPr>
        <w:t>以进入任何一个班。</w:t>
      </w:r>
      <w:r>
        <w:rPr>
          <w:rFonts w:hint="eastAsia"/>
        </w:rPr>
        <w:t>2001</w:t>
      </w:r>
      <w:r>
        <w:rPr>
          <w:rFonts w:hint="eastAsia"/>
        </w:rPr>
        <w:t>年修改的《社会保障法》为夜班工人行使权利使用日托中心提供了更多的机会。</w:t>
      </w:r>
    </w:p>
    <w:p w:rsidR="00000000" w:rsidRDefault="00457650">
      <w:pPr>
        <w:widowControl/>
        <w:tabs>
          <w:tab w:val="left" w:pos="630"/>
        </w:tabs>
        <w:spacing w:after="240" w:line="360" w:lineRule="exact"/>
        <w:rPr>
          <w:rFonts w:hint="eastAsia"/>
        </w:rPr>
      </w:pPr>
      <w:r>
        <w:rPr>
          <w:rFonts w:hint="eastAsia"/>
        </w:rPr>
        <w:t>332.</w:t>
      </w:r>
      <w:r>
        <w:rPr>
          <w:rFonts w:hint="eastAsia"/>
        </w:rPr>
        <w:tab/>
      </w:r>
      <w:r>
        <w:rPr>
          <w:rFonts w:hint="eastAsia"/>
        </w:rPr>
        <w:t>在靠近工作中心和居民区的方便之处和强制实行的地点，设立提供日托服务的专门设施。</w:t>
      </w:r>
    </w:p>
    <w:p w:rsidR="00000000" w:rsidRDefault="00457650">
      <w:pPr>
        <w:widowControl/>
        <w:tabs>
          <w:tab w:val="left" w:pos="630"/>
        </w:tabs>
        <w:spacing w:after="240" w:line="360" w:lineRule="exact"/>
        <w:rPr>
          <w:rFonts w:hint="eastAsia"/>
        </w:rPr>
      </w:pPr>
      <w:r>
        <w:rPr>
          <w:rFonts w:hint="eastAsia"/>
        </w:rPr>
        <w:t>333.</w:t>
      </w:r>
      <w:r>
        <w:rPr>
          <w:rFonts w:hint="eastAsia"/>
        </w:rPr>
        <w:tab/>
        <w:t>2000</w:t>
      </w:r>
      <w:r>
        <w:rPr>
          <w:rFonts w:hint="eastAsia"/>
        </w:rPr>
        <w:t>年至</w:t>
      </w:r>
      <w:r>
        <w:rPr>
          <w:rFonts w:hint="eastAsia"/>
        </w:rPr>
        <w:t>2003</w:t>
      </w:r>
      <w:r>
        <w:rPr>
          <w:rFonts w:hint="eastAsia"/>
        </w:rPr>
        <w:t>年，日托中心的数量增加了</w:t>
      </w:r>
      <w:r>
        <w:rPr>
          <w:rFonts w:hint="eastAsia"/>
        </w:rPr>
        <w:t>420</w:t>
      </w:r>
      <w:r>
        <w:rPr>
          <w:rFonts w:hint="eastAsia"/>
        </w:rPr>
        <w:t>个，接纳能力为</w:t>
      </w:r>
      <w:r>
        <w:rPr>
          <w:rFonts w:hint="eastAsia"/>
        </w:rPr>
        <w:t>78 673</w:t>
      </w:r>
      <w:r>
        <w:rPr>
          <w:rFonts w:hint="eastAsia"/>
        </w:rPr>
        <w:t>个托位，分别增加了</w:t>
      </w:r>
      <w:r>
        <w:rPr>
          <w:rFonts w:hint="eastAsia"/>
        </w:rPr>
        <w:t>47%</w:t>
      </w:r>
      <w:r>
        <w:rPr>
          <w:rFonts w:hint="eastAsia"/>
        </w:rPr>
        <w:t>和</w:t>
      </w:r>
      <w:r>
        <w:rPr>
          <w:rFonts w:hint="eastAsia"/>
        </w:rPr>
        <w:t>76%</w:t>
      </w:r>
      <w:r>
        <w:rPr>
          <w:rFonts w:hint="eastAsia"/>
        </w:rPr>
        <w:t>。</w:t>
      </w:r>
    </w:p>
    <w:p w:rsidR="00000000" w:rsidRDefault="00457650">
      <w:pPr>
        <w:widowControl/>
        <w:tabs>
          <w:tab w:val="left" w:pos="630"/>
        </w:tabs>
        <w:spacing w:after="240" w:line="360" w:lineRule="exact"/>
        <w:jc w:val="center"/>
        <w:rPr>
          <w:rFonts w:ascii="SimHei" w:eastAsia="SimHei" w:hint="eastAsia"/>
        </w:rPr>
      </w:pPr>
      <w:r>
        <w:rPr>
          <w:rFonts w:ascii="SimHei" w:eastAsia="SimHei" w:hint="eastAsia"/>
        </w:rPr>
        <w:t>2000-2003</w:t>
      </w:r>
      <w:r>
        <w:rPr>
          <w:rFonts w:ascii="SimHei" w:eastAsia="SimHei" w:hint="eastAsia"/>
        </w:rPr>
        <w:t>年社会保障局日托中心数量和接纳能力</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482"/>
        <w:gridCol w:w="3240"/>
      </w:tblGrid>
      <w:tr w:rsidR="00000000">
        <w:trPr>
          <w:tblHeader/>
        </w:trPr>
        <w:tc>
          <w:tcPr>
            <w:tcW w:w="1585" w:type="pct"/>
          </w:tcPr>
          <w:p w:rsidR="00000000" w:rsidRDefault="00457650">
            <w:pPr>
              <w:widowControl/>
              <w:tabs>
                <w:tab w:val="left" w:pos="630"/>
              </w:tabs>
              <w:spacing w:line="340" w:lineRule="exact"/>
              <w:jc w:val="center"/>
              <w:rPr>
                <w:rFonts w:eastAsia="KaiTi_GB2312" w:hint="eastAsia"/>
                <w:sz w:val="18"/>
              </w:rPr>
            </w:pPr>
            <w:r>
              <w:rPr>
                <w:rFonts w:eastAsia="KaiTi_GB2312" w:hint="eastAsia"/>
                <w:sz w:val="18"/>
              </w:rPr>
              <w:t>年度</w:t>
            </w:r>
          </w:p>
        </w:tc>
        <w:tc>
          <w:tcPr>
            <w:tcW w:w="1769" w:type="pct"/>
          </w:tcPr>
          <w:p w:rsidR="00000000" w:rsidRDefault="00457650">
            <w:pPr>
              <w:widowControl/>
              <w:tabs>
                <w:tab w:val="left" w:pos="630"/>
              </w:tabs>
              <w:spacing w:line="340" w:lineRule="exact"/>
              <w:jc w:val="center"/>
              <w:rPr>
                <w:rFonts w:eastAsia="KaiTi_GB2312" w:hint="eastAsia"/>
                <w:sz w:val="18"/>
              </w:rPr>
            </w:pPr>
            <w:r>
              <w:rPr>
                <w:rFonts w:eastAsia="KaiTi_GB2312" w:hint="eastAsia"/>
                <w:sz w:val="18"/>
              </w:rPr>
              <w:t>项目</w:t>
            </w:r>
          </w:p>
        </w:tc>
        <w:tc>
          <w:tcPr>
            <w:tcW w:w="1646" w:type="pct"/>
          </w:tcPr>
          <w:p w:rsidR="00000000" w:rsidRDefault="00457650">
            <w:pPr>
              <w:widowControl/>
              <w:tabs>
                <w:tab w:val="left" w:pos="630"/>
              </w:tabs>
              <w:spacing w:line="340" w:lineRule="exact"/>
              <w:jc w:val="center"/>
              <w:rPr>
                <w:rFonts w:eastAsia="KaiTi_GB2312" w:hint="eastAsia"/>
                <w:sz w:val="18"/>
              </w:rPr>
            </w:pPr>
            <w:r>
              <w:rPr>
                <w:rFonts w:eastAsia="KaiTi_GB2312" w:hint="eastAsia"/>
                <w:sz w:val="18"/>
              </w:rPr>
              <w:t>数量</w:t>
            </w:r>
          </w:p>
        </w:tc>
      </w:tr>
      <w:tr w:rsidR="00000000">
        <w:trPr>
          <w:cantSplit/>
        </w:trPr>
        <w:tc>
          <w:tcPr>
            <w:tcW w:w="1585" w:type="pct"/>
            <w:vMerge w:val="restart"/>
          </w:tcPr>
          <w:p w:rsidR="00000000" w:rsidRDefault="00457650">
            <w:pPr>
              <w:widowControl/>
              <w:tabs>
                <w:tab w:val="left" w:pos="630"/>
              </w:tabs>
              <w:spacing w:line="340" w:lineRule="exact"/>
              <w:rPr>
                <w:rFonts w:hint="eastAsia"/>
                <w:sz w:val="18"/>
              </w:rPr>
            </w:pPr>
            <w:r>
              <w:rPr>
                <w:rFonts w:hint="eastAsia"/>
                <w:sz w:val="18"/>
              </w:rPr>
              <w:t>2000</w:t>
            </w:r>
            <w:r>
              <w:rPr>
                <w:rFonts w:hint="eastAsia"/>
                <w:sz w:val="18"/>
              </w:rPr>
              <w:t>年</w:t>
            </w:r>
          </w:p>
        </w:tc>
        <w:tc>
          <w:tcPr>
            <w:tcW w:w="1769" w:type="pct"/>
          </w:tcPr>
          <w:p w:rsidR="00000000" w:rsidRDefault="00457650">
            <w:pPr>
              <w:pStyle w:val="a3"/>
              <w:widowControl/>
              <w:tabs>
                <w:tab w:val="left" w:pos="630"/>
              </w:tabs>
              <w:adjustRightInd w:val="0"/>
              <w:spacing w:line="340" w:lineRule="exact"/>
              <w:textAlignment w:val="baseline"/>
              <w:rPr>
                <w:rFonts w:hint="eastAsia"/>
                <w:kern w:val="0"/>
                <w:szCs w:val="20"/>
              </w:rPr>
            </w:pPr>
            <w:r>
              <w:rPr>
                <w:rFonts w:hint="eastAsia"/>
                <w:kern w:val="0"/>
                <w:szCs w:val="20"/>
              </w:rPr>
              <w:t>单位</w:t>
            </w:r>
          </w:p>
        </w:tc>
        <w:tc>
          <w:tcPr>
            <w:tcW w:w="1646" w:type="pct"/>
          </w:tcPr>
          <w:p w:rsidR="00000000" w:rsidRDefault="00457650" w:rsidP="00457650">
            <w:pPr>
              <w:widowControl/>
              <w:tabs>
                <w:tab w:val="left" w:pos="630"/>
              </w:tabs>
              <w:spacing w:line="340" w:lineRule="exact"/>
              <w:ind w:rightChars="577" w:right="31680"/>
              <w:jc w:val="right"/>
              <w:rPr>
                <w:rFonts w:hint="eastAsia"/>
                <w:sz w:val="18"/>
              </w:rPr>
            </w:pPr>
            <w:r>
              <w:rPr>
                <w:rFonts w:hint="eastAsia"/>
                <w:sz w:val="18"/>
              </w:rPr>
              <w:t>899</w:t>
            </w:r>
          </w:p>
        </w:tc>
      </w:tr>
      <w:tr w:rsidR="00000000">
        <w:trPr>
          <w:cantSplit/>
        </w:trPr>
        <w:tc>
          <w:tcPr>
            <w:tcW w:w="1585" w:type="pct"/>
            <w:vMerge/>
          </w:tcPr>
          <w:p w:rsidR="00000000" w:rsidRDefault="00457650">
            <w:pPr>
              <w:widowControl/>
              <w:tabs>
                <w:tab w:val="left" w:pos="630"/>
              </w:tabs>
              <w:spacing w:line="340" w:lineRule="exact"/>
              <w:rPr>
                <w:rFonts w:hint="eastAsia"/>
                <w:sz w:val="18"/>
              </w:rPr>
            </w:pPr>
          </w:p>
        </w:tc>
        <w:tc>
          <w:tcPr>
            <w:tcW w:w="1769" w:type="pct"/>
          </w:tcPr>
          <w:p w:rsidR="00000000" w:rsidRDefault="00457650">
            <w:pPr>
              <w:widowControl/>
              <w:tabs>
                <w:tab w:val="left" w:pos="630"/>
              </w:tabs>
              <w:spacing w:line="340" w:lineRule="exact"/>
              <w:rPr>
                <w:rFonts w:hint="eastAsia"/>
                <w:sz w:val="18"/>
              </w:rPr>
            </w:pPr>
            <w:r>
              <w:rPr>
                <w:rFonts w:hint="eastAsia"/>
                <w:sz w:val="18"/>
              </w:rPr>
              <w:t>接纳能力（托位）</w:t>
            </w:r>
          </w:p>
        </w:tc>
        <w:tc>
          <w:tcPr>
            <w:tcW w:w="1646" w:type="pct"/>
          </w:tcPr>
          <w:p w:rsidR="00000000" w:rsidRDefault="00457650" w:rsidP="00457650">
            <w:pPr>
              <w:widowControl/>
              <w:tabs>
                <w:tab w:val="left" w:pos="630"/>
              </w:tabs>
              <w:spacing w:line="340" w:lineRule="exact"/>
              <w:ind w:rightChars="577" w:right="31680"/>
              <w:jc w:val="right"/>
              <w:rPr>
                <w:rFonts w:hint="eastAsia"/>
                <w:sz w:val="18"/>
              </w:rPr>
            </w:pPr>
            <w:r>
              <w:rPr>
                <w:rFonts w:hint="eastAsia"/>
                <w:sz w:val="18"/>
              </w:rPr>
              <w:t>103 299</w:t>
            </w:r>
          </w:p>
        </w:tc>
      </w:tr>
      <w:tr w:rsidR="00000000">
        <w:trPr>
          <w:cantSplit/>
        </w:trPr>
        <w:tc>
          <w:tcPr>
            <w:tcW w:w="1585" w:type="pct"/>
            <w:vMerge w:val="restart"/>
          </w:tcPr>
          <w:p w:rsidR="00000000" w:rsidRDefault="00457650">
            <w:pPr>
              <w:widowControl/>
              <w:tabs>
                <w:tab w:val="left" w:pos="630"/>
              </w:tabs>
              <w:spacing w:line="340" w:lineRule="exact"/>
              <w:rPr>
                <w:rFonts w:hint="eastAsia"/>
                <w:sz w:val="18"/>
              </w:rPr>
            </w:pPr>
            <w:r>
              <w:rPr>
                <w:rFonts w:hint="eastAsia"/>
                <w:sz w:val="18"/>
              </w:rPr>
              <w:t>2001</w:t>
            </w:r>
            <w:r>
              <w:rPr>
                <w:rFonts w:hint="eastAsia"/>
                <w:sz w:val="18"/>
              </w:rPr>
              <w:t>年</w:t>
            </w:r>
          </w:p>
        </w:tc>
        <w:tc>
          <w:tcPr>
            <w:tcW w:w="1769" w:type="pct"/>
          </w:tcPr>
          <w:p w:rsidR="00000000" w:rsidRDefault="00457650">
            <w:pPr>
              <w:widowControl/>
              <w:tabs>
                <w:tab w:val="left" w:pos="630"/>
              </w:tabs>
              <w:spacing w:line="340" w:lineRule="exact"/>
              <w:rPr>
                <w:rFonts w:hint="eastAsia"/>
                <w:sz w:val="18"/>
              </w:rPr>
            </w:pPr>
            <w:r>
              <w:rPr>
                <w:rFonts w:hint="eastAsia"/>
                <w:sz w:val="18"/>
              </w:rPr>
              <w:t>单位</w:t>
            </w:r>
          </w:p>
        </w:tc>
        <w:tc>
          <w:tcPr>
            <w:tcW w:w="1646" w:type="pct"/>
          </w:tcPr>
          <w:p w:rsidR="00000000" w:rsidRDefault="00457650" w:rsidP="00457650">
            <w:pPr>
              <w:widowControl/>
              <w:tabs>
                <w:tab w:val="left" w:pos="630"/>
              </w:tabs>
              <w:spacing w:line="340" w:lineRule="exact"/>
              <w:ind w:rightChars="577" w:right="31680"/>
              <w:jc w:val="right"/>
              <w:rPr>
                <w:rFonts w:hint="eastAsia"/>
                <w:sz w:val="18"/>
              </w:rPr>
            </w:pPr>
            <w:r>
              <w:rPr>
                <w:rFonts w:hint="eastAsia"/>
                <w:sz w:val="18"/>
              </w:rPr>
              <w:t>1 175</w:t>
            </w:r>
          </w:p>
        </w:tc>
      </w:tr>
      <w:tr w:rsidR="00000000">
        <w:trPr>
          <w:cantSplit/>
        </w:trPr>
        <w:tc>
          <w:tcPr>
            <w:tcW w:w="1585" w:type="pct"/>
            <w:vMerge/>
          </w:tcPr>
          <w:p w:rsidR="00000000" w:rsidRDefault="00457650">
            <w:pPr>
              <w:widowControl/>
              <w:tabs>
                <w:tab w:val="left" w:pos="630"/>
              </w:tabs>
              <w:spacing w:line="340" w:lineRule="exact"/>
              <w:rPr>
                <w:rFonts w:hint="eastAsia"/>
                <w:sz w:val="18"/>
              </w:rPr>
            </w:pPr>
          </w:p>
        </w:tc>
        <w:tc>
          <w:tcPr>
            <w:tcW w:w="1769" w:type="pct"/>
          </w:tcPr>
          <w:p w:rsidR="00000000" w:rsidRDefault="00457650">
            <w:pPr>
              <w:widowControl/>
              <w:tabs>
                <w:tab w:val="left" w:pos="630"/>
              </w:tabs>
              <w:spacing w:line="340" w:lineRule="exact"/>
              <w:rPr>
                <w:rFonts w:hint="eastAsia"/>
                <w:sz w:val="18"/>
              </w:rPr>
            </w:pPr>
            <w:r>
              <w:rPr>
                <w:rFonts w:hint="eastAsia"/>
                <w:sz w:val="18"/>
              </w:rPr>
              <w:t>接纳能力（托位）</w:t>
            </w:r>
          </w:p>
        </w:tc>
        <w:tc>
          <w:tcPr>
            <w:tcW w:w="1646" w:type="pct"/>
          </w:tcPr>
          <w:p w:rsidR="00000000" w:rsidRDefault="00457650" w:rsidP="00457650">
            <w:pPr>
              <w:widowControl/>
              <w:tabs>
                <w:tab w:val="left" w:pos="630"/>
              </w:tabs>
              <w:spacing w:line="340" w:lineRule="exact"/>
              <w:ind w:rightChars="577" w:right="31680"/>
              <w:jc w:val="right"/>
              <w:rPr>
                <w:rFonts w:hint="eastAsia"/>
                <w:sz w:val="18"/>
              </w:rPr>
            </w:pPr>
            <w:r>
              <w:rPr>
                <w:rFonts w:hint="eastAsia"/>
                <w:sz w:val="18"/>
              </w:rPr>
              <w:t>140 7</w:t>
            </w:r>
            <w:r>
              <w:rPr>
                <w:rFonts w:hint="eastAsia"/>
                <w:sz w:val="18"/>
              </w:rPr>
              <w:t>61</w:t>
            </w:r>
          </w:p>
        </w:tc>
      </w:tr>
      <w:tr w:rsidR="00000000">
        <w:trPr>
          <w:cantSplit/>
        </w:trPr>
        <w:tc>
          <w:tcPr>
            <w:tcW w:w="1585" w:type="pct"/>
            <w:vMerge w:val="restart"/>
          </w:tcPr>
          <w:p w:rsidR="00000000" w:rsidRDefault="00457650">
            <w:pPr>
              <w:widowControl/>
              <w:tabs>
                <w:tab w:val="left" w:pos="630"/>
              </w:tabs>
              <w:spacing w:line="340" w:lineRule="exact"/>
              <w:rPr>
                <w:rFonts w:hint="eastAsia"/>
                <w:sz w:val="18"/>
              </w:rPr>
            </w:pPr>
            <w:r>
              <w:rPr>
                <w:rFonts w:hint="eastAsia"/>
                <w:sz w:val="18"/>
              </w:rPr>
              <w:t>2002</w:t>
            </w:r>
            <w:r>
              <w:rPr>
                <w:rFonts w:hint="eastAsia"/>
                <w:sz w:val="18"/>
              </w:rPr>
              <w:t>年</w:t>
            </w:r>
          </w:p>
        </w:tc>
        <w:tc>
          <w:tcPr>
            <w:tcW w:w="1769" w:type="pct"/>
          </w:tcPr>
          <w:p w:rsidR="00000000" w:rsidRDefault="00457650">
            <w:pPr>
              <w:widowControl/>
              <w:tabs>
                <w:tab w:val="left" w:pos="630"/>
              </w:tabs>
              <w:spacing w:line="340" w:lineRule="exact"/>
              <w:rPr>
                <w:rFonts w:hint="eastAsia"/>
                <w:sz w:val="18"/>
              </w:rPr>
            </w:pPr>
            <w:r>
              <w:rPr>
                <w:rFonts w:hint="eastAsia"/>
                <w:sz w:val="18"/>
              </w:rPr>
              <w:t>单位</w:t>
            </w:r>
          </w:p>
        </w:tc>
        <w:tc>
          <w:tcPr>
            <w:tcW w:w="1646" w:type="pct"/>
          </w:tcPr>
          <w:p w:rsidR="00000000" w:rsidRDefault="00457650" w:rsidP="00457650">
            <w:pPr>
              <w:widowControl/>
              <w:tabs>
                <w:tab w:val="left" w:pos="630"/>
              </w:tabs>
              <w:spacing w:line="340" w:lineRule="exact"/>
              <w:ind w:rightChars="577" w:right="31680"/>
              <w:jc w:val="right"/>
              <w:rPr>
                <w:rFonts w:hint="eastAsia"/>
                <w:sz w:val="18"/>
              </w:rPr>
            </w:pPr>
            <w:r>
              <w:rPr>
                <w:rFonts w:hint="eastAsia"/>
                <w:sz w:val="18"/>
              </w:rPr>
              <w:t>1 163</w:t>
            </w:r>
          </w:p>
        </w:tc>
      </w:tr>
      <w:tr w:rsidR="00000000">
        <w:trPr>
          <w:cantSplit/>
        </w:trPr>
        <w:tc>
          <w:tcPr>
            <w:tcW w:w="1585" w:type="pct"/>
            <w:vMerge/>
          </w:tcPr>
          <w:p w:rsidR="00000000" w:rsidRDefault="00457650">
            <w:pPr>
              <w:widowControl/>
              <w:tabs>
                <w:tab w:val="left" w:pos="630"/>
              </w:tabs>
              <w:spacing w:line="340" w:lineRule="exact"/>
              <w:rPr>
                <w:rFonts w:hint="eastAsia"/>
                <w:sz w:val="18"/>
              </w:rPr>
            </w:pPr>
          </w:p>
        </w:tc>
        <w:tc>
          <w:tcPr>
            <w:tcW w:w="1769" w:type="pct"/>
          </w:tcPr>
          <w:p w:rsidR="00000000" w:rsidRDefault="00457650">
            <w:pPr>
              <w:widowControl/>
              <w:tabs>
                <w:tab w:val="left" w:pos="630"/>
              </w:tabs>
              <w:spacing w:line="340" w:lineRule="exact"/>
              <w:rPr>
                <w:rFonts w:hint="eastAsia"/>
                <w:sz w:val="18"/>
              </w:rPr>
            </w:pPr>
            <w:r>
              <w:rPr>
                <w:rFonts w:hint="eastAsia"/>
                <w:sz w:val="18"/>
              </w:rPr>
              <w:t>接纳能力（托位）</w:t>
            </w:r>
          </w:p>
        </w:tc>
        <w:tc>
          <w:tcPr>
            <w:tcW w:w="1646" w:type="pct"/>
          </w:tcPr>
          <w:p w:rsidR="00000000" w:rsidRDefault="00457650" w:rsidP="00457650">
            <w:pPr>
              <w:widowControl/>
              <w:tabs>
                <w:tab w:val="left" w:pos="630"/>
              </w:tabs>
              <w:spacing w:line="340" w:lineRule="exact"/>
              <w:ind w:rightChars="577" w:right="31680"/>
              <w:jc w:val="right"/>
              <w:rPr>
                <w:rFonts w:hint="eastAsia"/>
                <w:sz w:val="18"/>
              </w:rPr>
            </w:pPr>
            <w:r>
              <w:rPr>
                <w:rFonts w:hint="eastAsia"/>
                <w:sz w:val="18"/>
              </w:rPr>
              <w:t>140 270</w:t>
            </w:r>
          </w:p>
        </w:tc>
      </w:tr>
      <w:tr w:rsidR="00000000">
        <w:trPr>
          <w:cantSplit/>
        </w:trPr>
        <w:tc>
          <w:tcPr>
            <w:tcW w:w="1585" w:type="pct"/>
            <w:vMerge w:val="restart"/>
          </w:tcPr>
          <w:p w:rsidR="00000000" w:rsidRDefault="00457650">
            <w:pPr>
              <w:widowControl/>
              <w:tabs>
                <w:tab w:val="left" w:pos="630"/>
              </w:tabs>
              <w:spacing w:line="340" w:lineRule="exact"/>
              <w:rPr>
                <w:rFonts w:hint="eastAsia"/>
                <w:sz w:val="18"/>
              </w:rPr>
            </w:pPr>
            <w:r>
              <w:rPr>
                <w:rFonts w:hint="eastAsia"/>
                <w:sz w:val="18"/>
              </w:rPr>
              <w:t>2003</w:t>
            </w:r>
            <w:r>
              <w:rPr>
                <w:rFonts w:hint="eastAsia"/>
                <w:sz w:val="18"/>
              </w:rPr>
              <w:t>年</w:t>
            </w:r>
          </w:p>
        </w:tc>
        <w:tc>
          <w:tcPr>
            <w:tcW w:w="1769" w:type="pct"/>
          </w:tcPr>
          <w:p w:rsidR="00000000" w:rsidRDefault="00457650">
            <w:pPr>
              <w:widowControl/>
              <w:tabs>
                <w:tab w:val="left" w:pos="630"/>
              </w:tabs>
              <w:spacing w:line="340" w:lineRule="exact"/>
              <w:rPr>
                <w:rFonts w:hint="eastAsia"/>
                <w:sz w:val="18"/>
              </w:rPr>
            </w:pPr>
            <w:r>
              <w:rPr>
                <w:rFonts w:hint="eastAsia"/>
                <w:sz w:val="18"/>
              </w:rPr>
              <w:t>单位</w:t>
            </w:r>
          </w:p>
        </w:tc>
        <w:tc>
          <w:tcPr>
            <w:tcW w:w="1646" w:type="pct"/>
          </w:tcPr>
          <w:p w:rsidR="00000000" w:rsidRDefault="00457650" w:rsidP="00457650">
            <w:pPr>
              <w:widowControl/>
              <w:tabs>
                <w:tab w:val="left" w:pos="630"/>
              </w:tabs>
              <w:spacing w:line="340" w:lineRule="exact"/>
              <w:ind w:rightChars="577" w:right="31680"/>
              <w:jc w:val="right"/>
              <w:rPr>
                <w:rFonts w:hint="eastAsia"/>
                <w:sz w:val="18"/>
              </w:rPr>
            </w:pPr>
            <w:r>
              <w:rPr>
                <w:rFonts w:hint="eastAsia"/>
                <w:sz w:val="18"/>
              </w:rPr>
              <w:t>1 319</w:t>
            </w:r>
          </w:p>
        </w:tc>
      </w:tr>
      <w:tr w:rsidR="00000000">
        <w:trPr>
          <w:cantSplit/>
        </w:trPr>
        <w:tc>
          <w:tcPr>
            <w:tcW w:w="1585" w:type="pct"/>
            <w:vMerge/>
          </w:tcPr>
          <w:p w:rsidR="00000000" w:rsidRDefault="00457650">
            <w:pPr>
              <w:widowControl/>
              <w:tabs>
                <w:tab w:val="left" w:pos="630"/>
              </w:tabs>
              <w:spacing w:line="340" w:lineRule="exact"/>
              <w:rPr>
                <w:rFonts w:hint="eastAsia"/>
                <w:sz w:val="18"/>
              </w:rPr>
            </w:pPr>
          </w:p>
        </w:tc>
        <w:tc>
          <w:tcPr>
            <w:tcW w:w="1769" w:type="pct"/>
          </w:tcPr>
          <w:p w:rsidR="00000000" w:rsidRDefault="00457650">
            <w:pPr>
              <w:widowControl/>
              <w:tabs>
                <w:tab w:val="left" w:pos="630"/>
              </w:tabs>
              <w:spacing w:line="340" w:lineRule="exact"/>
              <w:rPr>
                <w:rFonts w:hint="eastAsia"/>
                <w:sz w:val="18"/>
              </w:rPr>
            </w:pPr>
            <w:r>
              <w:rPr>
                <w:rFonts w:hint="eastAsia"/>
                <w:sz w:val="18"/>
              </w:rPr>
              <w:t>接纳能力（托位）</w:t>
            </w:r>
          </w:p>
        </w:tc>
        <w:tc>
          <w:tcPr>
            <w:tcW w:w="1646" w:type="pct"/>
          </w:tcPr>
          <w:p w:rsidR="00000000" w:rsidRDefault="00457650" w:rsidP="00457650">
            <w:pPr>
              <w:widowControl/>
              <w:tabs>
                <w:tab w:val="left" w:pos="630"/>
              </w:tabs>
              <w:spacing w:line="340" w:lineRule="exact"/>
              <w:ind w:rightChars="577" w:right="31680"/>
              <w:jc w:val="right"/>
              <w:rPr>
                <w:rFonts w:hint="eastAsia"/>
                <w:sz w:val="18"/>
              </w:rPr>
            </w:pPr>
            <w:r>
              <w:rPr>
                <w:rFonts w:hint="eastAsia"/>
                <w:sz w:val="18"/>
              </w:rPr>
              <w:t>181 972</w:t>
            </w:r>
          </w:p>
        </w:tc>
      </w:tr>
      <w:tr w:rsidR="00000000">
        <w:trPr>
          <w:cantSplit/>
        </w:trPr>
        <w:tc>
          <w:tcPr>
            <w:tcW w:w="3354" w:type="pct"/>
            <w:gridSpan w:val="2"/>
            <w:vMerge w:val="restart"/>
          </w:tcPr>
          <w:p w:rsidR="00000000" w:rsidRDefault="00457650">
            <w:pPr>
              <w:widowControl/>
              <w:tabs>
                <w:tab w:val="left" w:pos="630"/>
              </w:tabs>
              <w:spacing w:line="340" w:lineRule="exact"/>
              <w:rPr>
                <w:rFonts w:hint="eastAsia"/>
                <w:sz w:val="18"/>
              </w:rPr>
            </w:pPr>
            <w:r>
              <w:rPr>
                <w:rFonts w:hint="eastAsia"/>
                <w:sz w:val="18"/>
              </w:rPr>
              <w:t>2000</w:t>
            </w:r>
            <w:r>
              <w:rPr>
                <w:sz w:val="18"/>
              </w:rPr>
              <w:t>-</w:t>
            </w:r>
            <w:r>
              <w:rPr>
                <w:rFonts w:hint="eastAsia"/>
                <w:sz w:val="18"/>
              </w:rPr>
              <w:t>2003</w:t>
            </w:r>
            <w:r>
              <w:rPr>
                <w:rFonts w:hint="eastAsia"/>
                <w:sz w:val="18"/>
              </w:rPr>
              <w:t>年的变化</w:t>
            </w:r>
          </w:p>
        </w:tc>
        <w:tc>
          <w:tcPr>
            <w:tcW w:w="1646" w:type="pct"/>
          </w:tcPr>
          <w:p w:rsidR="00000000" w:rsidRDefault="00457650" w:rsidP="00457650">
            <w:pPr>
              <w:widowControl/>
              <w:tabs>
                <w:tab w:val="left" w:pos="630"/>
              </w:tabs>
              <w:spacing w:line="340" w:lineRule="exact"/>
              <w:ind w:rightChars="577" w:right="31680"/>
              <w:jc w:val="right"/>
              <w:rPr>
                <w:rFonts w:hint="eastAsia"/>
                <w:sz w:val="18"/>
              </w:rPr>
            </w:pPr>
            <w:r>
              <w:rPr>
                <w:rFonts w:hint="eastAsia"/>
                <w:sz w:val="18"/>
              </w:rPr>
              <w:t xml:space="preserve"> 420</w:t>
            </w:r>
          </w:p>
        </w:tc>
      </w:tr>
      <w:tr w:rsidR="00000000">
        <w:trPr>
          <w:cantSplit/>
        </w:trPr>
        <w:tc>
          <w:tcPr>
            <w:tcW w:w="3354" w:type="pct"/>
            <w:gridSpan w:val="2"/>
            <w:vMerge/>
          </w:tcPr>
          <w:p w:rsidR="00000000" w:rsidRDefault="00457650">
            <w:pPr>
              <w:widowControl/>
              <w:tabs>
                <w:tab w:val="left" w:pos="630"/>
              </w:tabs>
              <w:spacing w:line="340" w:lineRule="exact"/>
              <w:rPr>
                <w:rFonts w:hint="eastAsia"/>
                <w:sz w:val="18"/>
              </w:rPr>
            </w:pPr>
          </w:p>
        </w:tc>
        <w:tc>
          <w:tcPr>
            <w:tcW w:w="1646" w:type="pct"/>
          </w:tcPr>
          <w:p w:rsidR="00000000" w:rsidRDefault="00457650" w:rsidP="00457650">
            <w:pPr>
              <w:widowControl/>
              <w:tabs>
                <w:tab w:val="left" w:pos="630"/>
              </w:tabs>
              <w:spacing w:line="340" w:lineRule="exact"/>
              <w:ind w:rightChars="577" w:right="31680"/>
              <w:jc w:val="right"/>
              <w:rPr>
                <w:rFonts w:hint="eastAsia"/>
                <w:sz w:val="18"/>
              </w:rPr>
            </w:pPr>
            <w:r>
              <w:rPr>
                <w:rFonts w:hint="eastAsia"/>
                <w:sz w:val="18"/>
              </w:rPr>
              <w:t>78 673</w:t>
            </w:r>
          </w:p>
        </w:tc>
      </w:tr>
    </w:tbl>
    <w:p w:rsidR="00000000" w:rsidRDefault="00457650">
      <w:pPr>
        <w:widowControl/>
        <w:tabs>
          <w:tab w:val="left" w:pos="630"/>
        </w:tabs>
        <w:spacing w:after="240" w:line="360" w:lineRule="exact"/>
        <w:rPr>
          <w:rFonts w:hint="eastAsia"/>
          <w:sz w:val="18"/>
        </w:rPr>
      </w:pPr>
      <w:r>
        <w:rPr>
          <w:rFonts w:eastAsia="KaiTi_GB2312" w:hint="eastAsia"/>
          <w:sz w:val="18"/>
        </w:rPr>
        <w:t>资料来源</w:t>
      </w:r>
      <w:r>
        <w:rPr>
          <w:rFonts w:hint="eastAsia"/>
          <w:sz w:val="18"/>
        </w:rPr>
        <w:t>：社会保障局日托中心协调机构，</w:t>
      </w:r>
      <w:r>
        <w:rPr>
          <w:rFonts w:hint="eastAsia"/>
          <w:sz w:val="18"/>
        </w:rPr>
        <w:t>2004</w:t>
      </w:r>
      <w:r>
        <w:rPr>
          <w:rFonts w:hint="eastAsia"/>
          <w:sz w:val="18"/>
        </w:rPr>
        <w:t>年。</w:t>
      </w:r>
    </w:p>
    <w:p w:rsidR="00000000" w:rsidRDefault="00457650">
      <w:pPr>
        <w:widowControl/>
        <w:tabs>
          <w:tab w:val="left" w:pos="630"/>
        </w:tabs>
        <w:spacing w:after="240" w:line="360" w:lineRule="exact"/>
        <w:rPr>
          <w:rFonts w:hint="eastAsia"/>
        </w:rPr>
      </w:pPr>
      <w:r>
        <w:rPr>
          <w:rFonts w:hint="eastAsia"/>
        </w:rPr>
        <w:t>334.</w:t>
      </w:r>
      <w:r>
        <w:rPr>
          <w:rFonts w:hint="eastAsia"/>
        </w:rPr>
        <w:tab/>
      </w:r>
      <w:r>
        <w:rPr>
          <w:rFonts w:hint="eastAsia"/>
        </w:rPr>
        <w:t>日托中心的经费从使用此类中心的费用和社会福利中拨付；这些费用完全由雇主支付，而不论其雇员是否有权使用这些中心。</w:t>
      </w:r>
    </w:p>
    <w:p w:rsidR="00000000" w:rsidRDefault="00457650">
      <w:pPr>
        <w:widowControl/>
        <w:tabs>
          <w:tab w:val="left" w:pos="630"/>
        </w:tabs>
        <w:spacing w:after="240" w:line="360" w:lineRule="exact"/>
        <w:rPr>
          <w:rFonts w:hint="eastAsia"/>
        </w:rPr>
      </w:pPr>
      <w:r>
        <w:rPr>
          <w:rFonts w:hint="eastAsia"/>
        </w:rPr>
        <w:t>335.</w:t>
      </w:r>
      <w:r>
        <w:rPr>
          <w:rFonts w:hint="eastAsia"/>
        </w:rPr>
        <w:tab/>
      </w:r>
      <w:r>
        <w:rPr>
          <w:rFonts w:hint="eastAsia"/>
        </w:rPr>
        <w:t>该计划的费用数额占墨西哥社会保障局规定的基本福利工资的</w:t>
      </w:r>
      <w:r>
        <w:rPr>
          <w:rFonts w:hint="eastAsia"/>
        </w:rPr>
        <w:t>1%</w:t>
      </w:r>
      <w:r>
        <w:rPr>
          <w:rFonts w:hint="eastAsia"/>
        </w:rPr>
        <w:t>。这些费用的</w:t>
      </w:r>
      <w:r>
        <w:rPr>
          <w:rFonts w:hint="eastAsia"/>
        </w:rPr>
        <w:t>80%</w:t>
      </w:r>
      <w:r>
        <w:rPr>
          <w:rFonts w:hint="eastAsia"/>
        </w:rPr>
        <w:t>分配给日托中心。</w:t>
      </w:r>
    </w:p>
    <w:p w:rsidR="00000000" w:rsidRDefault="00457650">
      <w:pPr>
        <w:widowControl/>
        <w:tabs>
          <w:tab w:val="left" w:pos="630"/>
        </w:tabs>
        <w:spacing w:after="240" w:line="360" w:lineRule="exact"/>
        <w:rPr>
          <w:rFonts w:hint="eastAsia"/>
        </w:rPr>
      </w:pPr>
      <w:r>
        <w:rPr>
          <w:rFonts w:hint="eastAsia"/>
        </w:rPr>
        <w:t>336.</w:t>
      </w:r>
      <w:r>
        <w:rPr>
          <w:rFonts w:hint="eastAsia"/>
        </w:rPr>
        <w:tab/>
      </w:r>
      <w:r>
        <w:rPr>
          <w:rFonts w:hint="eastAsia"/>
        </w:rPr>
        <w:t>至于社会福利的经费</w:t>
      </w:r>
      <w:r>
        <w:rPr>
          <w:rFonts w:hint="eastAsia"/>
        </w:rPr>
        <w:t>来源，可能接近日托中心计划经费的</w:t>
      </w:r>
      <w:r>
        <w:rPr>
          <w:rFonts w:hint="eastAsia"/>
        </w:rPr>
        <w:t>20%</w:t>
      </w:r>
      <w:r>
        <w:rPr>
          <w:rFonts w:hint="eastAsia"/>
        </w:rPr>
        <w:t>。</w:t>
      </w:r>
    </w:p>
    <w:p w:rsidR="00000000" w:rsidRDefault="00457650">
      <w:pPr>
        <w:widowControl/>
        <w:tabs>
          <w:tab w:val="left" w:pos="630"/>
        </w:tabs>
        <w:spacing w:after="240" w:line="360" w:lineRule="exact"/>
        <w:rPr>
          <w:rFonts w:hint="eastAsia"/>
        </w:rPr>
      </w:pPr>
      <w:r>
        <w:rPr>
          <w:rFonts w:hint="eastAsia"/>
        </w:rPr>
        <w:t>337.</w:t>
      </w:r>
      <w:r>
        <w:rPr>
          <w:rFonts w:hint="eastAsia"/>
        </w:rPr>
        <w:tab/>
      </w:r>
      <w:r>
        <w:rPr>
          <w:rFonts w:hint="eastAsia"/>
        </w:rPr>
        <w:t>由于日托中心使用者群体的需求很大，所以应特别注意开办一些培训课程，如：急救、改善饮食、青少年性与生殖健康、老年排球、太极拳、有氧健身运动、交际舞、美容和个人卫生以及裁剪制衣等。</w:t>
      </w:r>
    </w:p>
    <w:p w:rsidR="00000000" w:rsidRDefault="00457650">
      <w:pPr>
        <w:widowControl/>
        <w:tabs>
          <w:tab w:val="left" w:pos="630"/>
        </w:tabs>
        <w:spacing w:after="240" w:line="360" w:lineRule="exact"/>
        <w:rPr>
          <w:rFonts w:hint="eastAsia"/>
        </w:rPr>
      </w:pPr>
      <w:r>
        <w:rPr>
          <w:rFonts w:hint="eastAsia"/>
        </w:rPr>
        <w:t>338.</w:t>
      </w:r>
      <w:r>
        <w:rPr>
          <w:rFonts w:hint="eastAsia"/>
        </w:rPr>
        <w:tab/>
      </w:r>
      <w:r>
        <w:rPr>
          <w:rFonts w:hint="eastAsia"/>
        </w:rPr>
        <w:t>有关的讲习班特别重视营养指导、预防吸毒成瘾、体育锻炼和事故疾病预防。活动的中心是接种疫苗和卫生。</w:t>
      </w:r>
    </w:p>
    <w:p w:rsidR="00000000" w:rsidRDefault="00457650">
      <w:pPr>
        <w:widowControl/>
        <w:tabs>
          <w:tab w:val="left" w:pos="630"/>
        </w:tabs>
        <w:spacing w:after="240" w:line="360" w:lineRule="exact"/>
        <w:rPr>
          <w:rFonts w:hint="eastAsia"/>
        </w:rPr>
      </w:pPr>
      <w:r>
        <w:rPr>
          <w:rFonts w:hint="eastAsia"/>
        </w:rPr>
        <w:t>339.</w:t>
      </w:r>
      <w:r>
        <w:rPr>
          <w:rFonts w:hint="eastAsia"/>
        </w:rPr>
        <w:tab/>
      </w:r>
      <w:r>
        <w:rPr>
          <w:rFonts w:hint="eastAsia"/>
        </w:rPr>
        <w:t>关于支持和扩展活动，应该提到的包括全国社会福利周、全国文化周、全国体育运动周，健康假期和健康休息。</w:t>
      </w:r>
    </w:p>
    <w:p w:rsidR="00000000" w:rsidRDefault="00457650">
      <w:pPr>
        <w:widowControl/>
        <w:tabs>
          <w:tab w:val="left" w:pos="630"/>
        </w:tabs>
        <w:spacing w:after="240" w:line="360" w:lineRule="exact"/>
        <w:rPr>
          <w:rFonts w:hint="eastAsia"/>
        </w:rPr>
      </w:pPr>
      <w:r>
        <w:rPr>
          <w:rFonts w:hint="eastAsia"/>
        </w:rPr>
        <w:t>340.</w:t>
      </w:r>
      <w:r>
        <w:rPr>
          <w:rFonts w:hint="eastAsia"/>
        </w:rPr>
        <w:tab/>
      </w:r>
      <w:r>
        <w:rPr>
          <w:rFonts w:hint="eastAsia"/>
        </w:rPr>
        <w:t>这些措施针对各种人群，在过去</w:t>
      </w:r>
      <w:r>
        <w:rPr>
          <w:rFonts w:hint="eastAsia"/>
        </w:rPr>
        <w:t>6</w:t>
      </w:r>
      <w:r>
        <w:rPr>
          <w:rFonts w:hint="eastAsia"/>
        </w:rPr>
        <w:t>个月内，其覆盖范围如下图</w:t>
      </w:r>
      <w:r>
        <w:rPr>
          <w:rFonts w:hint="eastAsia"/>
        </w:rPr>
        <w:t>指数所示：</w:t>
      </w:r>
    </w:p>
    <w:p w:rsidR="00000000" w:rsidRDefault="00457650">
      <w:pPr>
        <w:widowControl/>
        <w:tabs>
          <w:tab w:val="left" w:pos="630"/>
        </w:tabs>
        <w:spacing w:after="240" w:line="360" w:lineRule="exact"/>
        <w:jc w:val="center"/>
        <w:rPr>
          <w:rFonts w:eastAsia="SimHei" w:hint="eastAsia"/>
        </w:rPr>
      </w:pPr>
      <w:r>
        <w:rPr>
          <w:rFonts w:ascii="SimHei" w:eastAsia="SimHei" w:hint="eastAsia"/>
        </w:rPr>
        <w:t>1998-2003</w:t>
      </w:r>
      <w:r>
        <w:rPr>
          <w:rFonts w:ascii="SimHei" w:eastAsia="SimHei" w:hint="eastAsia"/>
        </w:rPr>
        <w:t>年</w:t>
      </w:r>
      <w:r>
        <w:rPr>
          <w:rFonts w:eastAsia="SimHei" w:hint="eastAsia"/>
        </w:rPr>
        <w:t>个人保健教育的受益人数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4"/>
        <w:gridCol w:w="1012"/>
        <w:gridCol w:w="1013"/>
        <w:gridCol w:w="1013"/>
        <w:gridCol w:w="1012"/>
        <w:gridCol w:w="1013"/>
        <w:gridCol w:w="1013"/>
      </w:tblGrid>
      <w:tr w:rsidR="00000000">
        <w:tc>
          <w:tcPr>
            <w:tcW w:w="3764" w:type="dxa"/>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hint="eastAsia"/>
                <w:sz w:val="18"/>
              </w:rPr>
              <w:t>指数</w:t>
            </w:r>
          </w:p>
        </w:tc>
        <w:tc>
          <w:tcPr>
            <w:tcW w:w="1012" w:type="dxa"/>
          </w:tcPr>
          <w:p w:rsidR="00000000" w:rsidRDefault="00457650">
            <w:pPr>
              <w:pStyle w:val="Header"/>
              <w:widowControl/>
              <w:pBdr>
                <w:bottom w:val="none" w:sz="0" w:space="0" w:color="auto"/>
              </w:pBdr>
              <w:tabs>
                <w:tab w:val="clear" w:pos="4320"/>
                <w:tab w:val="clear" w:pos="8640"/>
                <w:tab w:val="left" w:pos="630"/>
              </w:tabs>
              <w:spacing w:after="120" w:line="320" w:lineRule="exact"/>
              <w:rPr>
                <w:rFonts w:ascii="KaiTi_GB2312" w:eastAsia="KaiTi_GB2312" w:hint="eastAsia"/>
              </w:rPr>
            </w:pPr>
            <w:r>
              <w:rPr>
                <w:rFonts w:ascii="KaiTi_GB2312" w:eastAsia="KaiTi_GB2312" w:hint="eastAsia"/>
              </w:rPr>
              <w:t>1998</w:t>
            </w:r>
            <w:r>
              <w:rPr>
                <w:rFonts w:ascii="KaiTi_GB2312" w:eastAsia="KaiTi_GB2312" w:hint="eastAsia"/>
              </w:rPr>
              <w:t>年</w:t>
            </w:r>
          </w:p>
        </w:tc>
        <w:tc>
          <w:tcPr>
            <w:tcW w:w="1013" w:type="dxa"/>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hint="eastAsia"/>
                <w:sz w:val="18"/>
              </w:rPr>
              <w:t>1999</w:t>
            </w:r>
            <w:r>
              <w:rPr>
                <w:rFonts w:ascii="KaiTi_GB2312" w:eastAsia="KaiTi_GB2312" w:hint="eastAsia"/>
              </w:rPr>
              <w:t>年</w:t>
            </w:r>
          </w:p>
        </w:tc>
        <w:tc>
          <w:tcPr>
            <w:tcW w:w="1013" w:type="dxa"/>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hint="eastAsia"/>
                <w:sz w:val="18"/>
              </w:rPr>
              <w:t>2000</w:t>
            </w:r>
            <w:r>
              <w:rPr>
                <w:rFonts w:ascii="KaiTi_GB2312" w:eastAsia="KaiTi_GB2312" w:hint="eastAsia"/>
              </w:rPr>
              <w:t>年</w:t>
            </w:r>
          </w:p>
        </w:tc>
        <w:tc>
          <w:tcPr>
            <w:tcW w:w="1012" w:type="dxa"/>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hint="eastAsia"/>
                <w:sz w:val="18"/>
              </w:rPr>
              <w:t>2001</w:t>
            </w:r>
            <w:r>
              <w:rPr>
                <w:rFonts w:ascii="KaiTi_GB2312" w:eastAsia="KaiTi_GB2312" w:hint="eastAsia"/>
              </w:rPr>
              <w:t>年</w:t>
            </w:r>
          </w:p>
        </w:tc>
        <w:tc>
          <w:tcPr>
            <w:tcW w:w="1013" w:type="dxa"/>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hint="eastAsia"/>
                <w:sz w:val="18"/>
              </w:rPr>
              <w:t>2002</w:t>
            </w:r>
            <w:r>
              <w:rPr>
                <w:rFonts w:ascii="KaiTi_GB2312" w:eastAsia="KaiTi_GB2312" w:hint="eastAsia"/>
              </w:rPr>
              <w:t>年</w:t>
            </w:r>
          </w:p>
        </w:tc>
        <w:tc>
          <w:tcPr>
            <w:tcW w:w="1013" w:type="dxa"/>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hint="eastAsia"/>
                <w:sz w:val="18"/>
              </w:rPr>
              <w:t>2003</w:t>
            </w:r>
            <w:r>
              <w:rPr>
                <w:rFonts w:ascii="KaiTi_GB2312" w:eastAsia="KaiTi_GB2312" w:hint="eastAsia"/>
              </w:rPr>
              <w:t>年</w:t>
            </w:r>
            <w:r>
              <w:rPr>
                <w:rFonts w:ascii="KaiTi_GB2312" w:eastAsia="KaiTi_GB2312" w:hint="eastAsia"/>
                <w:sz w:val="18"/>
                <w:vertAlign w:val="superscript"/>
              </w:rPr>
              <w:t>1</w:t>
            </w:r>
          </w:p>
        </w:tc>
      </w:tr>
      <w:tr w:rsidR="00000000">
        <w:tc>
          <w:tcPr>
            <w:tcW w:w="3764" w:type="dxa"/>
          </w:tcPr>
          <w:p w:rsidR="00000000" w:rsidRDefault="00457650">
            <w:pPr>
              <w:widowControl/>
              <w:tabs>
                <w:tab w:val="left" w:pos="630"/>
              </w:tabs>
              <w:spacing w:after="120" w:line="320" w:lineRule="exact"/>
              <w:rPr>
                <w:rFonts w:hint="eastAsia"/>
                <w:sz w:val="18"/>
              </w:rPr>
            </w:pPr>
            <w:r>
              <w:rPr>
                <w:rFonts w:hint="eastAsia"/>
                <w:sz w:val="18"/>
              </w:rPr>
              <w:t>接受社会福利者人数（千人）</w:t>
            </w:r>
          </w:p>
        </w:tc>
        <w:tc>
          <w:tcPr>
            <w:tcW w:w="1012" w:type="dxa"/>
          </w:tcPr>
          <w:p w:rsidR="00000000" w:rsidRDefault="00457650">
            <w:pPr>
              <w:widowControl/>
              <w:tabs>
                <w:tab w:val="left" w:pos="630"/>
              </w:tabs>
              <w:spacing w:after="120" w:line="320" w:lineRule="exact"/>
              <w:jc w:val="center"/>
              <w:rPr>
                <w:rFonts w:hint="eastAsia"/>
                <w:sz w:val="18"/>
              </w:rPr>
            </w:pPr>
            <w:r>
              <w:rPr>
                <w:rFonts w:hint="eastAsia"/>
                <w:sz w:val="18"/>
              </w:rPr>
              <w:t>635.4</w:t>
            </w:r>
          </w:p>
        </w:tc>
        <w:tc>
          <w:tcPr>
            <w:tcW w:w="1013" w:type="dxa"/>
          </w:tcPr>
          <w:p w:rsidR="00000000" w:rsidRDefault="00457650">
            <w:pPr>
              <w:widowControl/>
              <w:tabs>
                <w:tab w:val="left" w:pos="630"/>
              </w:tabs>
              <w:spacing w:after="120" w:line="320" w:lineRule="exact"/>
              <w:jc w:val="center"/>
              <w:rPr>
                <w:rFonts w:hint="eastAsia"/>
                <w:sz w:val="18"/>
              </w:rPr>
            </w:pPr>
            <w:r>
              <w:rPr>
                <w:rFonts w:hint="eastAsia"/>
                <w:sz w:val="18"/>
              </w:rPr>
              <w:t>662.2</w:t>
            </w:r>
          </w:p>
        </w:tc>
        <w:tc>
          <w:tcPr>
            <w:tcW w:w="1013" w:type="dxa"/>
          </w:tcPr>
          <w:p w:rsidR="00000000" w:rsidRDefault="00457650">
            <w:pPr>
              <w:pStyle w:val="a3"/>
              <w:widowControl/>
              <w:tabs>
                <w:tab w:val="left" w:pos="630"/>
              </w:tabs>
              <w:adjustRightInd w:val="0"/>
              <w:spacing w:after="120" w:line="320" w:lineRule="exact"/>
              <w:jc w:val="center"/>
              <w:textAlignment w:val="baseline"/>
              <w:rPr>
                <w:rFonts w:hint="eastAsia"/>
                <w:kern w:val="0"/>
                <w:szCs w:val="20"/>
              </w:rPr>
            </w:pPr>
            <w:r>
              <w:rPr>
                <w:rFonts w:hint="eastAsia"/>
                <w:kern w:val="0"/>
                <w:szCs w:val="20"/>
              </w:rPr>
              <w:t>721.1</w:t>
            </w:r>
          </w:p>
        </w:tc>
        <w:tc>
          <w:tcPr>
            <w:tcW w:w="1012" w:type="dxa"/>
          </w:tcPr>
          <w:p w:rsidR="00000000" w:rsidRDefault="00457650">
            <w:pPr>
              <w:widowControl/>
              <w:tabs>
                <w:tab w:val="left" w:pos="630"/>
              </w:tabs>
              <w:spacing w:after="120" w:line="320" w:lineRule="exact"/>
              <w:jc w:val="center"/>
              <w:rPr>
                <w:rFonts w:hint="eastAsia"/>
                <w:sz w:val="18"/>
              </w:rPr>
            </w:pPr>
            <w:r>
              <w:rPr>
                <w:rFonts w:hint="eastAsia"/>
                <w:sz w:val="18"/>
              </w:rPr>
              <w:t>746.8</w:t>
            </w:r>
          </w:p>
        </w:tc>
        <w:tc>
          <w:tcPr>
            <w:tcW w:w="1013" w:type="dxa"/>
          </w:tcPr>
          <w:p w:rsidR="00000000" w:rsidRDefault="00457650">
            <w:pPr>
              <w:widowControl/>
              <w:tabs>
                <w:tab w:val="left" w:pos="630"/>
              </w:tabs>
              <w:spacing w:after="120" w:line="320" w:lineRule="exact"/>
              <w:jc w:val="center"/>
              <w:rPr>
                <w:rFonts w:hint="eastAsia"/>
                <w:sz w:val="18"/>
              </w:rPr>
            </w:pPr>
            <w:r>
              <w:rPr>
                <w:rFonts w:hint="eastAsia"/>
                <w:sz w:val="18"/>
              </w:rPr>
              <w:t>610.4</w:t>
            </w:r>
          </w:p>
        </w:tc>
        <w:tc>
          <w:tcPr>
            <w:tcW w:w="1013" w:type="dxa"/>
          </w:tcPr>
          <w:p w:rsidR="00000000" w:rsidRDefault="00457650">
            <w:pPr>
              <w:widowControl/>
              <w:tabs>
                <w:tab w:val="left" w:pos="630"/>
              </w:tabs>
              <w:spacing w:after="120" w:line="320" w:lineRule="exact"/>
              <w:jc w:val="center"/>
              <w:rPr>
                <w:rFonts w:hint="eastAsia"/>
                <w:sz w:val="18"/>
              </w:rPr>
            </w:pPr>
            <w:r>
              <w:rPr>
                <w:rFonts w:hint="eastAsia"/>
                <w:sz w:val="18"/>
              </w:rPr>
              <w:t>436.1</w:t>
            </w:r>
          </w:p>
        </w:tc>
      </w:tr>
      <w:tr w:rsidR="00000000">
        <w:tc>
          <w:tcPr>
            <w:tcW w:w="3764" w:type="dxa"/>
          </w:tcPr>
          <w:p w:rsidR="00000000" w:rsidRDefault="00457650">
            <w:pPr>
              <w:widowControl/>
              <w:tabs>
                <w:tab w:val="left" w:pos="630"/>
              </w:tabs>
              <w:spacing w:after="120" w:line="320" w:lineRule="exact"/>
              <w:rPr>
                <w:rFonts w:hint="eastAsia"/>
                <w:sz w:val="18"/>
              </w:rPr>
            </w:pPr>
            <w:r>
              <w:rPr>
                <w:rFonts w:hint="eastAsia"/>
                <w:sz w:val="18"/>
              </w:rPr>
              <w:t>接受个人健康保健教育者人数（千人）</w:t>
            </w:r>
          </w:p>
        </w:tc>
        <w:tc>
          <w:tcPr>
            <w:tcW w:w="1012" w:type="dxa"/>
          </w:tcPr>
          <w:p w:rsidR="00000000" w:rsidRDefault="00457650">
            <w:pPr>
              <w:widowControl/>
              <w:tabs>
                <w:tab w:val="left" w:pos="630"/>
              </w:tabs>
              <w:spacing w:after="120" w:line="320" w:lineRule="exact"/>
              <w:jc w:val="center"/>
              <w:rPr>
                <w:rFonts w:hint="eastAsia"/>
                <w:sz w:val="18"/>
              </w:rPr>
            </w:pPr>
            <w:r>
              <w:rPr>
                <w:rFonts w:hint="eastAsia"/>
                <w:sz w:val="18"/>
              </w:rPr>
              <w:t>246.2</w:t>
            </w:r>
          </w:p>
        </w:tc>
        <w:tc>
          <w:tcPr>
            <w:tcW w:w="1013" w:type="dxa"/>
          </w:tcPr>
          <w:p w:rsidR="00000000" w:rsidRDefault="00457650">
            <w:pPr>
              <w:pStyle w:val="Header"/>
              <w:widowControl/>
              <w:pBdr>
                <w:bottom w:val="none" w:sz="0" w:space="0" w:color="auto"/>
              </w:pBdr>
              <w:tabs>
                <w:tab w:val="clear" w:pos="4320"/>
                <w:tab w:val="clear" w:pos="8640"/>
                <w:tab w:val="left" w:pos="630"/>
              </w:tabs>
              <w:spacing w:after="120" w:line="320" w:lineRule="exact"/>
              <w:rPr>
                <w:rFonts w:hint="eastAsia"/>
              </w:rPr>
            </w:pPr>
            <w:r>
              <w:rPr>
                <w:rFonts w:hint="eastAsia"/>
              </w:rPr>
              <w:t>359.7</w:t>
            </w:r>
          </w:p>
        </w:tc>
        <w:tc>
          <w:tcPr>
            <w:tcW w:w="1013" w:type="dxa"/>
          </w:tcPr>
          <w:p w:rsidR="00000000" w:rsidRDefault="00457650">
            <w:pPr>
              <w:widowControl/>
              <w:tabs>
                <w:tab w:val="left" w:pos="630"/>
              </w:tabs>
              <w:spacing w:after="120" w:line="320" w:lineRule="exact"/>
              <w:jc w:val="center"/>
              <w:rPr>
                <w:rFonts w:hint="eastAsia"/>
                <w:sz w:val="18"/>
              </w:rPr>
            </w:pPr>
            <w:r>
              <w:rPr>
                <w:rFonts w:hint="eastAsia"/>
                <w:sz w:val="18"/>
              </w:rPr>
              <w:t>487.2</w:t>
            </w:r>
          </w:p>
        </w:tc>
        <w:tc>
          <w:tcPr>
            <w:tcW w:w="1012" w:type="dxa"/>
          </w:tcPr>
          <w:p w:rsidR="00000000" w:rsidRDefault="00457650">
            <w:pPr>
              <w:widowControl/>
              <w:tabs>
                <w:tab w:val="left" w:pos="630"/>
              </w:tabs>
              <w:spacing w:after="120" w:line="320" w:lineRule="exact"/>
              <w:jc w:val="center"/>
              <w:rPr>
                <w:rFonts w:hint="eastAsia"/>
                <w:sz w:val="18"/>
              </w:rPr>
            </w:pPr>
            <w:r>
              <w:rPr>
                <w:rFonts w:hint="eastAsia"/>
                <w:sz w:val="18"/>
              </w:rPr>
              <w:t>511.4</w:t>
            </w:r>
          </w:p>
        </w:tc>
        <w:tc>
          <w:tcPr>
            <w:tcW w:w="1013" w:type="dxa"/>
          </w:tcPr>
          <w:p w:rsidR="00000000" w:rsidRDefault="00457650">
            <w:pPr>
              <w:widowControl/>
              <w:tabs>
                <w:tab w:val="left" w:pos="630"/>
              </w:tabs>
              <w:spacing w:after="120" w:line="320" w:lineRule="exact"/>
              <w:jc w:val="center"/>
              <w:rPr>
                <w:rFonts w:hint="eastAsia"/>
                <w:sz w:val="18"/>
              </w:rPr>
            </w:pPr>
            <w:r>
              <w:rPr>
                <w:rFonts w:hint="eastAsia"/>
                <w:sz w:val="18"/>
              </w:rPr>
              <w:t>406.4</w:t>
            </w:r>
          </w:p>
        </w:tc>
        <w:tc>
          <w:tcPr>
            <w:tcW w:w="1013" w:type="dxa"/>
          </w:tcPr>
          <w:p w:rsidR="00000000" w:rsidRDefault="00457650">
            <w:pPr>
              <w:widowControl/>
              <w:tabs>
                <w:tab w:val="left" w:pos="630"/>
              </w:tabs>
              <w:spacing w:after="120" w:line="320" w:lineRule="exact"/>
              <w:jc w:val="center"/>
              <w:rPr>
                <w:rFonts w:hint="eastAsia"/>
                <w:sz w:val="18"/>
              </w:rPr>
            </w:pPr>
            <w:r>
              <w:rPr>
                <w:rFonts w:hint="eastAsia"/>
                <w:sz w:val="18"/>
              </w:rPr>
              <w:t>302.6</w:t>
            </w:r>
          </w:p>
        </w:tc>
      </w:tr>
      <w:tr w:rsidR="00000000">
        <w:tc>
          <w:tcPr>
            <w:tcW w:w="3764" w:type="dxa"/>
          </w:tcPr>
          <w:p w:rsidR="00000000" w:rsidRDefault="00457650">
            <w:pPr>
              <w:widowControl/>
              <w:tabs>
                <w:tab w:val="left" w:pos="630"/>
              </w:tabs>
              <w:spacing w:after="120" w:line="320" w:lineRule="exact"/>
              <w:rPr>
                <w:rFonts w:hint="eastAsia"/>
                <w:sz w:val="18"/>
              </w:rPr>
            </w:pPr>
            <w:r>
              <w:rPr>
                <w:rFonts w:hint="eastAsia"/>
                <w:sz w:val="18"/>
              </w:rPr>
              <w:t>接受个人健康保健教育者的比例</w:t>
            </w:r>
          </w:p>
        </w:tc>
        <w:tc>
          <w:tcPr>
            <w:tcW w:w="1012" w:type="dxa"/>
          </w:tcPr>
          <w:p w:rsidR="00000000" w:rsidRDefault="00457650">
            <w:pPr>
              <w:widowControl/>
              <w:tabs>
                <w:tab w:val="left" w:pos="630"/>
              </w:tabs>
              <w:spacing w:after="120" w:line="320" w:lineRule="exact"/>
              <w:jc w:val="center"/>
              <w:rPr>
                <w:rFonts w:hint="eastAsia"/>
                <w:sz w:val="18"/>
              </w:rPr>
            </w:pPr>
            <w:r>
              <w:rPr>
                <w:rFonts w:hint="eastAsia"/>
                <w:sz w:val="18"/>
              </w:rPr>
              <w:t>38.8</w:t>
            </w:r>
          </w:p>
        </w:tc>
        <w:tc>
          <w:tcPr>
            <w:tcW w:w="1013" w:type="dxa"/>
          </w:tcPr>
          <w:p w:rsidR="00000000" w:rsidRDefault="00457650">
            <w:pPr>
              <w:widowControl/>
              <w:tabs>
                <w:tab w:val="left" w:pos="630"/>
              </w:tabs>
              <w:spacing w:after="120" w:line="320" w:lineRule="exact"/>
              <w:jc w:val="center"/>
              <w:rPr>
                <w:rFonts w:hint="eastAsia"/>
                <w:sz w:val="18"/>
              </w:rPr>
            </w:pPr>
            <w:r>
              <w:rPr>
                <w:rFonts w:hint="eastAsia"/>
                <w:sz w:val="18"/>
              </w:rPr>
              <w:t>54.3</w:t>
            </w:r>
          </w:p>
        </w:tc>
        <w:tc>
          <w:tcPr>
            <w:tcW w:w="1013" w:type="dxa"/>
          </w:tcPr>
          <w:p w:rsidR="00000000" w:rsidRDefault="00457650">
            <w:pPr>
              <w:widowControl/>
              <w:tabs>
                <w:tab w:val="left" w:pos="630"/>
              </w:tabs>
              <w:spacing w:after="120" w:line="320" w:lineRule="exact"/>
              <w:jc w:val="center"/>
              <w:rPr>
                <w:rFonts w:hint="eastAsia"/>
                <w:sz w:val="18"/>
              </w:rPr>
            </w:pPr>
            <w:r>
              <w:rPr>
                <w:rFonts w:hint="eastAsia"/>
                <w:sz w:val="18"/>
              </w:rPr>
              <w:t>67.6</w:t>
            </w:r>
          </w:p>
        </w:tc>
        <w:tc>
          <w:tcPr>
            <w:tcW w:w="1012" w:type="dxa"/>
          </w:tcPr>
          <w:p w:rsidR="00000000" w:rsidRDefault="00457650">
            <w:pPr>
              <w:widowControl/>
              <w:tabs>
                <w:tab w:val="left" w:pos="630"/>
              </w:tabs>
              <w:spacing w:after="120" w:line="320" w:lineRule="exact"/>
              <w:jc w:val="center"/>
              <w:rPr>
                <w:rFonts w:hint="eastAsia"/>
                <w:sz w:val="18"/>
              </w:rPr>
            </w:pPr>
            <w:r>
              <w:rPr>
                <w:rFonts w:hint="eastAsia"/>
                <w:sz w:val="18"/>
              </w:rPr>
              <w:t>68.5</w:t>
            </w:r>
          </w:p>
        </w:tc>
        <w:tc>
          <w:tcPr>
            <w:tcW w:w="1013" w:type="dxa"/>
          </w:tcPr>
          <w:p w:rsidR="00000000" w:rsidRDefault="00457650">
            <w:pPr>
              <w:widowControl/>
              <w:tabs>
                <w:tab w:val="left" w:pos="630"/>
              </w:tabs>
              <w:spacing w:after="120" w:line="320" w:lineRule="exact"/>
              <w:jc w:val="center"/>
              <w:rPr>
                <w:rFonts w:hint="eastAsia"/>
                <w:sz w:val="18"/>
              </w:rPr>
            </w:pPr>
            <w:r>
              <w:rPr>
                <w:rFonts w:hint="eastAsia"/>
                <w:sz w:val="18"/>
              </w:rPr>
              <w:t>66.6</w:t>
            </w:r>
          </w:p>
        </w:tc>
        <w:tc>
          <w:tcPr>
            <w:tcW w:w="1013" w:type="dxa"/>
          </w:tcPr>
          <w:p w:rsidR="00000000" w:rsidRDefault="00457650">
            <w:pPr>
              <w:widowControl/>
              <w:tabs>
                <w:tab w:val="left" w:pos="630"/>
              </w:tabs>
              <w:spacing w:after="120" w:line="320" w:lineRule="exact"/>
              <w:jc w:val="center"/>
              <w:rPr>
                <w:rFonts w:hint="eastAsia"/>
                <w:sz w:val="18"/>
              </w:rPr>
            </w:pPr>
            <w:r>
              <w:rPr>
                <w:rFonts w:hint="eastAsia"/>
                <w:sz w:val="18"/>
              </w:rPr>
              <w:t>69.4</w:t>
            </w:r>
          </w:p>
        </w:tc>
      </w:tr>
    </w:tbl>
    <w:p w:rsidR="00000000" w:rsidRDefault="00457650">
      <w:pPr>
        <w:widowControl/>
        <w:tabs>
          <w:tab w:val="left" w:pos="630"/>
        </w:tabs>
        <w:spacing w:line="360" w:lineRule="exact"/>
        <w:rPr>
          <w:rFonts w:hint="eastAsia"/>
          <w:sz w:val="18"/>
        </w:rPr>
      </w:pPr>
      <w:r>
        <w:rPr>
          <w:rFonts w:hint="eastAsia"/>
          <w:sz w:val="18"/>
          <w:vertAlign w:val="superscript"/>
        </w:rPr>
        <w:t>1</w:t>
      </w:r>
      <w:r>
        <w:rPr>
          <w:rFonts w:hint="eastAsia"/>
          <w:sz w:val="18"/>
        </w:rPr>
        <w:t xml:space="preserve">  </w:t>
      </w:r>
      <w:r>
        <w:rPr>
          <w:rFonts w:hint="eastAsia"/>
          <w:sz w:val="18"/>
        </w:rPr>
        <w:t>初步数字。</w:t>
      </w:r>
    </w:p>
    <w:p w:rsidR="00000000" w:rsidRDefault="00457650">
      <w:pPr>
        <w:widowControl/>
        <w:tabs>
          <w:tab w:val="left" w:pos="630"/>
        </w:tabs>
        <w:spacing w:after="240" w:line="360" w:lineRule="exact"/>
        <w:rPr>
          <w:rFonts w:hint="eastAsia"/>
          <w:sz w:val="18"/>
        </w:rPr>
      </w:pPr>
      <w:r>
        <w:rPr>
          <w:rFonts w:eastAsia="KaiTi_GB2312" w:hint="eastAsia"/>
          <w:sz w:val="18"/>
        </w:rPr>
        <w:t>资料来源</w:t>
      </w:r>
      <w:r>
        <w:rPr>
          <w:rFonts w:hint="eastAsia"/>
          <w:sz w:val="18"/>
        </w:rPr>
        <w:t>：社会保障局经济补助协调部，</w:t>
      </w:r>
      <w:r>
        <w:rPr>
          <w:rFonts w:hint="eastAsia"/>
          <w:sz w:val="18"/>
        </w:rPr>
        <w:t>2004</w:t>
      </w:r>
      <w:r>
        <w:rPr>
          <w:rFonts w:hint="eastAsia"/>
          <w:sz w:val="18"/>
        </w:rPr>
        <w:t>年。</w:t>
      </w:r>
    </w:p>
    <w:p w:rsidR="00000000" w:rsidRDefault="00457650">
      <w:pPr>
        <w:widowControl/>
        <w:tabs>
          <w:tab w:val="left" w:pos="630"/>
        </w:tabs>
        <w:spacing w:after="240" w:line="360" w:lineRule="exact"/>
        <w:rPr>
          <w:rFonts w:hint="eastAsia"/>
        </w:rPr>
      </w:pPr>
      <w:r>
        <w:rPr>
          <w:rFonts w:hint="eastAsia"/>
        </w:rPr>
        <w:t>3</w:t>
      </w:r>
      <w:r>
        <w:rPr>
          <w:rFonts w:hint="eastAsia"/>
        </w:rPr>
        <w:t>41.</w:t>
      </w:r>
      <w:r>
        <w:rPr>
          <w:rFonts w:hint="eastAsia"/>
        </w:rPr>
        <w:tab/>
      </w:r>
      <w:r>
        <w:rPr>
          <w:rFonts w:hint="eastAsia"/>
        </w:rPr>
        <w:t>作为社会福利的一部分，采取了保护青少年利益的措施，注意集中在预防吸毒成瘾和性与生殖健康教育。这些措施包括开办培训课程、谈话、开展运动以及支助和扩展活动。其中特别应当提到的是在社会保障局多个行动机构设立的“关爱青少年”单位；它们为青少年提供咨询服务并举办研讨会。</w:t>
      </w:r>
    </w:p>
    <w:p w:rsidR="00000000" w:rsidRDefault="00457650">
      <w:pPr>
        <w:widowControl/>
        <w:tabs>
          <w:tab w:val="left" w:pos="630"/>
        </w:tabs>
        <w:spacing w:after="240" w:line="360" w:lineRule="exact"/>
        <w:rPr>
          <w:rFonts w:hint="eastAsia"/>
        </w:rPr>
      </w:pPr>
      <w:r>
        <w:rPr>
          <w:rFonts w:hint="eastAsia"/>
        </w:rPr>
        <w:t>342.</w:t>
      </w:r>
      <w:r>
        <w:rPr>
          <w:rFonts w:hint="eastAsia"/>
        </w:rPr>
        <w:tab/>
      </w:r>
      <w:r>
        <w:rPr>
          <w:rFonts w:hint="eastAsia"/>
        </w:rPr>
        <w:t>还举办了“青少年性与生殖教育马拉松”。这一活动在该群体中获得了广泛的认同，因为它采取了比赛的形式，激发起兴趣并向参与者传授大量知识。</w:t>
      </w:r>
    </w:p>
    <w:p w:rsidR="00000000" w:rsidRDefault="00457650">
      <w:pPr>
        <w:widowControl/>
        <w:tabs>
          <w:tab w:val="left" w:pos="630"/>
        </w:tabs>
        <w:spacing w:after="240" w:line="360" w:lineRule="exact"/>
        <w:rPr>
          <w:rFonts w:hint="eastAsia"/>
        </w:rPr>
      </w:pPr>
      <w:r>
        <w:rPr>
          <w:rFonts w:hint="eastAsia"/>
        </w:rPr>
        <w:t>343.</w:t>
      </w:r>
      <w:r>
        <w:rPr>
          <w:rFonts w:hint="eastAsia"/>
        </w:rPr>
        <w:tab/>
      </w:r>
      <w:r>
        <w:rPr>
          <w:rFonts w:hint="eastAsia"/>
        </w:rPr>
        <w:t>在</w:t>
      </w:r>
      <w:r>
        <w:rPr>
          <w:rFonts w:hint="eastAsia"/>
        </w:rPr>
        <w:t>2001</w:t>
      </w:r>
      <w:r>
        <w:rPr>
          <w:rFonts w:hint="eastAsia"/>
        </w:rPr>
        <w:t>年至</w:t>
      </w:r>
      <w:r>
        <w:rPr>
          <w:rFonts w:hint="eastAsia"/>
        </w:rPr>
        <w:t>2003</w:t>
      </w:r>
      <w:r>
        <w:rPr>
          <w:rFonts w:hint="eastAsia"/>
        </w:rPr>
        <w:t>年期间，据记录参加维护青少年利益的各项活动人数有</w:t>
      </w:r>
      <w:r>
        <w:rPr>
          <w:rFonts w:hint="eastAsia"/>
        </w:rPr>
        <w:t>1 217 565</w:t>
      </w:r>
      <w:r>
        <w:rPr>
          <w:rFonts w:hint="eastAsia"/>
        </w:rPr>
        <w:t>人。</w:t>
      </w:r>
    </w:p>
    <w:p w:rsidR="00000000" w:rsidRDefault="00457650">
      <w:pPr>
        <w:widowControl/>
        <w:tabs>
          <w:tab w:val="left" w:pos="630"/>
        </w:tabs>
        <w:spacing w:after="240" w:line="360" w:lineRule="exact"/>
        <w:rPr>
          <w:rFonts w:hint="eastAsia"/>
        </w:rPr>
      </w:pPr>
      <w:r>
        <w:rPr>
          <w:rFonts w:hint="eastAsia"/>
        </w:rPr>
        <w:t>344.</w:t>
      </w:r>
      <w:r>
        <w:rPr>
          <w:rFonts w:hint="eastAsia"/>
        </w:rPr>
        <w:tab/>
      </w:r>
      <w:r>
        <w:rPr>
          <w:rFonts w:hint="eastAsia"/>
        </w:rPr>
        <w:t>为促进老年人、养恤金领取者和退休人员的福利开展了各种活动。这些活动通过培训课程、谈话、宣传运动及支助和扩展活动，努力培养他们的认知能力、心理情感、热情和参与社会文化生活的能力。特别应当注意的是，这个群体对交际舞、有氧健身运动、玩具制作和装饰、治疗性体育运动和改善饮食特别感兴趣。</w:t>
      </w:r>
    </w:p>
    <w:p w:rsidR="00000000" w:rsidRDefault="00457650">
      <w:pPr>
        <w:widowControl/>
        <w:tabs>
          <w:tab w:val="left" w:pos="630"/>
        </w:tabs>
        <w:spacing w:after="240" w:line="360" w:lineRule="exact"/>
        <w:rPr>
          <w:rFonts w:hint="eastAsia"/>
        </w:rPr>
      </w:pPr>
      <w:r>
        <w:rPr>
          <w:rFonts w:hint="eastAsia"/>
        </w:rPr>
        <w:t>345.</w:t>
      </w:r>
      <w:r>
        <w:rPr>
          <w:rFonts w:hint="eastAsia"/>
        </w:rPr>
        <w:tab/>
      </w:r>
      <w:r>
        <w:rPr>
          <w:rFonts w:hint="eastAsia"/>
        </w:rPr>
        <w:t>在</w:t>
      </w:r>
      <w:r>
        <w:rPr>
          <w:rFonts w:hint="eastAsia"/>
        </w:rPr>
        <w:t>2001</w:t>
      </w:r>
      <w:r>
        <w:rPr>
          <w:rFonts w:hint="eastAsia"/>
        </w:rPr>
        <w:t>年至</w:t>
      </w:r>
      <w:r>
        <w:rPr>
          <w:rFonts w:hint="eastAsia"/>
        </w:rPr>
        <w:t>2003</w:t>
      </w:r>
      <w:r>
        <w:rPr>
          <w:rFonts w:hint="eastAsia"/>
        </w:rPr>
        <w:t>年期间，据记录参加促进老年人利益活动的人数每年平均有</w:t>
      </w:r>
      <w:r>
        <w:rPr>
          <w:rFonts w:hint="eastAsia"/>
        </w:rPr>
        <w:t>354 778</w:t>
      </w:r>
      <w:r>
        <w:rPr>
          <w:rFonts w:hint="eastAsia"/>
        </w:rPr>
        <w:t>人。</w:t>
      </w:r>
    </w:p>
    <w:p w:rsidR="00000000" w:rsidRDefault="00457650">
      <w:pPr>
        <w:widowControl/>
        <w:tabs>
          <w:tab w:val="left" w:pos="630"/>
        </w:tabs>
        <w:spacing w:after="240" w:line="360" w:lineRule="exact"/>
        <w:rPr>
          <w:rFonts w:hint="eastAsia"/>
        </w:rPr>
      </w:pPr>
      <w:r>
        <w:rPr>
          <w:rFonts w:hint="eastAsia"/>
        </w:rPr>
        <w:t>346.</w:t>
      </w:r>
      <w:r>
        <w:rPr>
          <w:rFonts w:hint="eastAsia"/>
        </w:rPr>
        <w:tab/>
      </w:r>
      <w:r>
        <w:rPr>
          <w:rFonts w:hint="eastAsia"/>
        </w:rPr>
        <w:t>照顾残疾人的主要目标是在各个群体中推广预防文化和全面关心残疾人问题，这一目标通过一项三方面兼顾的运动实</w:t>
      </w:r>
      <w:r>
        <w:rPr>
          <w:rFonts w:hint="eastAsia"/>
        </w:rPr>
        <w:t>施：</w:t>
      </w:r>
      <w:r>
        <w:rPr>
          <w:rFonts w:eastAsia="KaiTi_GB2312" w:hint="eastAsia"/>
          <w:iCs/>
        </w:rPr>
        <w:t>增强体制观念；开展预防教育；让残疾人融入社会和生产生活</w:t>
      </w:r>
      <w:r>
        <w:rPr>
          <w:rFonts w:hint="eastAsia"/>
        </w:rPr>
        <w:t>。</w:t>
      </w:r>
    </w:p>
    <w:p w:rsidR="00000000" w:rsidRDefault="00457650">
      <w:pPr>
        <w:widowControl/>
        <w:tabs>
          <w:tab w:val="left" w:pos="630"/>
        </w:tabs>
        <w:spacing w:after="240" w:line="360" w:lineRule="exact"/>
        <w:rPr>
          <w:rFonts w:hint="eastAsia"/>
        </w:rPr>
      </w:pPr>
      <w:r>
        <w:rPr>
          <w:rFonts w:hint="eastAsia"/>
        </w:rPr>
        <w:t>347.</w:t>
      </w:r>
      <w:r>
        <w:rPr>
          <w:rFonts w:hint="eastAsia"/>
        </w:rPr>
        <w:tab/>
      </w:r>
      <w:r>
        <w:rPr>
          <w:rFonts w:eastAsia="KaiTi_GB2312" w:hint="eastAsia"/>
          <w:iCs/>
        </w:rPr>
        <w:t>增强体制观念</w:t>
      </w:r>
      <w:r>
        <w:rPr>
          <w:rFonts w:hint="eastAsia"/>
        </w:rPr>
        <w:t>战略的实施包括各个不同方面的行动，例如课程、讲座、谈话、邀请和娱乐支持活动。在</w:t>
      </w:r>
      <w:r>
        <w:rPr>
          <w:rFonts w:eastAsia="KaiTi_GB2312" w:hint="eastAsia"/>
          <w:iCs/>
        </w:rPr>
        <w:t>开展预防教育</w:t>
      </w:r>
      <w:r>
        <w:rPr>
          <w:rFonts w:hint="eastAsia"/>
        </w:rPr>
        <w:t>领域，应当提及的是各类残疾的早期诊断，信息交流和无障碍环境协议。关于</w:t>
      </w:r>
      <w:r>
        <w:rPr>
          <w:rFonts w:eastAsia="KaiTi_GB2312" w:hint="eastAsia"/>
          <w:iCs/>
        </w:rPr>
        <w:t>将残疾人融入社会和生产活动的议题，</w:t>
      </w:r>
      <w:r>
        <w:rPr>
          <w:rFonts w:hint="eastAsia"/>
        </w:rPr>
        <w:t>特别值得一提的是假肢和矫形器具的提供。</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到目前为止，社会保障局日托中心接纳了</w:t>
      </w:r>
      <w:r>
        <w:rPr>
          <w:rFonts w:hint="eastAsia"/>
        </w:rPr>
        <w:t>3 894</w:t>
      </w:r>
      <w:r>
        <w:rPr>
          <w:rFonts w:hint="eastAsia"/>
        </w:rPr>
        <w:t>名残疾儿童。</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关于假肢和类似器材，已经提供了</w:t>
      </w:r>
      <w:r>
        <w:rPr>
          <w:rFonts w:hint="eastAsia"/>
        </w:rPr>
        <w:t>1 858</w:t>
      </w:r>
      <w:r>
        <w:rPr>
          <w:rFonts w:hint="eastAsia"/>
        </w:rPr>
        <w:t>件。</w:t>
      </w:r>
    </w:p>
    <w:p w:rsidR="00000000" w:rsidRDefault="00457650">
      <w:pPr>
        <w:widowControl/>
        <w:tabs>
          <w:tab w:val="left" w:pos="630"/>
        </w:tabs>
        <w:spacing w:after="240" w:line="360" w:lineRule="exact"/>
        <w:rPr>
          <w:rFonts w:hint="eastAsia"/>
        </w:rPr>
      </w:pPr>
      <w:r>
        <w:rPr>
          <w:rFonts w:hint="eastAsia"/>
        </w:rPr>
        <w:t>348.</w:t>
      </w:r>
      <w:r>
        <w:rPr>
          <w:rFonts w:hint="eastAsia"/>
        </w:rPr>
        <w:tab/>
      </w:r>
      <w:r>
        <w:rPr>
          <w:rFonts w:hint="eastAsia"/>
        </w:rPr>
        <w:t>应提及的是，</w:t>
      </w:r>
      <w:r>
        <w:rPr>
          <w:rFonts w:hint="eastAsia"/>
        </w:rPr>
        <w:t>2004</w:t>
      </w:r>
      <w:r>
        <w:rPr>
          <w:rFonts w:hint="eastAsia"/>
        </w:rPr>
        <w:t>年</w:t>
      </w:r>
      <w:r>
        <w:rPr>
          <w:rFonts w:hint="eastAsia"/>
        </w:rPr>
        <w:t>8</w:t>
      </w:r>
      <w:r>
        <w:rPr>
          <w:rFonts w:hint="eastAsia"/>
        </w:rPr>
        <w:t>月</w:t>
      </w:r>
      <w:r>
        <w:rPr>
          <w:rFonts w:hint="eastAsia"/>
        </w:rPr>
        <w:t>5</w:t>
      </w:r>
      <w:r>
        <w:rPr>
          <w:rFonts w:hint="eastAsia"/>
        </w:rPr>
        <w:t>日通过了《社会保障法》，目的是调整“墨西哥社会保障局</w:t>
      </w:r>
      <w:r>
        <w:rPr>
          <w:rFonts w:hint="eastAsia"/>
        </w:rPr>
        <w:t>工人国家退休养恤金计划”的开支，该法于</w:t>
      </w:r>
      <w:r>
        <w:rPr>
          <w:rFonts w:hint="eastAsia"/>
        </w:rPr>
        <w:t>2004</w:t>
      </w:r>
      <w:r>
        <w:rPr>
          <w:rFonts w:hint="eastAsia"/>
        </w:rPr>
        <w:t>年</w:t>
      </w:r>
      <w:r>
        <w:rPr>
          <w:rFonts w:hint="eastAsia"/>
        </w:rPr>
        <w:t>8</w:t>
      </w:r>
      <w:r>
        <w:rPr>
          <w:rFonts w:hint="eastAsia"/>
        </w:rPr>
        <w:t>月</w:t>
      </w:r>
      <w:r>
        <w:rPr>
          <w:rFonts w:hint="eastAsia"/>
        </w:rPr>
        <w:t>12</w:t>
      </w:r>
      <w:r>
        <w:rPr>
          <w:rFonts w:hint="eastAsia"/>
        </w:rPr>
        <w:t>日生效。</w:t>
      </w:r>
    </w:p>
    <w:p w:rsidR="00000000" w:rsidRDefault="00457650">
      <w:pPr>
        <w:widowControl/>
        <w:tabs>
          <w:tab w:val="left" w:pos="630"/>
        </w:tabs>
        <w:spacing w:after="240" w:line="360" w:lineRule="exact"/>
        <w:rPr>
          <w:rFonts w:hint="eastAsia"/>
        </w:rPr>
      </w:pPr>
      <w:r>
        <w:rPr>
          <w:rFonts w:hint="eastAsia"/>
        </w:rPr>
        <w:t>349.</w:t>
      </w:r>
      <w:r>
        <w:rPr>
          <w:rFonts w:hint="eastAsia"/>
        </w:rPr>
        <w:tab/>
      </w:r>
      <w:r>
        <w:rPr>
          <w:rFonts w:hint="eastAsia"/>
        </w:rPr>
        <w:t>经过这次改革，社会保障局管辖下的所有在业工人的既得权利应受到尊重；同时提出了一项限制，以此确保本应用于墨西哥大众的社会保障福利资源不被用于支付社会保障局未来雇员的退休养恤金。该局负责管理一笔“依法或合同履行劳动义务基金”，以确保其雇员在退休时享有建立在自身储蓄基础上的养恤金。</w:t>
      </w:r>
    </w:p>
    <w:p w:rsidR="00000000" w:rsidRDefault="00457650">
      <w:pPr>
        <w:widowControl/>
        <w:tabs>
          <w:tab w:val="left" w:pos="630"/>
        </w:tabs>
        <w:spacing w:after="240" w:line="360" w:lineRule="exact"/>
        <w:rPr>
          <w:rFonts w:eastAsia="SimHei" w:hint="eastAsia"/>
        </w:rPr>
      </w:pPr>
      <w:r>
        <w:rPr>
          <w:rFonts w:eastAsia="SimHei" w:hint="eastAsia"/>
        </w:rPr>
        <w:t xml:space="preserve"> </w:t>
      </w:r>
      <w:r>
        <w:rPr>
          <w:rFonts w:eastAsia="SimHei" w:hint="eastAsia"/>
        </w:rPr>
        <w:tab/>
      </w:r>
      <w:r>
        <w:rPr>
          <w:rFonts w:eastAsia="SimHei" w:hint="eastAsia"/>
        </w:rPr>
        <w:t>墨西哥工人安全和社会服务机构</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预防性医疗涉及以下内容：控制那些可以通过接种疫苗预防的疾病；控制传染病；及时发现慢性和变性疾病；健康教育；计划生育；妇女和儿</w:t>
      </w:r>
      <w:r>
        <w:rPr>
          <w:rFonts w:hint="eastAsia"/>
        </w:rPr>
        <w:t>童保健；口腔卫生；饮食、心理健康；保健卫生；以及其他必要的预防性医疗活动。</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疾病和生育保险：工人和养恤金领取者有权获得现金和实物补助，例如：医疗诊断以及口腔、外科、住院和药物冶疗及康复，同一种疾病最多可接受</w:t>
      </w:r>
      <w:r>
        <w:rPr>
          <w:rFonts w:hint="eastAsia"/>
        </w:rPr>
        <w:t>52</w:t>
      </w:r>
      <w:r>
        <w:rPr>
          <w:rFonts w:hint="eastAsia"/>
        </w:rPr>
        <w:t>周治疗；另外，如果是不卧床病人和养恤金领取治者，治疗一直进行到痊愈为止。</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在由于疾病而丧失工作能力的情况下，工人可以根据《联邦国家工人法》第</w:t>
      </w:r>
      <w:r>
        <w:rPr>
          <w:rFonts w:hint="eastAsia"/>
        </w:rPr>
        <w:t>111</w:t>
      </w:r>
      <w:r>
        <w:rPr>
          <w:rFonts w:hint="eastAsia"/>
        </w:rPr>
        <w:t>条获得全薪或半薪病假。如果丧失工作能力持续时间超过</w:t>
      </w:r>
      <w:r>
        <w:rPr>
          <w:rFonts w:hint="eastAsia"/>
        </w:rPr>
        <w:t>52</w:t>
      </w:r>
      <w:r>
        <w:rPr>
          <w:rFonts w:hint="eastAsia"/>
        </w:rPr>
        <w:t>周，该工人可以再额外停薪休假</w:t>
      </w:r>
      <w:r>
        <w:rPr>
          <w:rFonts w:hint="eastAsia"/>
        </w:rPr>
        <w:t>52</w:t>
      </w:r>
      <w:r>
        <w:rPr>
          <w:rFonts w:hint="eastAsia"/>
        </w:rPr>
        <w:t>周，在此期间国家工人社会保障和服务协会向他提供相当于基本工资</w:t>
      </w:r>
      <w:r>
        <w:rPr>
          <w:rFonts w:hint="eastAsia"/>
        </w:rPr>
        <w:t>50%</w:t>
      </w:r>
      <w:r>
        <w:rPr>
          <w:rFonts w:hint="eastAsia"/>
        </w:rPr>
        <w:t>的补</w:t>
      </w:r>
      <w:r>
        <w:rPr>
          <w:rFonts w:hint="eastAsia"/>
        </w:rPr>
        <w:t>助。该工人或养恤金领取者的受抚养人也继续有权获得医疗保健服务。</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应缴费支付给疾病、生育和预防医疗计划的是：由国家工人社会保障和服务协会支付养恤金领取者所领取的养恤金的</w:t>
      </w:r>
      <w:r>
        <w:rPr>
          <w:rFonts w:hint="eastAsia"/>
        </w:rPr>
        <w:t>4%</w:t>
      </w:r>
      <w:r>
        <w:rPr>
          <w:rFonts w:hint="eastAsia"/>
        </w:rPr>
        <w:t>和由相关实体和个人支付同一养恤金的</w:t>
      </w:r>
      <w:r>
        <w:rPr>
          <w:rFonts w:hint="eastAsia"/>
        </w:rPr>
        <w:t>4%</w:t>
      </w:r>
      <w:r>
        <w:rPr>
          <w:rFonts w:hint="eastAsia"/>
        </w:rPr>
        <w:t>。</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职业危险保险。职业危险是指在工作过程中或由于工作而发生的事故或疾病。其中包括当时或后来发生的器官损伤或功能紊乱，或者工作过程中或由于工作而引起的突然死亡。从家庭到工作场所之间发生的事故和由于工作造成的疾病也属于这一范畴。</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涉及以下内容的保险计划：因年龄或工作年限而退休、因丧失工作能力而停止工作、高龄</w:t>
      </w:r>
      <w:r>
        <w:rPr>
          <w:rFonts w:hint="eastAsia"/>
        </w:rPr>
        <w:t>死亡或中断就业和一次性补偿金。国家工人社会保障和服务协会应该在收到申请和必要材料之后</w:t>
      </w:r>
      <w:r>
        <w:rPr>
          <w:rFonts w:hint="eastAsia"/>
        </w:rPr>
        <w:t>90</w:t>
      </w:r>
      <w:r>
        <w:rPr>
          <w:rFonts w:hint="eastAsia"/>
        </w:rPr>
        <w:t>天内发放养恤金。如果没有按期发放，该机构必须</w:t>
      </w:r>
      <w:r>
        <w:rPr>
          <w:rFonts w:hint="eastAsia"/>
        </w:rPr>
        <w:t>100%</w:t>
      </w:r>
      <w:r>
        <w:rPr>
          <w:rFonts w:hint="eastAsia"/>
        </w:rPr>
        <w:t>支付该申请人可能得到的养恤金。</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如果一个工人既可以按照年龄或工作年限申请退休养恤金，也可以按照与工作无关的理由申请伤残养恤金，他可以自己选择其中一种。</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应支付的养恤金总数，除职业危险养恤金之外，不得超过基本工资的</w:t>
      </w:r>
      <w:r>
        <w:rPr>
          <w:rFonts w:hint="eastAsia"/>
        </w:rPr>
        <w:t>100%</w:t>
      </w:r>
      <w:r>
        <w:rPr>
          <w:rFonts w:hint="eastAsia"/>
        </w:rPr>
        <w:t>。</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养恤金数额每年应根据前一年的国家消费物价指数的增加值而相应增长。</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以日养恤金为基础，退休人员和养恤金领取者有权获得年度奖金，数额相当于在岗工人获得奖</w:t>
      </w:r>
      <w:r>
        <w:rPr>
          <w:rFonts w:hint="eastAsia"/>
        </w:rPr>
        <w:t>金的天数。</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男性工人工作满</w:t>
      </w:r>
      <w:r>
        <w:rPr>
          <w:rFonts w:hint="eastAsia"/>
        </w:rPr>
        <w:t>30</w:t>
      </w:r>
      <w:r>
        <w:rPr>
          <w:rFonts w:hint="eastAsia"/>
        </w:rPr>
        <w:t>年或超过</w:t>
      </w:r>
      <w:r>
        <w:rPr>
          <w:rFonts w:hint="eastAsia"/>
        </w:rPr>
        <w:t>30</w:t>
      </w:r>
      <w:r>
        <w:rPr>
          <w:rFonts w:hint="eastAsia"/>
        </w:rPr>
        <w:t>年，女性工人工作满</w:t>
      </w:r>
      <w:r>
        <w:rPr>
          <w:rFonts w:hint="eastAsia"/>
        </w:rPr>
        <w:t>25</w:t>
      </w:r>
      <w:r>
        <w:rPr>
          <w:rFonts w:hint="eastAsia"/>
        </w:rPr>
        <w:t>年或超过</w:t>
      </w:r>
      <w:r>
        <w:rPr>
          <w:rFonts w:hint="eastAsia"/>
        </w:rPr>
        <w:t>25</w:t>
      </w:r>
      <w:r>
        <w:rPr>
          <w:rFonts w:hint="eastAsia"/>
        </w:rPr>
        <w:t>年，向该机构缴费达到相同年限的人，有权获得退休养恤金，无论其年龄大小。以年龄或工作年限为基础的提前退休</w:t>
      </w:r>
      <w:r>
        <w:rPr>
          <w:rFonts w:hint="eastAsia"/>
        </w:rPr>
        <w:t>**</w:t>
      </w:r>
      <w:r>
        <w:rPr>
          <w:rFonts w:hint="eastAsia"/>
        </w:rPr>
        <w:t>养恤金发放给年龄达到</w:t>
      </w:r>
      <w:r>
        <w:rPr>
          <w:rFonts w:hint="eastAsia"/>
        </w:rPr>
        <w:t>55</w:t>
      </w:r>
      <w:r>
        <w:rPr>
          <w:rFonts w:hint="eastAsia"/>
        </w:rPr>
        <w:t>周岁、工作满</w:t>
      </w:r>
      <w:r>
        <w:rPr>
          <w:rFonts w:hint="eastAsia"/>
        </w:rPr>
        <w:t>15</w:t>
      </w:r>
      <w:r>
        <w:rPr>
          <w:rFonts w:hint="eastAsia"/>
        </w:rPr>
        <w:t>年且同期向该机构缴费的工人。退休养恤金的数额取决于工作年限，工作年限变化区间是</w:t>
      </w:r>
      <w:r>
        <w:rPr>
          <w:rFonts w:hint="eastAsia"/>
        </w:rPr>
        <w:t>15</w:t>
      </w:r>
      <w:r>
        <w:rPr>
          <w:rFonts w:hint="eastAsia"/>
        </w:rPr>
        <w:t>到</w:t>
      </w:r>
      <w:r>
        <w:rPr>
          <w:rFonts w:hint="eastAsia"/>
        </w:rPr>
        <w:t>29</w:t>
      </w:r>
      <w:r>
        <w:rPr>
          <w:rFonts w:hint="eastAsia"/>
        </w:rPr>
        <w:t>年，退休养恤金变化区间是全额退休养老金的</w:t>
      </w:r>
      <w:r>
        <w:rPr>
          <w:rFonts w:hint="eastAsia"/>
        </w:rPr>
        <w:t>50%</w:t>
      </w:r>
      <w:r>
        <w:rPr>
          <w:rFonts w:hint="eastAsia"/>
        </w:rPr>
        <w:t>到</w:t>
      </w:r>
      <w:r>
        <w:rPr>
          <w:rFonts w:hint="eastAsia"/>
        </w:rPr>
        <w:t>95%</w:t>
      </w:r>
      <w:r>
        <w:rPr>
          <w:rFonts w:hint="eastAsia"/>
        </w:rPr>
        <w:t>。</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非工作或就业原因造成的身体或精神残疾工人有权获得伤残养恤金，只要他们至少已向该机构缴费</w:t>
      </w:r>
      <w:r>
        <w:rPr>
          <w:rFonts w:hint="eastAsia"/>
        </w:rPr>
        <w:t>15</w:t>
      </w:r>
      <w:r>
        <w:rPr>
          <w:rFonts w:hint="eastAsia"/>
        </w:rPr>
        <w:t>年。养恤金的数额相当于根据年龄或工作年限发放的提前退休</w:t>
      </w:r>
      <w:r>
        <w:rPr>
          <w:rFonts w:hint="eastAsia"/>
        </w:rPr>
        <w:t>养老金的数额。</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同居者、孤儿或已故者的父母也有权获得养恤金。如果工人死于非工作原因，无论年龄，只要他或她向该机构缴费超过</w:t>
      </w:r>
      <w:r>
        <w:rPr>
          <w:rFonts w:hint="eastAsia"/>
        </w:rPr>
        <w:t>15</w:t>
      </w:r>
      <w:r>
        <w:rPr>
          <w:rFonts w:hint="eastAsia"/>
        </w:rPr>
        <w:t>年，或者该工人死亡时达到</w:t>
      </w:r>
      <w:r>
        <w:rPr>
          <w:rFonts w:hint="eastAsia"/>
        </w:rPr>
        <w:t>60</w:t>
      </w:r>
      <w:r>
        <w:rPr>
          <w:rFonts w:hint="eastAsia"/>
        </w:rPr>
        <w:t>周岁且至少已经缴费</w:t>
      </w:r>
      <w:r>
        <w:rPr>
          <w:rFonts w:hint="eastAsia"/>
        </w:rPr>
        <w:t>10</w:t>
      </w:r>
      <w:r>
        <w:rPr>
          <w:rFonts w:hint="eastAsia"/>
        </w:rPr>
        <w:t>年，都可产生此项权利。以上条件还适用于领取正常养恤金者、按照年龄或工作年限领取提前退休养恤金者、高龄失业养恤金领取者和伤残养恤金领取者。</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经确认的死亡工人或养恤金领取者的被抚养人有权获得相当于基本工作</w:t>
      </w:r>
      <w:r>
        <w:rPr>
          <w:rFonts w:hint="eastAsia"/>
        </w:rPr>
        <w:t>100%</w:t>
      </w:r>
      <w:r>
        <w:rPr>
          <w:rFonts w:hint="eastAsia"/>
        </w:rPr>
        <w:t>的养恤金。</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年龄达到或超过</w:t>
      </w:r>
      <w:r>
        <w:rPr>
          <w:rFonts w:hint="eastAsia"/>
        </w:rPr>
        <w:t>60</w:t>
      </w:r>
      <w:r>
        <w:rPr>
          <w:rFonts w:hint="eastAsia"/>
        </w:rPr>
        <w:t>周岁自愿退休者或失业者，以及已向该机构至少缴费</w:t>
      </w:r>
      <w:r>
        <w:rPr>
          <w:rFonts w:hint="eastAsia"/>
        </w:rPr>
        <w:t>10</w:t>
      </w:r>
      <w:r>
        <w:rPr>
          <w:rFonts w:hint="eastAsia"/>
        </w:rPr>
        <w:t>年的人有权获得高龄中断就业养恤金。该养恤金在基本工</w:t>
      </w:r>
      <w:r>
        <w:rPr>
          <w:rFonts w:hint="eastAsia"/>
        </w:rPr>
        <w:t>资的</w:t>
      </w:r>
      <w:r>
        <w:rPr>
          <w:rFonts w:hint="eastAsia"/>
        </w:rPr>
        <w:t>40%</w:t>
      </w:r>
      <w:r>
        <w:rPr>
          <w:rFonts w:hint="eastAsia"/>
        </w:rPr>
        <w:t>到</w:t>
      </w:r>
      <w:r>
        <w:rPr>
          <w:rFonts w:hint="eastAsia"/>
        </w:rPr>
        <w:t>50%</w:t>
      </w:r>
      <w:r>
        <w:rPr>
          <w:rFonts w:hint="eastAsia"/>
        </w:rPr>
        <w:t>之间浮动计算，工作达到</w:t>
      </w:r>
      <w:r>
        <w:rPr>
          <w:rFonts w:hint="eastAsia"/>
        </w:rPr>
        <w:t>10</w:t>
      </w:r>
      <w:r>
        <w:rPr>
          <w:rFonts w:hint="eastAsia"/>
        </w:rPr>
        <w:t>年，支付年龄在</w:t>
      </w:r>
      <w:r>
        <w:rPr>
          <w:rFonts w:hint="eastAsia"/>
        </w:rPr>
        <w:t>60</w:t>
      </w:r>
      <w:r>
        <w:rPr>
          <w:rFonts w:hint="eastAsia"/>
        </w:rPr>
        <w:t>周岁到</w:t>
      </w:r>
      <w:r>
        <w:rPr>
          <w:rFonts w:hint="eastAsia"/>
        </w:rPr>
        <w:t>65</w:t>
      </w:r>
      <w:r>
        <w:rPr>
          <w:rFonts w:hint="eastAsia"/>
        </w:rPr>
        <w:t>周岁之间。</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无权获得法定退休养恤金、按照年龄或工作年限领取的提前退休养恤金、高龄失业养恤金或伤残养恤金的工人以及不再工作的工人有权获得一次性补助金。数额完全取决于该工人向本机构缴费的数额，如果他的工作时间达到</w:t>
      </w:r>
      <w:r>
        <w:rPr>
          <w:rFonts w:hint="eastAsia"/>
        </w:rPr>
        <w:t>5</w:t>
      </w:r>
      <w:r>
        <w:rPr>
          <w:rFonts w:hint="eastAsia"/>
        </w:rPr>
        <w:t>至</w:t>
      </w:r>
      <w:r>
        <w:rPr>
          <w:rFonts w:hint="eastAsia"/>
        </w:rPr>
        <w:t>9</w:t>
      </w:r>
      <w:r>
        <w:rPr>
          <w:rFonts w:hint="eastAsia"/>
        </w:rPr>
        <w:t>年，另外加上</w:t>
      </w:r>
      <w:r>
        <w:rPr>
          <w:rFonts w:hint="eastAsia"/>
        </w:rPr>
        <w:t>45</w:t>
      </w:r>
      <w:r>
        <w:rPr>
          <w:rFonts w:hint="eastAsia"/>
        </w:rPr>
        <w:t>天的最后基本工资；如果他工作达到</w:t>
      </w:r>
      <w:r>
        <w:rPr>
          <w:rFonts w:hint="eastAsia"/>
        </w:rPr>
        <w:t>9</w:t>
      </w:r>
      <w:r>
        <w:rPr>
          <w:rFonts w:hint="eastAsia"/>
        </w:rPr>
        <w:t>至</w:t>
      </w:r>
      <w:r>
        <w:rPr>
          <w:rFonts w:hint="eastAsia"/>
        </w:rPr>
        <w:t>14</w:t>
      </w:r>
      <w:r>
        <w:rPr>
          <w:rFonts w:hint="eastAsia"/>
        </w:rPr>
        <w:t>年，数额相当于其缴费总额加上</w:t>
      </w:r>
      <w:r>
        <w:rPr>
          <w:rFonts w:hint="eastAsia"/>
        </w:rPr>
        <w:t>90</w:t>
      </w:r>
      <w:r>
        <w:rPr>
          <w:rFonts w:hint="eastAsia"/>
        </w:rPr>
        <w:t>天的最后基本工资。这项一次性补助金可以支付给该工人的受益人，如果他已死亡且无权获得上述养恤金。</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儿童福利和发展保健服务。在儿童福利和发展中</w:t>
      </w:r>
      <w:r>
        <w:rPr>
          <w:rFonts w:hint="eastAsia"/>
        </w:rPr>
        <w:t>心，在国家工人社会保障和服务协会指定的地点向参加工作父母（或有监护权的丧偶者或离婚者）的</w:t>
      </w:r>
      <w:r>
        <w:rPr>
          <w:rFonts w:hint="eastAsia"/>
        </w:rPr>
        <w:t>60</w:t>
      </w:r>
      <w:r>
        <w:rPr>
          <w:rFonts w:hint="eastAsia"/>
        </w:rPr>
        <w:t>天至</w:t>
      </w:r>
      <w:r>
        <w:rPr>
          <w:rFonts w:hint="eastAsia"/>
        </w:rPr>
        <w:t>6</w:t>
      </w:r>
      <w:r>
        <w:rPr>
          <w:rFonts w:hint="eastAsia"/>
        </w:rPr>
        <w:t>周岁子女提供服务。在这些中心，通过健康、心理、社会服务、营养和辅助教育服务促进儿童和谐全面的发展。这些服务帮助就业女性赢得职业发展并增加家庭收入。</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退休者和养恤金领取者的综合服务：根据《国家工人社会保障和服务协会法》，退休工人应继续享有的服务和福利包括：（</w:t>
      </w:r>
      <w:r>
        <w:rPr>
          <w:rFonts w:hint="eastAsia"/>
        </w:rPr>
        <w:t>a</w:t>
      </w:r>
      <w:r>
        <w:rPr>
          <w:rFonts w:hint="eastAsia"/>
        </w:rPr>
        <w:t>）退休养恤金；（</w:t>
      </w:r>
      <w:r>
        <w:rPr>
          <w:rFonts w:hint="eastAsia"/>
        </w:rPr>
        <w:t>b</w:t>
      </w:r>
      <w:r>
        <w:rPr>
          <w:rFonts w:hint="eastAsia"/>
        </w:rPr>
        <w:t>）医疗服务；（</w:t>
      </w:r>
      <w:r>
        <w:rPr>
          <w:rFonts w:hint="eastAsia"/>
        </w:rPr>
        <w:t>c</w:t>
      </w:r>
      <w:r>
        <w:rPr>
          <w:rFonts w:hint="eastAsia"/>
        </w:rPr>
        <w:t>）年度奖金；（</w:t>
      </w:r>
      <w:r>
        <w:rPr>
          <w:rFonts w:hint="eastAsia"/>
        </w:rPr>
        <w:t>d</w:t>
      </w:r>
      <w:r>
        <w:rPr>
          <w:rFonts w:hint="eastAsia"/>
        </w:rPr>
        <w:t>）商店；（</w:t>
      </w:r>
      <w:r>
        <w:rPr>
          <w:rFonts w:hint="eastAsia"/>
        </w:rPr>
        <w:t>e</w:t>
      </w:r>
      <w:r>
        <w:rPr>
          <w:rFonts w:hint="eastAsia"/>
        </w:rPr>
        <w:t>）医务室；（</w:t>
      </w:r>
      <w:r>
        <w:rPr>
          <w:rFonts w:hint="eastAsia"/>
        </w:rPr>
        <w:t>f</w:t>
      </w:r>
      <w:r>
        <w:rPr>
          <w:rFonts w:hint="eastAsia"/>
        </w:rPr>
        <w:t>）社会和文化服务；（</w:t>
      </w:r>
      <w:r>
        <w:rPr>
          <w:rFonts w:hint="eastAsia"/>
        </w:rPr>
        <w:t>g</w:t>
      </w:r>
      <w:r>
        <w:rPr>
          <w:rFonts w:hint="eastAsia"/>
        </w:rPr>
        <w:t>）多种社会保险；（</w:t>
      </w:r>
      <w:r>
        <w:rPr>
          <w:rFonts w:hint="eastAsia"/>
        </w:rPr>
        <w:t>h</w:t>
      </w:r>
      <w:r>
        <w:rPr>
          <w:rFonts w:hint="eastAsia"/>
        </w:rPr>
        <w:t>）体育运动；（</w:t>
      </w:r>
      <w:r>
        <w:rPr>
          <w:rFonts w:hint="eastAsia"/>
        </w:rPr>
        <w:t>i</w:t>
      </w:r>
      <w:r>
        <w:rPr>
          <w:rFonts w:hint="eastAsia"/>
        </w:rPr>
        <w:t>）短期和中期信贷；（</w:t>
      </w:r>
      <w:r>
        <w:rPr>
          <w:rFonts w:hint="eastAsia"/>
        </w:rPr>
        <w:t>j</w:t>
      </w:r>
      <w:r>
        <w:rPr>
          <w:rFonts w:hint="eastAsia"/>
        </w:rPr>
        <w:t>）丧葬费（日养老金×</w:t>
      </w:r>
      <w:r>
        <w:rPr>
          <w:rFonts w:hint="eastAsia"/>
        </w:rPr>
        <w:t>120</w:t>
      </w:r>
      <w:r>
        <w:rPr>
          <w:rFonts w:hint="eastAsia"/>
        </w:rPr>
        <w:t>）；（</w:t>
      </w:r>
      <w:r>
        <w:rPr>
          <w:rFonts w:hint="eastAsia"/>
        </w:rPr>
        <w:t>k</w:t>
      </w:r>
      <w:r>
        <w:rPr>
          <w:rFonts w:hint="eastAsia"/>
        </w:rPr>
        <w:t>）年历调整工资（</w:t>
      </w:r>
      <w:r>
        <w:rPr>
          <w:rFonts w:hint="eastAsia"/>
        </w:rPr>
        <w:t>5</w:t>
      </w:r>
      <w:r>
        <w:t>-</w:t>
      </w:r>
      <w:r>
        <w:rPr>
          <w:rFonts w:hint="eastAsia"/>
        </w:rPr>
        <w:t>6</w:t>
      </w:r>
      <w:r>
        <w:rPr>
          <w:rFonts w:hint="eastAsia"/>
        </w:rPr>
        <w:t>天）；（</w:t>
      </w:r>
      <w:r>
        <w:rPr>
          <w:rFonts w:hint="eastAsia"/>
        </w:rPr>
        <w:t>l</w:t>
      </w:r>
      <w:r>
        <w:rPr>
          <w:rFonts w:hint="eastAsia"/>
        </w:rPr>
        <w:t>）</w:t>
      </w:r>
      <w:r>
        <w:rPr>
          <w:rFonts w:hint="eastAsia"/>
        </w:rPr>
        <w:t>TURISSSTE</w:t>
      </w:r>
      <w:r>
        <w:rPr>
          <w:rFonts w:hint="eastAsia"/>
        </w:rPr>
        <w:t>折扣价；和（</w:t>
      </w:r>
      <w:r>
        <w:rPr>
          <w:rFonts w:hint="eastAsia"/>
        </w:rPr>
        <w:t>m</w:t>
      </w:r>
      <w:r>
        <w:rPr>
          <w:rFonts w:hint="eastAsia"/>
        </w:rPr>
        <w:t>）艺术活动。</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出租或出售属于该机构的廉价住房；住房出租并可选择购买；按照银行安排可以获得最高相当于住房价值</w:t>
      </w:r>
      <w:r>
        <w:rPr>
          <w:rFonts w:hint="eastAsia"/>
        </w:rPr>
        <w:t>85%</w:t>
      </w:r>
      <w:r>
        <w:rPr>
          <w:rFonts w:hint="eastAsia"/>
        </w:rPr>
        <w:t>的信贷；购买者必须向该机构提供足以覆盖剩余部分的其他额外担保。</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一般抵押借款和提供住房资金；国家工人社会保障和服务协会通过其住房基金（</w:t>
      </w:r>
      <w:r>
        <w:rPr>
          <w:rFonts w:hint="eastAsia"/>
        </w:rPr>
        <w:t>FOVISSSTE</w:t>
      </w:r>
      <w:r>
        <w:rPr>
          <w:rFonts w:hint="eastAsia"/>
        </w:rPr>
        <w:t>），运作融资系统，使工人可以获得低廉且足够的贷款购买、建造、维修、扩大或改建住宅，或者支付与此有关的交易税、公证费和其他债务。</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中期贷款：国家工人社</w:t>
      </w:r>
      <w:r>
        <w:rPr>
          <w:rFonts w:hint="eastAsia"/>
        </w:rPr>
        <w:t>会保障和服务协会管辖下的工人和养恤金领取者可以获得贷款在该协会的购物中心和商店购买耐用消费品，最高贷款额度为</w:t>
      </w:r>
      <w:r>
        <w:rPr>
          <w:rFonts w:hint="eastAsia"/>
        </w:rPr>
        <w:t>4 702</w:t>
      </w:r>
      <w:r>
        <w:t>.</w:t>
      </w:r>
      <w:r>
        <w:rPr>
          <w:rFonts w:hint="eastAsia"/>
        </w:rPr>
        <w:t>90</w:t>
      </w:r>
      <w:r>
        <w:rPr>
          <w:rFonts w:hint="eastAsia"/>
        </w:rPr>
        <w:t>比索（约合</w:t>
      </w:r>
      <w:r>
        <w:rPr>
          <w:rFonts w:hint="eastAsia"/>
        </w:rPr>
        <w:t>400</w:t>
      </w:r>
      <w:r>
        <w:rPr>
          <w:rFonts w:hint="eastAsia"/>
        </w:rPr>
        <w:t>美元），最长期限是</w:t>
      </w:r>
      <w:r>
        <w:t>120</w:t>
      </w:r>
      <w:r>
        <w:rPr>
          <w:rFonts w:hint="eastAsia"/>
        </w:rPr>
        <w:t>周，利率是结欠数额的</w:t>
      </w:r>
      <w:r>
        <w:rPr>
          <w:rFonts w:hint="eastAsia"/>
        </w:rPr>
        <w:t>9</w:t>
      </w:r>
      <w:r>
        <w:rPr>
          <w:rFonts w:hint="eastAsia"/>
        </w:rPr>
        <w:t>＞</w:t>
      </w:r>
      <w:r>
        <w:rPr>
          <w:rFonts w:hint="eastAsia"/>
        </w:rPr>
        <w:t>%</w:t>
      </w:r>
      <w:r>
        <w:rPr>
          <w:rFonts w:hint="eastAsia"/>
        </w:rPr>
        <w:t>。</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短期贷款：提供贷款以使工人和养恤金领取者能够在国家工人社会保障和服务协会的购物中心和商店购买耐用消费品，最高贷款额度为</w:t>
      </w:r>
      <w:r>
        <w:rPr>
          <w:rFonts w:hint="eastAsia"/>
        </w:rPr>
        <w:t>4</w:t>
      </w:r>
      <w:r>
        <w:t xml:space="preserve"> </w:t>
      </w:r>
      <w:r>
        <w:rPr>
          <w:rFonts w:hint="eastAsia"/>
        </w:rPr>
        <w:t>702</w:t>
      </w:r>
      <w:r>
        <w:t>.</w:t>
      </w:r>
      <w:r>
        <w:rPr>
          <w:rFonts w:hint="eastAsia"/>
        </w:rPr>
        <w:t>90</w:t>
      </w:r>
      <w:r>
        <w:rPr>
          <w:rFonts w:hint="eastAsia"/>
        </w:rPr>
        <w:t>比索（约合</w:t>
      </w:r>
      <w:r>
        <w:rPr>
          <w:rFonts w:hint="eastAsia"/>
        </w:rPr>
        <w:t>400</w:t>
      </w:r>
      <w:r>
        <w:rPr>
          <w:rFonts w:hint="eastAsia"/>
        </w:rPr>
        <w:t>美元），最长期限是</w:t>
      </w:r>
      <w:r>
        <w:t>1</w:t>
      </w:r>
      <w:r>
        <w:rPr>
          <w:rFonts w:hint="eastAsia"/>
        </w:rPr>
        <w:t>20</w:t>
      </w:r>
      <w:r>
        <w:rPr>
          <w:rFonts w:hint="eastAsia"/>
        </w:rPr>
        <w:t>周，利率是结欠数额的</w:t>
      </w:r>
      <w:r>
        <w:rPr>
          <w:rFonts w:hint="eastAsia"/>
        </w:rPr>
        <w:t>9</w:t>
      </w:r>
      <w:r>
        <w:rPr>
          <w:rFonts w:hint="eastAsia"/>
        </w:rPr>
        <w:t>＞</w:t>
      </w:r>
      <w:r>
        <w:rPr>
          <w:rFonts w:hint="eastAsia"/>
        </w:rPr>
        <w:t>%</w:t>
      </w:r>
      <w:r>
        <w:rPr>
          <w:rFonts w:hint="eastAsia"/>
        </w:rPr>
        <w:t>。这些贷款如果没有未清余额则可以延期；因此前期贷款清偿之前不能发放新的此种贷款。</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为改善公务员及其所抚养的家庭成员的生</w:t>
      </w:r>
      <w:r>
        <w:rPr>
          <w:rFonts w:hint="eastAsia"/>
        </w:rPr>
        <w:t>活质量提供的服务。该机构通过提供服务满足工人及其家庭的基本生活需要，服务包括帮助工人养家</w:t>
      </w:r>
      <w:r>
        <w:t>**</w:t>
      </w:r>
      <w:r>
        <w:rPr>
          <w:rFonts w:hint="eastAsia"/>
        </w:rPr>
        <w:t>，通过</w:t>
      </w:r>
      <w:r>
        <w:rPr>
          <w:rFonts w:hint="eastAsia"/>
        </w:rPr>
        <w:t>389</w:t>
      </w:r>
      <w:r>
        <w:rPr>
          <w:rFonts w:hint="eastAsia"/>
        </w:rPr>
        <w:t>个销售单位保护工资购买力（</w:t>
      </w:r>
      <w:r>
        <w:rPr>
          <w:rFonts w:hint="eastAsia"/>
        </w:rPr>
        <w:t>264</w:t>
      </w:r>
      <w:r>
        <w:rPr>
          <w:rFonts w:hint="eastAsia"/>
        </w:rPr>
        <w:t>家商店和</w:t>
      </w:r>
      <w:r>
        <w:rPr>
          <w:rFonts w:hint="eastAsia"/>
        </w:rPr>
        <w:t>125</w:t>
      </w:r>
      <w:r>
        <w:rPr>
          <w:rFonts w:hint="eastAsia"/>
        </w:rPr>
        <w:t>家药房）。这些服务有助于推行更加合理健康的饮食模式，例如主食销售、家用消费品、经济且均衡的营养、旅游中心、丧葬服务等等。</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旅游服务：包括咨询、信息、提供住宿、交通、国际旅游服务和短程旅行；公园和游泳池个人或集体门票。还提供旅游信贷，这取决于相关工人的工作年限；它可以用来支付住宿费、陆、海、空交通工具乘运费以及国内和国际客船乘运费。</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文化推广，涉及技术培训、体育</w:t>
      </w:r>
      <w:r>
        <w:rPr>
          <w:rFonts w:hint="eastAsia"/>
        </w:rPr>
        <w:t>推广和娱乐；该机构在这一领域开展的活动旨在促使社会和家庭进入更健康的生活。国家工人社会保障和服务协会组织了以下活动：瑜伽、散步、田径运动、体操、跆拳道、空手道、国际象棋、登山、排球、英式足球、桌上足球游戏、篮球、老年排球、太极拳、多米诺骨牌游戏、有氧体育运动、室内娱乐活动、探险、残疾人体育运动、儿童福利和发展中心的体育训练和运动医疗保健。</w:t>
      </w:r>
    </w:p>
    <w:p w:rsidR="00000000" w:rsidRDefault="00457650" w:rsidP="00457650">
      <w:pPr>
        <w:widowControl/>
        <w:tabs>
          <w:tab w:val="left" w:pos="630"/>
        </w:tabs>
        <w:spacing w:after="240" w:line="360" w:lineRule="exact"/>
        <w:ind w:leftChars="500" w:left="31680" w:firstLineChars="200" w:firstLine="31680"/>
        <w:rPr>
          <w:rFonts w:hint="eastAsia"/>
        </w:rPr>
      </w:pPr>
      <w:r>
        <w:rPr>
          <w:rFonts w:hint="eastAsia"/>
        </w:rPr>
        <w:t>退休者和养恤金领取者还在工厂中开展其他创造性和生产性的活动，例如细木工活、裁剪和制衣、修理家用电器、生产拖把和墩布</w:t>
      </w:r>
      <w:r>
        <w:t>**</w:t>
      </w:r>
      <w:r>
        <w:rPr>
          <w:rFonts w:hint="eastAsia"/>
        </w:rPr>
        <w:t>；还开展室外舞蹈、文学晚会，而且按照</w:t>
      </w:r>
      <w:r>
        <w:rPr>
          <w:rFonts w:hint="eastAsia"/>
        </w:rPr>
        <w:t>CONVIVE</w:t>
      </w:r>
      <w:r>
        <w:rPr>
          <w:rFonts w:hint="eastAsia"/>
        </w:rPr>
        <w:t>项</w:t>
      </w:r>
      <w:r>
        <w:rPr>
          <w:rFonts w:hint="eastAsia"/>
        </w:rPr>
        <w:t>目，开展每周娱乐活动、文化和体育日、免费交通服务、住宿、就餐和远足。</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丧葬服务：目的是减轻生者的经济负担，提供高品质的丧葬服务，例如遗体运输、防腐、教堂服务、火化、埋葬、墓地销售、骨灰盒或棺材、灵车和哀悼者用车。</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退休储蓄计划：所有单位和机构都有义务向国家工人社会保障和服务协会退休储蓄计划缴纳适当的费用，作为每个工人的现金存款。该计划的目的是为每个工人建立其名下的个人银行账户，以便在其退休时增加本人的可得补助。这是《国家工人社会保障和服务协会法》规定的福利之外的额外补助。费用每两个月缴纳一次；其数额相当于该</w:t>
      </w:r>
      <w:r>
        <w:rPr>
          <w:rFonts w:hint="eastAsia"/>
        </w:rPr>
        <w:t>工人基本福利工资的</w:t>
      </w:r>
      <w:r>
        <w:rPr>
          <w:rFonts w:hint="eastAsia"/>
        </w:rPr>
        <w:t>2%</w:t>
      </w:r>
      <w:r>
        <w:rPr>
          <w:rFonts w:hint="eastAsia"/>
        </w:rPr>
        <w:t>。</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29</w:t>
      </w:r>
      <w:r>
        <w:rPr>
          <w:rFonts w:ascii="SimHei" w:eastAsia="SimHei" w:hint="eastAsia"/>
        </w:rPr>
        <w:t>段</w:t>
      </w:r>
    </w:p>
    <w:p w:rsidR="00000000" w:rsidRDefault="00457650">
      <w:pPr>
        <w:keepNext/>
        <w:widowControl/>
        <w:tabs>
          <w:tab w:val="left" w:pos="630"/>
        </w:tabs>
        <w:spacing w:after="240" w:line="360" w:lineRule="exact"/>
        <w:rPr>
          <w:rFonts w:hint="eastAsia"/>
        </w:rPr>
      </w:pPr>
      <w:r>
        <w:rPr>
          <w:rFonts w:hint="eastAsia"/>
        </w:rPr>
        <w:t>350.</w:t>
      </w:r>
      <w:r>
        <w:rPr>
          <w:rFonts w:hint="eastAsia"/>
        </w:rPr>
        <w:tab/>
        <w:t>2004</w:t>
      </w:r>
      <w:r>
        <w:rPr>
          <w:rFonts w:hint="eastAsia"/>
        </w:rPr>
        <w:t>年</w:t>
      </w:r>
      <w:r>
        <w:rPr>
          <w:rFonts w:hint="eastAsia"/>
        </w:rPr>
        <w:t>1-7</w:t>
      </w:r>
      <w:r>
        <w:rPr>
          <w:rFonts w:hint="eastAsia"/>
        </w:rPr>
        <w:t>月期间，社会保障局和国家工人社会保障和服务协会记录的社会保障计划开支总额为</w:t>
      </w:r>
      <w:r>
        <w:rPr>
          <w:rFonts w:hint="eastAsia"/>
        </w:rPr>
        <w:t xml:space="preserve">     1 363.206</w:t>
      </w:r>
      <w:r>
        <w:rPr>
          <w:rFonts w:hint="eastAsia"/>
        </w:rPr>
        <w:t>亿比索，与前一年同期相比实际增长</w:t>
      </w:r>
      <w:r>
        <w:rPr>
          <w:rFonts w:hint="eastAsia"/>
        </w:rPr>
        <w:t>8.6%</w:t>
      </w:r>
      <w:r>
        <w:rPr>
          <w:rFonts w:hint="eastAsia"/>
        </w:rPr>
        <w:t>以上。</w:t>
      </w:r>
    </w:p>
    <w:p w:rsidR="00000000" w:rsidRDefault="00457650">
      <w:pPr>
        <w:widowControl/>
        <w:tabs>
          <w:tab w:val="left" w:pos="630"/>
        </w:tabs>
        <w:spacing w:after="240" w:line="360" w:lineRule="exact"/>
        <w:rPr>
          <w:rFonts w:hint="eastAsia"/>
        </w:rPr>
      </w:pPr>
      <w:r>
        <w:rPr>
          <w:rFonts w:hint="eastAsia"/>
        </w:rPr>
        <w:t>351.</w:t>
      </w:r>
      <w:r>
        <w:rPr>
          <w:rFonts w:hint="eastAsia"/>
        </w:rPr>
        <w:tab/>
      </w:r>
      <w:r>
        <w:rPr>
          <w:rFonts w:hint="eastAsia"/>
        </w:rPr>
        <w:t>社会保障局的开支占其总数的</w:t>
      </w:r>
      <w:r>
        <w:rPr>
          <w:rFonts w:hint="eastAsia"/>
        </w:rPr>
        <w:t>76.8%</w:t>
      </w:r>
      <w:r>
        <w:rPr>
          <w:rFonts w:hint="eastAsia"/>
        </w:rPr>
        <w:t>，即</w:t>
      </w:r>
      <w:r>
        <w:rPr>
          <w:rFonts w:hint="eastAsia"/>
        </w:rPr>
        <w:t>1 047.716</w:t>
      </w:r>
      <w:r>
        <w:rPr>
          <w:rFonts w:hint="eastAsia"/>
        </w:rPr>
        <w:t>亿比索；与前一年同期相比实际增长</w:t>
      </w:r>
      <w:r>
        <w:rPr>
          <w:rFonts w:hint="eastAsia"/>
        </w:rPr>
        <w:t>0.3%</w:t>
      </w:r>
      <w:r>
        <w:rPr>
          <w:rFonts w:hint="eastAsia"/>
        </w:rPr>
        <w:t>以上。</w:t>
      </w:r>
    </w:p>
    <w:p w:rsidR="00000000" w:rsidRDefault="00457650">
      <w:pPr>
        <w:widowControl/>
        <w:tabs>
          <w:tab w:val="left" w:pos="630"/>
        </w:tabs>
        <w:spacing w:after="240" w:line="360" w:lineRule="exact"/>
        <w:rPr>
          <w:rFonts w:hint="eastAsia"/>
        </w:rPr>
      </w:pPr>
      <w:r>
        <w:rPr>
          <w:rFonts w:hint="eastAsia"/>
        </w:rPr>
        <w:t>352.</w:t>
      </w:r>
      <w:r>
        <w:rPr>
          <w:rFonts w:hint="eastAsia"/>
        </w:rPr>
        <w:tab/>
        <w:t>2004</w:t>
      </w:r>
      <w:r>
        <w:rPr>
          <w:rFonts w:hint="eastAsia"/>
        </w:rPr>
        <w:t>年</w:t>
      </w:r>
      <w:r>
        <w:rPr>
          <w:rFonts w:hint="eastAsia"/>
        </w:rPr>
        <w:t>1-7</w:t>
      </w:r>
      <w:r>
        <w:rPr>
          <w:rFonts w:hint="eastAsia"/>
        </w:rPr>
        <w:t>月期间，国家工人社会保障和服务协会实施的计划开支达到</w:t>
      </w:r>
      <w:r>
        <w:rPr>
          <w:rFonts w:hint="eastAsia"/>
        </w:rPr>
        <w:t>315.49</w:t>
      </w:r>
      <w:r>
        <w:rPr>
          <w:rFonts w:hint="eastAsia"/>
        </w:rPr>
        <w:t>亿比索，与前一年同期相比实际增长</w:t>
      </w:r>
      <w:r>
        <w:rPr>
          <w:rFonts w:hint="eastAsia"/>
        </w:rPr>
        <w:t>1.3%</w:t>
      </w:r>
      <w:r>
        <w:rPr>
          <w:rFonts w:hint="eastAsia"/>
        </w:rPr>
        <w:t>以上。</w:t>
      </w:r>
    </w:p>
    <w:p w:rsidR="00000000" w:rsidRDefault="00457650">
      <w:pPr>
        <w:widowControl/>
        <w:tabs>
          <w:tab w:val="left" w:pos="630"/>
        </w:tabs>
        <w:spacing w:after="240" w:line="360" w:lineRule="exact"/>
        <w:rPr>
          <w:rFonts w:hint="eastAsia"/>
        </w:rPr>
      </w:pPr>
      <w:r>
        <w:rPr>
          <w:rFonts w:hint="eastAsia"/>
        </w:rPr>
        <w:t>353.</w:t>
      </w:r>
      <w:r>
        <w:rPr>
          <w:rFonts w:hint="eastAsia"/>
        </w:rPr>
        <w:tab/>
      </w:r>
      <w:r>
        <w:rPr>
          <w:rFonts w:hint="eastAsia"/>
        </w:rPr>
        <w:t>按每年的可比条件，社会保障局开支从</w:t>
      </w:r>
      <w:r>
        <w:rPr>
          <w:rFonts w:hint="eastAsia"/>
        </w:rPr>
        <w:t>1</w:t>
      </w:r>
      <w:r>
        <w:rPr>
          <w:rFonts w:hint="eastAsia"/>
        </w:rPr>
        <w:t xml:space="preserve"> 325.849</w:t>
      </w:r>
      <w:r>
        <w:rPr>
          <w:rFonts w:hint="eastAsia"/>
        </w:rPr>
        <w:t>亿比索下降到</w:t>
      </w:r>
      <w:r>
        <w:rPr>
          <w:rFonts w:hint="eastAsia"/>
        </w:rPr>
        <w:t>1 047.716</w:t>
      </w:r>
      <w:r>
        <w:rPr>
          <w:rFonts w:hint="eastAsia"/>
        </w:rPr>
        <w:t>亿比索，这</w:t>
      </w:r>
      <w:r>
        <w:rPr>
          <w:rFonts w:hint="eastAsia"/>
        </w:rPr>
        <w:t>10</w:t>
      </w:r>
      <w:r>
        <w:rPr>
          <w:rFonts w:hint="eastAsia"/>
        </w:rPr>
        <w:t>年的最高峰是</w:t>
      </w:r>
      <w:r>
        <w:rPr>
          <w:rFonts w:hint="eastAsia"/>
        </w:rPr>
        <w:t>2003</w:t>
      </w:r>
      <w:r>
        <w:rPr>
          <w:rFonts w:hint="eastAsia"/>
        </w:rPr>
        <w:t>年（</w:t>
      </w:r>
      <w:r>
        <w:rPr>
          <w:rFonts w:hint="eastAsia"/>
        </w:rPr>
        <w:t>1 775.125</w:t>
      </w:r>
      <w:r>
        <w:rPr>
          <w:rFonts w:hint="eastAsia"/>
        </w:rPr>
        <w:t>亿比索）。四年前，国家工人社会保障和服务协会的开支是</w:t>
      </w:r>
      <w:r>
        <w:rPr>
          <w:rFonts w:hint="eastAsia"/>
        </w:rPr>
        <w:t>396.267</w:t>
      </w:r>
      <w:r>
        <w:rPr>
          <w:rFonts w:hint="eastAsia"/>
        </w:rPr>
        <w:t>亿比索，其最高峰是</w:t>
      </w:r>
      <w:r>
        <w:rPr>
          <w:rFonts w:hint="eastAsia"/>
        </w:rPr>
        <w:t>2003</w:t>
      </w:r>
      <w:r>
        <w:rPr>
          <w:rFonts w:hint="eastAsia"/>
        </w:rPr>
        <w:t>年（</w:t>
      </w:r>
      <w:r>
        <w:rPr>
          <w:rFonts w:hint="eastAsia"/>
        </w:rPr>
        <w:t>580.433</w:t>
      </w:r>
      <w:r>
        <w:rPr>
          <w:rFonts w:hint="eastAsia"/>
        </w:rPr>
        <w:t>亿比索），但是今年下降到</w:t>
      </w:r>
      <w:r>
        <w:rPr>
          <w:rFonts w:hint="eastAsia"/>
        </w:rPr>
        <w:t>315.49</w:t>
      </w:r>
      <w:r>
        <w:rPr>
          <w:rFonts w:hint="eastAsia"/>
        </w:rPr>
        <w:t>亿比索。</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30</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354.</w:t>
      </w:r>
      <w:r>
        <w:rPr>
          <w:rFonts w:hint="eastAsia"/>
        </w:rPr>
        <w:tab/>
      </w:r>
      <w:r>
        <w:rPr>
          <w:rFonts w:hint="eastAsia"/>
        </w:rPr>
        <w:t>如上所述，社会保障局负责提供社会保障。为此，根据</w:t>
      </w:r>
      <w:r>
        <w:rPr>
          <w:rFonts w:hint="eastAsia"/>
        </w:rPr>
        <w:t>1997</w:t>
      </w:r>
      <w:r>
        <w:rPr>
          <w:rFonts w:hint="eastAsia"/>
        </w:rPr>
        <w:t>年修改的《社会保障法》，该机构同私人雇主议定了一项“工人退休储蓄计划”。</w:t>
      </w:r>
    </w:p>
    <w:p w:rsidR="00000000" w:rsidRDefault="00457650">
      <w:pPr>
        <w:widowControl/>
        <w:tabs>
          <w:tab w:val="left" w:pos="630"/>
        </w:tabs>
        <w:spacing w:after="240" w:line="360" w:lineRule="exact"/>
        <w:rPr>
          <w:rFonts w:hint="eastAsia"/>
        </w:rPr>
      </w:pPr>
      <w:r>
        <w:rPr>
          <w:rFonts w:hint="eastAsia"/>
        </w:rPr>
        <w:t>355.</w:t>
      </w:r>
      <w:r>
        <w:rPr>
          <w:rFonts w:hint="eastAsia"/>
        </w:rPr>
        <w:tab/>
      </w:r>
      <w:r>
        <w:rPr>
          <w:rFonts w:hint="eastAsia"/>
        </w:rPr>
        <w:t>“工人退休储蓄计划”包括开设个人账户，该账户接受来自三个方面的存款：墨西哥政府、工人和雇主。</w:t>
      </w:r>
    </w:p>
    <w:p w:rsidR="00000000" w:rsidRDefault="00457650">
      <w:pPr>
        <w:widowControl/>
        <w:tabs>
          <w:tab w:val="left" w:pos="630"/>
        </w:tabs>
        <w:spacing w:after="240" w:line="360" w:lineRule="exact"/>
        <w:rPr>
          <w:rFonts w:hint="eastAsia"/>
        </w:rPr>
      </w:pPr>
      <w:r>
        <w:rPr>
          <w:rFonts w:hint="eastAsia"/>
        </w:rPr>
        <w:t>356.</w:t>
      </w:r>
      <w:r>
        <w:rPr>
          <w:rFonts w:hint="eastAsia"/>
        </w:rPr>
        <w:tab/>
      </w:r>
      <w:r>
        <w:rPr>
          <w:rFonts w:hint="eastAsia"/>
        </w:rPr>
        <w:t>实施这一办法的目的是推动退休储蓄，保障工人退休时的养恤金。</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31</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357.</w:t>
      </w:r>
      <w:r>
        <w:rPr>
          <w:rFonts w:hint="eastAsia"/>
        </w:rPr>
        <w:tab/>
      </w:r>
      <w:r>
        <w:rPr>
          <w:rFonts w:hint="eastAsia"/>
        </w:rPr>
        <w:t>国家工人社会保障和服务协会正通过预防和卫生保健项目促进土著妇女加入各种公共医疗卫生服务，并希望通过预防和保健措施降低死亡率。瓦哈卡、恰帕斯、圣路易斯波托亚、</w:t>
      </w:r>
      <w:r>
        <w:t>瓜纳华托</w:t>
      </w:r>
      <w:r>
        <w:rPr>
          <w:rFonts w:hint="eastAsia"/>
        </w:rPr>
        <w:t>和柏布拉等地区办事处进行的“生活中团结互助”项目受到了特别的关注，尤其受到重视的是产妇风险和产前控制。对妇女健康的关注构成了这项战略的中心因素，其目标群体是</w:t>
      </w:r>
      <w:r>
        <w:rPr>
          <w:rFonts w:hint="eastAsia"/>
        </w:rPr>
        <w:t>20-59</w:t>
      </w:r>
      <w:r>
        <w:rPr>
          <w:rFonts w:hint="eastAsia"/>
        </w:rPr>
        <w:t>岁的妇女，她们将得到全面的关照。对妇女发放健康信息卡和卫生保健指南被认为非常重要，因为它们通</w:t>
      </w:r>
      <w:r>
        <w:rPr>
          <w:rFonts w:hint="eastAsia"/>
        </w:rPr>
        <w:t>过反复强调关注健康的共同责任密切了人们之间的关系。</w:t>
      </w:r>
    </w:p>
    <w:p w:rsidR="00000000" w:rsidRDefault="00457650">
      <w:pPr>
        <w:widowControl/>
        <w:tabs>
          <w:tab w:val="left" w:pos="630"/>
        </w:tabs>
        <w:spacing w:after="240" w:line="360" w:lineRule="exact"/>
        <w:rPr>
          <w:rFonts w:hint="eastAsia"/>
        </w:rPr>
      </w:pPr>
      <w:r>
        <w:rPr>
          <w:rFonts w:hint="eastAsia"/>
        </w:rPr>
        <w:t>358.</w:t>
      </w:r>
      <w:r>
        <w:rPr>
          <w:rFonts w:hint="eastAsia"/>
        </w:rPr>
        <w:tab/>
      </w:r>
      <w:r>
        <w:rPr>
          <w:rFonts w:hint="eastAsia"/>
        </w:rPr>
        <w:t>所有正式就业的群体都可领取社会保障津贴。</w:t>
      </w:r>
    </w:p>
    <w:p w:rsidR="00000000" w:rsidRDefault="00457650">
      <w:pPr>
        <w:widowControl/>
        <w:tabs>
          <w:tab w:val="left" w:pos="630"/>
        </w:tabs>
        <w:spacing w:after="240" w:line="360" w:lineRule="exact"/>
        <w:rPr>
          <w:rFonts w:hint="eastAsia"/>
        </w:rPr>
      </w:pPr>
      <w:r>
        <w:rPr>
          <w:rFonts w:hint="eastAsia"/>
        </w:rPr>
        <w:t>359.</w:t>
      </w:r>
      <w:r>
        <w:rPr>
          <w:rFonts w:hint="eastAsia"/>
        </w:rPr>
        <w:tab/>
      </w:r>
      <w:r>
        <w:rPr>
          <w:rFonts w:hint="eastAsia"/>
        </w:rPr>
        <w:t>墨西哥社会保障局的服务覆盖国内人口的</w:t>
      </w:r>
      <w:r>
        <w:rPr>
          <w:rFonts w:hint="eastAsia"/>
        </w:rPr>
        <w:t>40%</w:t>
      </w:r>
      <w:r>
        <w:rPr>
          <w:rFonts w:hint="eastAsia"/>
        </w:rPr>
        <w:t>。</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32</w:t>
      </w:r>
      <w:r>
        <w:rPr>
          <w:rFonts w:ascii="SimHei" w:eastAsia="SimHei" w:hint="eastAsia"/>
        </w:rPr>
        <w:t>段</w:t>
      </w:r>
    </w:p>
    <w:p w:rsidR="00000000" w:rsidRDefault="00457650">
      <w:pPr>
        <w:keepNext/>
        <w:widowControl/>
        <w:tabs>
          <w:tab w:val="left" w:pos="630"/>
        </w:tabs>
        <w:spacing w:after="240" w:line="360" w:lineRule="exact"/>
        <w:rPr>
          <w:rFonts w:hint="eastAsia"/>
        </w:rPr>
      </w:pPr>
      <w:r>
        <w:rPr>
          <w:rFonts w:hint="eastAsia"/>
        </w:rPr>
        <w:t>360.</w:t>
      </w:r>
      <w:r>
        <w:rPr>
          <w:rFonts w:hint="eastAsia"/>
        </w:rPr>
        <w:tab/>
      </w:r>
      <w:r>
        <w:rPr>
          <w:rFonts w:hint="eastAsia"/>
        </w:rPr>
        <w:t>事实上早些时候曾提交过一份报告，只有两个变化对社会保障权利产生影响。第一个是扩展了女性工作者受抚养的配偶生病时的医疗保险范围（《国家工人社会保障和服务协会法》第</w:t>
      </w:r>
      <w:r>
        <w:rPr>
          <w:rFonts w:hint="eastAsia"/>
        </w:rPr>
        <w:t>24</w:t>
      </w:r>
      <w:r>
        <w:rPr>
          <w:rFonts w:hint="eastAsia"/>
        </w:rPr>
        <w:t>条（</w:t>
      </w:r>
      <w:r>
        <w:rPr>
          <w:rFonts w:hint="eastAsia"/>
        </w:rPr>
        <w:t>1</w:t>
      </w:r>
      <w:r>
        <w:rPr>
          <w:rFonts w:hint="eastAsia"/>
        </w:rPr>
        <w:t>）修正案，</w:t>
      </w:r>
      <w:r>
        <w:rPr>
          <w:rFonts w:hint="eastAsia"/>
        </w:rPr>
        <w:t>2000</w:t>
      </w:r>
      <w:r>
        <w:rPr>
          <w:rFonts w:hint="eastAsia"/>
        </w:rPr>
        <w:t>年</w:t>
      </w:r>
      <w:r>
        <w:rPr>
          <w:rFonts w:hint="eastAsia"/>
        </w:rPr>
        <w:t>5</w:t>
      </w:r>
      <w:r>
        <w:rPr>
          <w:rFonts w:hint="eastAsia"/>
        </w:rPr>
        <w:t>月</w:t>
      </w:r>
      <w:r>
        <w:rPr>
          <w:rFonts w:hint="eastAsia"/>
        </w:rPr>
        <w:t>12</w:t>
      </w:r>
      <w:r>
        <w:rPr>
          <w:rFonts w:hint="eastAsia"/>
        </w:rPr>
        <w:t>日推行）。这是女性工作者的胜利，因为以前只有男性工作者的受扶养妻子享有这项权利。第二个变动与退休金数额有关；迄今为止，它们每年根据一般</w:t>
      </w:r>
      <w:r>
        <w:rPr>
          <w:rFonts w:hint="eastAsia"/>
        </w:rPr>
        <w:t>最低薪酬的变化进行修订，不过，此后将根据历年全国消费价格指数的变化确定。但是，如果消费价格低于在职工人的基本工资，养恤金数额应该和后者保持一致。（第</w:t>
      </w:r>
      <w:r>
        <w:rPr>
          <w:rFonts w:hint="eastAsia"/>
        </w:rPr>
        <w:t>57</w:t>
      </w:r>
      <w:r>
        <w:rPr>
          <w:rFonts w:hint="eastAsia"/>
        </w:rPr>
        <w:t>条修正案，</w:t>
      </w:r>
      <w:r>
        <w:rPr>
          <w:rFonts w:hint="eastAsia"/>
        </w:rPr>
        <w:t>2001</w:t>
      </w:r>
      <w:r>
        <w:rPr>
          <w:rFonts w:hint="eastAsia"/>
        </w:rPr>
        <w:t>年</w:t>
      </w:r>
      <w:r>
        <w:rPr>
          <w:rFonts w:hint="eastAsia"/>
        </w:rPr>
        <w:t>6</w:t>
      </w:r>
      <w:r>
        <w:rPr>
          <w:rFonts w:hint="eastAsia"/>
        </w:rPr>
        <w:t>月</w:t>
      </w:r>
      <w:r>
        <w:rPr>
          <w:rFonts w:hint="eastAsia"/>
        </w:rPr>
        <w:t>1</w:t>
      </w:r>
      <w:r>
        <w:rPr>
          <w:rFonts w:hint="eastAsia"/>
        </w:rPr>
        <w:t>日在《联邦政府公告》上公布。）</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33</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361.</w:t>
      </w:r>
      <w:r>
        <w:rPr>
          <w:rFonts w:hint="eastAsia"/>
        </w:rPr>
        <w:tab/>
      </w:r>
      <w:r>
        <w:rPr>
          <w:rFonts w:hint="eastAsia"/>
        </w:rPr>
        <w:t>国家工人社会保障和服务协会是国际社会保障组织，美洲社会保障间会议，以及</w:t>
      </w:r>
      <w:r>
        <w:t>伊比利亚</w:t>
      </w:r>
      <w:r>
        <w:rPr>
          <w:rFonts w:hint="eastAsia"/>
        </w:rPr>
        <w:t>-</w:t>
      </w:r>
      <w:r>
        <w:t>美洲</w:t>
      </w:r>
      <w:r>
        <w:rPr>
          <w:rFonts w:hint="eastAsia"/>
        </w:rPr>
        <w:t>社会保障组织成员，以这种资格受益于这些组织所提供的项目、调查、出版物、电子数据和学术研究等。它还与</w:t>
      </w:r>
      <w:r>
        <w:rPr>
          <w:rFonts w:hint="eastAsia"/>
        </w:rPr>
        <w:t>15</w:t>
      </w:r>
      <w:r>
        <w:rPr>
          <w:rFonts w:hint="eastAsia"/>
        </w:rPr>
        <w:t>个国家（奥地利、哥斯达黎加、古巴、多米尼加共和国、厄瓜多尔、法国、德国、危地马拉、洪都拉斯、尼加</w:t>
      </w:r>
      <w:r>
        <w:rPr>
          <w:rFonts w:hint="eastAsia"/>
        </w:rPr>
        <w:t>拉瓜、巴拉圭、俄罗斯、西班牙、瑞士、美利坚合众国）的协会签署了社会保障协议，将重点放在了健康和医疗领域的科学与技术合作上。</w:t>
      </w:r>
    </w:p>
    <w:p w:rsidR="00000000" w:rsidRDefault="00457650">
      <w:pPr>
        <w:widowControl/>
        <w:tabs>
          <w:tab w:val="left" w:pos="720"/>
        </w:tabs>
        <w:spacing w:after="240" w:line="360" w:lineRule="exact"/>
        <w:jc w:val="center"/>
        <w:rPr>
          <w:rFonts w:ascii="SimHei" w:eastAsia="SimHei" w:hint="eastAsia"/>
          <w:sz w:val="24"/>
        </w:rPr>
      </w:pPr>
      <w:r>
        <w:rPr>
          <w:rFonts w:ascii="SimHei" w:eastAsia="SimHei" w:hint="eastAsia"/>
          <w:sz w:val="24"/>
        </w:rPr>
        <w:t>E</w:t>
      </w:r>
      <w:r>
        <w:rPr>
          <w:rFonts w:ascii="SimHei" w:eastAsia="SimHei" w:hint="eastAsia"/>
          <w:sz w:val="24"/>
        </w:rPr>
        <w:t>．</w:t>
      </w:r>
      <w:r>
        <w:rPr>
          <w:rFonts w:ascii="SimHei" w:eastAsia="SimHei" w:hint="eastAsia"/>
          <w:sz w:val="24"/>
        </w:rPr>
        <w:t xml:space="preserve"> </w:t>
      </w:r>
      <w:r>
        <w:rPr>
          <w:rFonts w:ascii="SimHei" w:eastAsia="SimHei" w:hint="eastAsia"/>
          <w:sz w:val="24"/>
        </w:rPr>
        <w:t>第</w:t>
      </w:r>
      <w:r>
        <w:rPr>
          <w:rFonts w:ascii="SimHei" w:eastAsia="SimHei"/>
          <w:sz w:val="24"/>
        </w:rPr>
        <w:t>10</w:t>
      </w:r>
      <w:r>
        <w:rPr>
          <w:rFonts w:ascii="SimHei" w:eastAsia="SimHei" w:hint="eastAsia"/>
          <w:sz w:val="24"/>
        </w:rPr>
        <w:t>条</w:t>
      </w:r>
    </w:p>
    <w:p w:rsidR="00000000" w:rsidRDefault="00457650">
      <w:pPr>
        <w:widowControl/>
        <w:tabs>
          <w:tab w:val="left" w:pos="720"/>
        </w:tabs>
        <w:spacing w:after="240" w:line="360" w:lineRule="exact"/>
        <w:rPr>
          <w:rFonts w:ascii="SimHei" w:eastAsia="SimHei" w:hint="eastAsia"/>
        </w:rPr>
      </w:pPr>
      <w:r>
        <w:rPr>
          <w:rFonts w:ascii="SimHei" w:eastAsia="SimHei" w:hint="eastAsia"/>
        </w:rPr>
        <w:t>指南第</w:t>
      </w:r>
      <w:r>
        <w:rPr>
          <w:rFonts w:ascii="SimHei" w:eastAsia="SimHei" w:hint="eastAsia"/>
        </w:rPr>
        <w:t>35</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362.</w:t>
      </w:r>
      <w:r>
        <w:rPr>
          <w:rFonts w:hint="eastAsia"/>
        </w:rPr>
        <w:tab/>
      </w:r>
      <w:r>
        <w:rPr>
          <w:rFonts w:hint="eastAsia"/>
        </w:rPr>
        <w:t>家庭是指建立在父母子女关系、血缘关系、姻亲关系或法律关系的基础上相互联系的一群人，它源自出生、婚姻或法律认可的婚姻。它的目标是成员间相互团结互助实现共同幸福。它是最基本的家庭单位，它的起源是男人和女人的结合，具有其成员长辈和晚辈间关系亲密、持久并相互扶持的特点，自然或政治上，他们保持着共同的风俗习惯和价值观。家庭是国家和社会的基础，因为个人只有在</w:t>
      </w:r>
      <w:r>
        <w:rPr>
          <w:rFonts w:hint="eastAsia"/>
        </w:rPr>
        <w:t>家庭内部才能找到归属感并实现最高层次的发展。</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36</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363.</w:t>
      </w:r>
      <w:r>
        <w:rPr>
          <w:rFonts w:hint="eastAsia"/>
        </w:rPr>
        <w:tab/>
      </w:r>
      <w:r>
        <w:rPr>
          <w:rFonts w:hint="eastAsia"/>
        </w:rPr>
        <w:t>在墨西哥，儿童在</w:t>
      </w:r>
      <w:r>
        <w:rPr>
          <w:rFonts w:hint="eastAsia"/>
        </w:rPr>
        <w:t>18</w:t>
      </w:r>
      <w:r>
        <w:rPr>
          <w:rFonts w:hint="eastAsia"/>
        </w:rPr>
        <w:t>周岁成年。</w:t>
      </w:r>
    </w:p>
    <w:p w:rsidR="00000000" w:rsidRDefault="00457650">
      <w:pPr>
        <w:keepNext/>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37</w:t>
      </w:r>
      <w:r>
        <w:rPr>
          <w:rFonts w:ascii="SimHei" w:eastAsia="SimHei" w:hint="eastAsia"/>
        </w:rPr>
        <w:t>段</w:t>
      </w:r>
    </w:p>
    <w:p w:rsidR="00000000" w:rsidRDefault="00457650">
      <w:pPr>
        <w:keepNext/>
        <w:widowControl/>
        <w:tabs>
          <w:tab w:val="left" w:pos="630"/>
        </w:tabs>
        <w:spacing w:after="240" w:line="360" w:lineRule="exact"/>
        <w:rPr>
          <w:rFonts w:hint="eastAsia"/>
        </w:rPr>
      </w:pPr>
      <w:r>
        <w:rPr>
          <w:rFonts w:hint="eastAsia"/>
        </w:rPr>
        <w:t>364.</w:t>
      </w:r>
      <w:r>
        <w:rPr>
          <w:rFonts w:hint="eastAsia"/>
        </w:rPr>
        <w:tab/>
      </w:r>
      <w:r>
        <w:rPr>
          <w:rFonts w:hint="eastAsia"/>
        </w:rPr>
        <w:t>结婚双方必须是成年人。</w:t>
      </w:r>
    </w:p>
    <w:p w:rsidR="00000000" w:rsidRDefault="00457650">
      <w:pPr>
        <w:widowControl/>
        <w:tabs>
          <w:tab w:val="left" w:pos="630"/>
        </w:tabs>
        <w:spacing w:after="240" w:line="360" w:lineRule="exact"/>
        <w:rPr>
          <w:rFonts w:hint="eastAsia"/>
        </w:rPr>
      </w:pPr>
      <w:r>
        <w:rPr>
          <w:rFonts w:hint="eastAsia"/>
        </w:rPr>
        <w:t>365.</w:t>
      </w:r>
      <w:r>
        <w:rPr>
          <w:rFonts w:hint="eastAsia"/>
        </w:rPr>
        <w:tab/>
      </w:r>
      <w:r>
        <w:rPr>
          <w:rFonts w:hint="eastAsia"/>
        </w:rPr>
        <w:t>《民法典》第</w:t>
      </w:r>
      <w:r>
        <w:rPr>
          <w:rFonts w:hint="eastAsia"/>
        </w:rPr>
        <w:t>148</w:t>
      </w:r>
      <w:r>
        <w:rPr>
          <w:rFonts w:hint="eastAsia"/>
        </w:rPr>
        <w:t>条规定如果父母同意，男性</w:t>
      </w:r>
      <w:r>
        <w:rPr>
          <w:rFonts w:hint="eastAsia"/>
        </w:rPr>
        <w:t>16</w:t>
      </w:r>
      <w:r>
        <w:rPr>
          <w:rFonts w:hint="eastAsia"/>
        </w:rPr>
        <w:t>周岁可以结婚，女性</w:t>
      </w:r>
      <w:r>
        <w:rPr>
          <w:rFonts w:hint="eastAsia"/>
        </w:rPr>
        <w:t>14</w:t>
      </w:r>
      <w:r>
        <w:rPr>
          <w:rFonts w:hint="eastAsia"/>
        </w:rPr>
        <w:t>周岁可以结婚；一旦双方成年不必征得父母同意，在墨西哥，成年年龄是</w:t>
      </w:r>
      <w:r>
        <w:rPr>
          <w:rFonts w:hint="eastAsia"/>
        </w:rPr>
        <w:t>18</w:t>
      </w:r>
      <w:r>
        <w:rPr>
          <w:rFonts w:hint="eastAsia"/>
        </w:rPr>
        <w:t>周岁。</w:t>
      </w:r>
    </w:p>
    <w:p w:rsidR="00000000" w:rsidRDefault="00457650">
      <w:pPr>
        <w:widowControl/>
        <w:tabs>
          <w:tab w:val="left" w:pos="630"/>
        </w:tabs>
        <w:spacing w:after="240" w:line="360" w:lineRule="exact"/>
        <w:rPr>
          <w:rFonts w:hint="eastAsia"/>
        </w:rPr>
      </w:pPr>
      <w:r>
        <w:rPr>
          <w:rFonts w:hint="eastAsia"/>
        </w:rPr>
        <w:t>366.</w:t>
      </w:r>
      <w:r>
        <w:rPr>
          <w:rFonts w:hint="eastAsia"/>
        </w:rPr>
        <w:tab/>
      </w:r>
      <w:r>
        <w:rPr>
          <w:rFonts w:hint="eastAsia"/>
        </w:rPr>
        <w:t>应当指出民法具有地方法律的性质；因此各州可以自行确定未成年人经父母同意结婚的年龄。例如，在联邦区，结婚双方必须达到</w:t>
      </w:r>
      <w:r>
        <w:rPr>
          <w:rFonts w:hint="eastAsia"/>
        </w:rPr>
        <w:t>16</w:t>
      </w:r>
      <w:r>
        <w:rPr>
          <w:rFonts w:hint="eastAsia"/>
        </w:rPr>
        <w:t>周岁。</w:t>
      </w:r>
    </w:p>
    <w:p w:rsidR="00000000" w:rsidRDefault="00457650">
      <w:pPr>
        <w:widowControl/>
        <w:tabs>
          <w:tab w:val="left" w:pos="630"/>
        </w:tabs>
        <w:spacing w:after="240" w:line="360" w:lineRule="exact"/>
        <w:rPr>
          <w:rFonts w:hint="eastAsia"/>
        </w:rPr>
      </w:pPr>
      <w:r>
        <w:rPr>
          <w:rFonts w:hint="eastAsia"/>
        </w:rPr>
        <w:t>367.</w:t>
      </w:r>
      <w:r>
        <w:rPr>
          <w:rFonts w:hint="eastAsia"/>
        </w:rPr>
        <w:tab/>
      </w:r>
      <w:r>
        <w:rPr>
          <w:rFonts w:hint="eastAsia"/>
        </w:rPr>
        <w:t>民事登记处就以上事项提醒希望缔结婚姻的人加以注意并提供建议。</w:t>
      </w:r>
    </w:p>
    <w:p w:rsidR="00000000" w:rsidRDefault="00457650">
      <w:pPr>
        <w:widowControl/>
        <w:tabs>
          <w:tab w:val="left" w:pos="630"/>
        </w:tabs>
        <w:spacing w:after="240" w:line="360" w:lineRule="exact"/>
        <w:rPr>
          <w:rFonts w:hint="eastAsia"/>
        </w:rPr>
      </w:pPr>
      <w:r>
        <w:rPr>
          <w:rFonts w:hint="eastAsia"/>
        </w:rPr>
        <w:t>368.</w:t>
      </w:r>
      <w:r>
        <w:rPr>
          <w:rFonts w:hint="eastAsia"/>
        </w:rPr>
        <w:tab/>
      </w:r>
      <w:r>
        <w:rPr>
          <w:rFonts w:hint="eastAsia"/>
        </w:rPr>
        <w:t>接受政府或非政府机构公共慈善福利的家庭不受歧视。承认扩大的家庭，既可以向上代，也可以向下代扩大。</w:t>
      </w:r>
    </w:p>
    <w:p w:rsidR="00000000" w:rsidRDefault="00457650">
      <w:pPr>
        <w:widowControl/>
        <w:tabs>
          <w:tab w:val="left" w:pos="630"/>
        </w:tabs>
        <w:spacing w:after="240" w:line="360" w:lineRule="exact"/>
        <w:rPr>
          <w:rFonts w:hint="eastAsia"/>
        </w:rPr>
      </w:pPr>
      <w:r>
        <w:rPr>
          <w:rFonts w:hint="eastAsia"/>
        </w:rPr>
        <w:t>369.</w:t>
      </w:r>
      <w:r>
        <w:rPr>
          <w:rFonts w:hint="eastAsia"/>
        </w:rPr>
        <w:tab/>
      </w:r>
      <w:r>
        <w:rPr>
          <w:rFonts w:hint="eastAsia"/>
        </w:rPr>
        <w:t>国家家庭综合发展系统是指导社会公共援助政策的国家制度，旨在与各州和市相关系统以及公共和私人机构协作，促进家庭和社区的整体发展。家庭综合发展系统包括一个负责协调该领域活动的中央机构，</w:t>
      </w:r>
      <w:r>
        <w:rPr>
          <w:rFonts w:hint="eastAsia"/>
        </w:rPr>
        <w:t>32</w:t>
      </w:r>
      <w:r>
        <w:rPr>
          <w:rFonts w:hint="eastAsia"/>
        </w:rPr>
        <w:t>个州相关系统和大约</w:t>
      </w:r>
      <w:r>
        <w:rPr>
          <w:rFonts w:hint="eastAsia"/>
        </w:rPr>
        <w:t>1 500</w:t>
      </w:r>
      <w:r>
        <w:rPr>
          <w:rFonts w:hint="eastAsia"/>
        </w:rPr>
        <w:t>个市相关系统，分布在墨西哥现有的</w:t>
      </w:r>
      <w:r>
        <w:rPr>
          <w:rFonts w:hint="eastAsia"/>
        </w:rPr>
        <w:t>2 414</w:t>
      </w:r>
      <w:r>
        <w:rPr>
          <w:rFonts w:hint="eastAsia"/>
        </w:rPr>
        <w:t>个城市中。</w:t>
      </w:r>
    </w:p>
    <w:p w:rsidR="00000000" w:rsidRDefault="00457650">
      <w:pPr>
        <w:widowControl/>
        <w:tabs>
          <w:tab w:val="left" w:pos="630"/>
        </w:tabs>
        <w:spacing w:after="240" w:line="360" w:lineRule="exact"/>
        <w:rPr>
          <w:rFonts w:hint="eastAsia"/>
        </w:rPr>
      </w:pPr>
      <w:r>
        <w:rPr>
          <w:rFonts w:hint="eastAsia"/>
        </w:rPr>
        <w:t>370.</w:t>
      </w:r>
      <w:r>
        <w:rPr>
          <w:rFonts w:hint="eastAsia"/>
        </w:rPr>
        <w:tab/>
      </w:r>
      <w:r>
        <w:rPr>
          <w:rFonts w:hint="eastAsia"/>
        </w:rPr>
        <w:t>为实现上述目标，国家家庭综合发展系统实施了许多项目。其中之一是“临时保护计划”，该计划进行干预防止经济困难的家庭遗弃和</w:t>
      </w:r>
      <w:r>
        <w:rPr>
          <w:rFonts w:hint="eastAsia"/>
        </w:rPr>
        <w:t>/</w:t>
      </w:r>
      <w:r>
        <w:rPr>
          <w:rFonts w:hint="eastAsia"/>
        </w:rPr>
        <w:t>或虐待</w:t>
      </w:r>
      <w:r>
        <w:rPr>
          <w:rFonts w:hint="eastAsia"/>
        </w:rPr>
        <w:t>女童、男童和青少年，这些家庭因为失业、缺少住房或家庭收入而无法适当地照顾其子女。按照该计划，接纳儿童进入国家家庭综合发展系统中心居住并提供全面的照顾。根据相关中心和家庭成员的要求，还可以计划安排母亲、父亲或家庭共同居住。</w:t>
      </w:r>
    </w:p>
    <w:p w:rsidR="00000000" w:rsidRDefault="00457650">
      <w:pPr>
        <w:widowControl/>
        <w:tabs>
          <w:tab w:val="left" w:pos="630"/>
        </w:tabs>
        <w:spacing w:after="240" w:line="360" w:lineRule="exact"/>
        <w:rPr>
          <w:rFonts w:hint="eastAsia"/>
        </w:rPr>
      </w:pPr>
      <w:r>
        <w:rPr>
          <w:rFonts w:hint="eastAsia"/>
        </w:rPr>
        <w:t>371.</w:t>
      </w:r>
      <w:r>
        <w:rPr>
          <w:rFonts w:hint="eastAsia"/>
        </w:rPr>
        <w:tab/>
      </w:r>
      <w:r>
        <w:rPr>
          <w:rFonts w:hint="eastAsia"/>
        </w:rPr>
        <w:t>有的计划为儿童提供教育，为老年人提供家庭护理、白天护理和门诊护理，其目的是广泛加强家庭和老年人的关系。这些社区措施可以增强老年人的自尊，使他们在家庭中得到更多的关照，并预防排斥遗弃老年人的现象。</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38</w:t>
      </w:r>
      <w:r>
        <w:rPr>
          <w:rFonts w:ascii="SimHei" w:eastAsia="SimHei" w:hint="eastAsia"/>
        </w:rPr>
        <w:t>段（</w:t>
      </w:r>
      <w:r>
        <w:rPr>
          <w:rFonts w:ascii="SimHei" w:eastAsia="SimHei" w:hint="eastAsia"/>
        </w:rPr>
        <w:t>a</w:t>
      </w:r>
      <w:r>
        <w:rPr>
          <w:rFonts w:ascii="SimHei" w:eastAsia="SimHei" w:hint="eastAsia"/>
        </w:rPr>
        <w:t>）（一）</w:t>
      </w:r>
    </w:p>
    <w:p w:rsidR="00000000" w:rsidRDefault="00457650">
      <w:pPr>
        <w:widowControl/>
        <w:tabs>
          <w:tab w:val="left" w:pos="630"/>
        </w:tabs>
        <w:spacing w:after="240" w:line="360" w:lineRule="exact"/>
        <w:rPr>
          <w:rFonts w:hint="eastAsia"/>
        </w:rPr>
      </w:pPr>
      <w:r>
        <w:rPr>
          <w:rFonts w:hint="eastAsia"/>
        </w:rPr>
        <w:t>372.</w:t>
      </w:r>
      <w:r>
        <w:rPr>
          <w:rFonts w:hint="eastAsia"/>
        </w:rPr>
        <w:tab/>
      </w:r>
      <w:r>
        <w:rPr>
          <w:rFonts w:hint="eastAsia"/>
        </w:rPr>
        <w:t>国家工人社会保障和服务协会向女性工人、养恤金领取者、</w:t>
      </w:r>
      <w:r>
        <w:rPr>
          <w:rFonts w:hint="eastAsia"/>
        </w:rPr>
        <w:t>男性工人或养恤金领取者的配偶及其同居人提供产科补助、哺乳补助、额外食品和妇产篮子。这一福利还提供给男性工人或养恤金领取者的女儿，只要她未婚、未满</w:t>
      </w:r>
      <w:r>
        <w:rPr>
          <w:rFonts w:hint="eastAsia"/>
        </w:rPr>
        <w:t>18</w:t>
      </w:r>
      <w:r>
        <w:rPr>
          <w:rFonts w:hint="eastAsia"/>
        </w:rPr>
        <w:t>周岁且经济上依赖父亲。</w:t>
      </w:r>
    </w:p>
    <w:p w:rsidR="00000000" w:rsidRDefault="00457650">
      <w:pPr>
        <w:widowControl/>
        <w:tabs>
          <w:tab w:val="left" w:pos="630"/>
        </w:tabs>
        <w:spacing w:after="240" w:line="360" w:lineRule="exact"/>
        <w:rPr>
          <w:rFonts w:hint="eastAsia"/>
        </w:rPr>
      </w:pPr>
      <w:r>
        <w:rPr>
          <w:rFonts w:hint="eastAsia"/>
        </w:rPr>
        <w:t>373.</w:t>
      </w:r>
      <w:r>
        <w:rPr>
          <w:rFonts w:hint="eastAsia"/>
        </w:rPr>
        <w:tab/>
      </w:r>
      <w:r>
        <w:rPr>
          <w:rFonts w:hint="eastAsia"/>
        </w:rPr>
        <w:t>根据现行的社会保险立法中疾病和生育部分第五章的规定，社会保障局管辖下的所有女性被抚养人均受到保护并且在生育时受到照顾。</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38</w:t>
      </w:r>
      <w:r>
        <w:rPr>
          <w:rFonts w:ascii="SimHei" w:eastAsia="SimHei" w:hint="eastAsia"/>
        </w:rPr>
        <w:t>段（</w:t>
      </w:r>
      <w:r>
        <w:rPr>
          <w:rFonts w:ascii="SimHei" w:eastAsia="SimHei" w:hint="eastAsia"/>
        </w:rPr>
        <w:t>a</w:t>
      </w:r>
      <w:r>
        <w:rPr>
          <w:rFonts w:ascii="SimHei" w:eastAsia="SimHei" w:hint="eastAsia"/>
        </w:rPr>
        <w:t>）（二）</w:t>
      </w:r>
    </w:p>
    <w:p w:rsidR="00000000" w:rsidRDefault="00457650">
      <w:pPr>
        <w:widowControl/>
        <w:tabs>
          <w:tab w:val="left" w:pos="630"/>
        </w:tabs>
        <w:spacing w:after="240" w:line="360" w:lineRule="exact"/>
        <w:rPr>
          <w:rFonts w:hint="eastAsia"/>
        </w:rPr>
      </w:pPr>
      <w:r>
        <w:rPr>
          <w:rFonts w:hint="eastAsia"/>
        </w:rPr>
        <w:t>374.</w:t>
      </w:r>
      <w:r>
        <w:rPr>
          <w:rFonts w:hint="eastAsia"/>
        </w:rPr>
        <w:tab/>
      </w:r>
      <w:r>
        <w:rPr>
          <w:rFonts w:hint="eastAsia"/>
        </w:rPr>
        <w:t>《宪法》第</w:t>
      </w:r>
      <w:r>
        <w:rPr>
          <w:rFonts w:hint="eastAsia"/>
        </w:rPr>
        <w:t>123</w:t>
      </w:r>
      <w:r>
        <w:rPr>
          <w:rFonts w:hint="eastAsia"/>
        </w:rPr>
        <w:t>条</w:t>
      </w:r>
      <w:r>
        <w:rPr>
          <w:rFonts w:hint="eastAsia"/>
        </w:rPr>
        <w:t>A</w:t>
      </w:r>
      <w:r>
        <w:rPr>
          <w:rFonts w:hint="eastAsia"/>
        </w:rPr>
        <w:t>部分第</w:t>
      </w:r>
      <w:r>
        <w:rPr>
          <w:rFonts w:hint="eastAsia"/>
        </w:rPr>
        <w:t>4</w:t>
      </w:r>
      <w:r>
        <w:rPr>
          <w:rFonts w:hint="eastAsia"/>
        </w:rPr>
        <w:t>款规定孕妇不得从事繁重工作和危及其健康的工作。要求她们在预产期前和生育后各休息六周，同时获得全额工资、保留工作岗位并继续享有雇用关系中的既得权利。在哺</w:t>
      </w:r>
      <w:r>
        <w:rPr>
          <w:rFonts w:hint="eastAsia"/>
        </w:rPr>
        <w:t>乳期间，她们每天有两次</w:t>
      </w:r>
      <w:r>
        <w:rPr>
          <w:rFonts w:hint="eastAsia"/>
        </w:rPr>
        <w:t>30</w:t>
      </w:r>
      <w:r>
        <w:rPr>
          <w:rFonts w:hint="eastAsia"/>
        </w:rPr>
        <w:t>分钟的特殊休息时间给孩子喂奶。</w:t>
      </w:r>
    </w:p>
    <w:p w:rsidR="00000000" w:rsidRDefault="00457650">
      <w:pPr>
        <w:widowControl/>
        <w:tabs>
          <w:tab w:val="left" w:pos="630"/>
        </w:tabs>
        <w:spacing w:after="240" w:line="360" w:lineRule="exact"/>
        <w:rPr>
          <w:rFonts w:hint="eastAsia"/>
        </w:rPr>
      </w:pPr>
      <w:r>
        <w:rPr>
          <w:rFonts w:hint="eastAsia"/>
        </w:rPr>
        <w:t>375.</w:t>
      </w:r>
      <w:r>
        <w:rPr>
          <w:rFonts w:hint="eastAsia"/>
        </w:rPr>
        <w:tab/>
      </w:r>
      <w:r>
        <w:rPr>
          <w:rFonts w:hint="eastAsia"/>
        </w:rPr>
        <w:t>符合《宪法》该条款的《联邦劳动法》第</w:t>
      </w:r>
      <w:r>
        <w:rPr>
          <w:rFonts w:hint="eastAsia"/>
        </w:rPr>
        <w:t>170</w:t>
      </w:r>
      <w:r>
        <w:rPr>
          <w:rFonts w:hint="eastAsia"/>
        </w:rPr>
        <w:t>条规定，怀孕期间妇女不得从事繁重的劳动和危及其健康的工作。她们在产前和产后各有六周的产假。在哺乳期间，她们每天有两次</w:t>
      </w:r>
      <w:r>
        <w:rPr>
          <w:rFonts w:hint="eastAsia"/>
        </w:rPr>
        <w:t>30</w:t>
      </w:r>
      <w:r>
        <w:rPr>
          <w:rFonts w:hint="eastAsia"/>
        </w:rPr>
        <w:t>分钟的休息时间给孩子喂奶。该法第</w:t>
      </w:r>
      <w:r>
        <w:rPr>
          <w:rFonts w:hint="eastAsia"/>
        </w:rPr>
        <w:t>166</w:t>
      </w:r>
      <w:r>
        <w:rPr>
          <w:rFonts w:hint="eastAsia"/>
        </w:rPr>
        <w:t>条规定，如果妇女或儿童的健康在怀孕或哺乳期间受到危害，她们可以拒绝危及健康的工作或危险工作，以及工业、商业或服务业晚</w:t>
      </w:r>
      <w:r>
        <w:rPr>
          <w:rFonts w:hint="eastAsia"/>
        </w:rPr>
        <w:t>10</w:t>
      </w:r>
      <w:r>
        <w:rPr>
          <w:rFonts w:hint="eastAsia"/>
        </w:rPr>
        <w:t>点后的夜班或加班，同时其报酬、福利和权利不得有任何减损。</w:t>
      </w:r>
    </w:p>
    <w:p w:rsidR="00000000" w:rsidRDefault="00457650">
      <w:pPr>
        <w:widowControl/>
        <w:tabs>
          <w:tab w:val="left" w:pos="630"/>
        </w:tabs>
        <w:spacing w:after="240" w:line="360" w:lineRule="exact"/>
        <w:rPr>
          <w:rFonts w:hint="eastAsia"/>
        </w:rPr>
      </w:pPr>
      <w:r>
        <w:rPr>
          <w:rFonts w:hint="eastAsia"/>
        </w:rPr>
        <w:t>376.</w:t>
      </w:r>
      <w:r>
        <w:rPr>
          <w:rFonts w:hint="eastAsia"/>
        </w:rPr>
        <w:tab/>
      </w:r>
      <w:r>
        <w:rPr>
          <w:rFonts w:hint="eastAsia"/>
        </w:rPr>
        <w:t>国家工人社会保障和服务协会为请病假的怀孕女工提供补助，这</w:t>
      </w:r>
      <w:r>
        <w:rPr>
          <w:rFonts w:hint="eastAsia"/>
        </w:rPr>
        <w:t>些女工享有</w:t>
      </w:r>
      <w:r>
        <w:rPr>
          <w:rFonts w:hint="eastAsia"/>
        </w:rPr>
        <w:t>90</w:t>
      </w:r>
      <w:r>
        <w:rPr>
          <w:rFonts w:hint="eastAsia"/>
        </w:rPr>
        <w:t>天产假，其中</w:t>
      </w:r>
      <w:r>
        <w:rPr>
          <w:rFonts w:hint="eastAsia"/>
        </w:rPr>
        <w:t>30</w:t>
      </w:r>
      <w:r>
        <w:rPr>
          <w:rFonts w:hint="eastAsia"/>
        </w:rPr>
        <w:t>天是为了在预产期前保护孕妇和胎儿，剩余</w:t>
      </w:r>
      <w:r>
        <w:rPr>
          <w:rFonts w:hint="eastAsia"/>
        </w:rPr>
        <w:t>60</w:t>
      </w:r>
      <w:r>
        <w:rPr>
          <w:rFonts w:hint="eastAsia"/>
        </w:rPr>
        <w:t>天是为了母婴保健。</w:t>
      </w:r>
    </w:p>
    <w:p w:rsidR="00000000" w:rsidRDefault="00457650">
      <w:pPr>
        <w:widowControl/>
        <w:tabs>
          <w:tab w:val="left" w:pos="630"/>
        </w:tabs>
        <w:spacing w:after="240" w:line="360" w:lineRule="exact"/>
        <w:rPr>
          <w:rFonts w:hint="eastAsia"/>
        </w:rPr>
      </w:pPr>
      <w:r>
        <w:rPr>
          <w:rFonts w:hint="eastAsia"/>
        </w:rPr>
        <w:t>377.</w:t>
      </w:r>
      <w:r>
        <w:rPr>
          <w:rFonts w:hint="eastAsia"/>
        </w:rPr>
        <w:tab/>
      </w:r>
      <w:r>
        <w:rPr>
          <w:rFonts w:hint="eastAsia"/>
        </w:rPr>
        <w:t>《社会保障法》第</w:t>
      </w:r>
      <w:r>
        <w:rPr>
          <w:rFonts w:hint="eastAsia"/>
        </w:rPr>
        <w:t>101</w:t>
      </w:r>
      <w:r>
        <w:rPr>
          <w:rFonts w:hint="eastAsia"/>
        </w:rPr>
        <w:t>条规定，在社会保障制度下：“投保妇女有权在怀孕和产后期间获得等同于其最后一天缴费工资</w:t>
      </w:r>
      <w:r>
        <w:rPr>
          <w:rFonts w:hint="eastAsia"/>
        </w:rPr>
        <w:t>100%</w:t>
      </w:r>
      <w:r>
        <w:rPr>
          <w:rFonts w:hint="eastAsia"/>
        </w:rPr>
        <w:t>的补助，领取的时间是产前</w:t>
      </w:r>
      <w:r>
        <w:rPr>
          <w:rFonts w:hint="eastAsia"/>
        </w:rPr>
        <w:t>42</w:t>
      </w:r>
      <w:r>
        <w:rPr>
          <w:rFonts w:hint="eastAsia"/>
        </w:rPr>
        <w:t>天和产后</w:t>
      </w:r>
      <w:r>
        <w:rPr>
          <w:rFonts w:hint="eastAsia"/>
        </w:rPr>
        <w:t>42</w:t>
      </w:r>
      <w:r>
        <w:rPr>
          <w:rFonts w:hint="eastAsia"/>
        </w:rPr>
        <w:t>天。”</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38</w:t>
      </w:r>
      <w:r>
        <w:rPr>
          <w:rFonts w:ascii="SimHei" w:eastAsia="SimHei" w:hint="eastAsia"/>
        </w:rPr>
        <w:t>段（</w:t>
      </w:r>
      <w:r>
        <w:rPr>
          <w:rFonts w:ascii="SimHei" w:eastAsia="SimHei" w:hint="eastAsia"/>
        </w:rPr>
        <w:t>a</w:t>
      </w:r>
      <w:r>
        <w:rPr>
          <w:rFonts w:ascii="SimHei" w:eastAsia="SimHei" w:hint="eastAsia"/>
        </w:rPr>
        <w:t>）（三）</w:t>
      </w:r>
    </w:p>
    <w:p w:rsidR="00000000" w:rsidRDefault="00457650">
      <w:pPr>
        <w:widowControl/>
        <w:tabs>
          <w:tab w:val="left" w:pos="630"/>
        </w:tabs>
        <w:spacing w:after="240" w:line="360" w:lineRule="exact"/>
        <w:rPr>
          <w:rFonts w:hint="eastAsia"/>
        </w:rPr>
      </w:pPr>
      <w:r>
        <w:rPr>
          <w:rFonts w:hint="eastAsia"/>
        </w:rPr>
        <w:t>378.</w:t>
      </w:r>
      <w:r>
        <w:rPr>
          <w:rFonts w:hint="eastAsia"/>
        </w:rPr>
        <w:tab/>
      </w:r>
      <w:r>
        <w:rPr>
          <w:rFonts w:hint="eastAsia"/>
        </w:rPr>
        <w:t>社会保障局提供生育补助金，也就是向因怀孕而无法工作的投保妇女提供现金补助作为替代工资。数额是最后一天缴费工资的</w:t>
      </w:r>
      <w:r>
        <w:rPr>
          <w:rFonts w:hint="eastAsia"/>
        </w:rPr>
        <w:t>100%</w:t>
      </w:r>
      <w:r>
        <w:rPr>
          <w:rFonts w:hint="eastAsia"/>
        </w:rPr>
        <w:t>；支付时间是产前</w:t>
      </w:r>
      <w:r>
        <w:rPr>
          <w:rFonts w:hint="eastAsia"/>
        </w:rPr>
        <w:t>42</w:t>
      </w:r>
      <w:r>
        <w:rPr>
          <w:rFonts w:hint="eastAsia"/>
        </w:rPr>
        <w:t>天和产后</w:t>
      </w:r>
      <w:r>
        <w:rPr>
          <w:rFonts w:hint="eastAsia"/>
        </w:rPr>
        <w:t>42</w:t>
      </w:r>
      <w:r>
        <w:rPr>
          <w:rFonts w:hint="eastAsia"/>
        </w:rPr>
        <w:t>天，也就是根据医疗需要和法律规定孕妇应该休息的时间。从围产期到实际</w:t>
      </w:r>
      <w:r>
        <w:rPr>
          <w:rFonts w:hint="eastAsia"/>
        </w:rPr>
        <w:t>分娩之间的这段时间，按照最后一天缴费工资的</w:t>
      </w:r>
      <w:r>
        <w:rPr>
          <w:rFonts w:hint="eastAsia"/>
        </w:rPr>
        <w:t>60%</w:t>
      </w:r>
      <w:r>
        <w:rPr>
          <w:rFonts w:hint="eastAsia"/>
        </w:rPr>
        <w:t>支付补助金。她还能享受以下福利：</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产科帮助；</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六个月的哺乳实物补助；</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在婴儿出生时，婴儿全套用品的价值由社会保障局技术委员会确定。</w:t>
      </w:r>
    </w:p>
    <w:p w:rsidR="00000000" w:rsidRDefault="00457650">
      <w:pPr>
        <w:widowControl/>
        <w:tabs>
          <w:tab w:val="left" w:pos="630"/>
        </w:tabs>
        <w:spacing w:after="240" w:line="360" w:lineRule="exact"/>
        <w:rPr>
          <w:rFonts w:hint="eastAsia"/>
        </w:rPr>
      </w:pPr>
      <w:r>
        <w:rPr>
          <w:rFonts w:hint="eastAsia"/>
        </w:rPr>
        <w:t>379.</w:t>
      </w:r>
      <w:r>
        <w:rPr>
          <w:rFonts w:hint="eastAsia"/>
        </w:rPr>
        <w:tab/>
      </w:r>
      <w:r>
        <w:rPr>
          <w:rFonts w:hint="eastAsia"/>
        </w:rPr>
        <w:t>国家工人社会保障和服务协会在医疗单位内推广哺乳和陪住。当妇女因身体或工作关系不能喂养子女，或在其不在时，根据医生建议提供哺乳帮助。这些帮助包括在婴儿出生之日起提供为期</w:t>
      </w:r>
      <w:r>
        <w:rPr>
          <w:rFonts w:hint="eastAsia"/>
        </w:rPr>
        <w:t>6</w:t>
      </w:r>
      <w:r>
        <w:rPr>
          <w:rFonts w:hint="eastAsia"/>
        </w:rPr>
        <w:t>个月的工业加工牛奶。</w:t>
      </w:r>
    </w:p>
    <w:p w:rsidR="00000000" w:rsidRDefault="00457650">
      <w:pPr>
        <w:widowControl/>
        <w:tabs>
          <w:tab w:val="left" w:pos="630"/>
        </w:tabs>
        <w:spacing w:after="240" w:line="360" w:lineRule="exact"/>
        <w:rPr>
          <w:rFonts w:hint="eastAsia"/>
        </w:rPr>
      </w:pPr>
      <w:r>
        <w:rPr>
          <w:rFonts w:hint="eastAsia"/>
        </w:rPr>
        <w:t>380.</w:t>
      </w:r>
      <w:r>
        <w:rPr>
          <w:rFonts w:hint="eastAsia"/>
        </w:rPr>
        <w:tab/>
      </w:r>
      <w:r>
        <w:rPr>
          <w:rFonts w:hint="eastAsia"/>
        </w:rPr>
        <w:t>国家工人社会保障和服务协会还通过其分支部门和医疗单位提供婴儿全套用品，包括服装和附属品。还发放印有新生儿名字的证明，证实其</w:t>
      </w:r>
      <w:r>
        <w:rPr>
          <w:rFonts w:hint="eastAsia"/>
        </w:rPr>
        <w:t>接受医疗保健的权利。</w:t>
      </w:r>
    </w:p>
    <w:p w:rsidR="00000000" w:rsidRDefault="00457650">
      <w:pPr>
        <w:widowControl/>
        <w:tabs>
          <w:tab w:val="left" w:pos="630"/>
        </w:tabs>
        <w:spacing w:after="240" w:line="360" w:lineRule="exact"/>
        <w:rPr>
          <w:rFonts w:hint="eastAsia"/>
        </w:rPr>
      </w:pPr>
      <w:r>
        <w:rPr>
          <w:rFonts w:hint="eastAsia"/>
        </w:rPr>
        <w:t>381.</w:t>
      </w:r>
      <w:r>
        <w:rPr>
          <w:rFonts w:hint="eastAsia"/>
        </w:rPr>
        <w:tab/>
      </w:r>
      <w:r>
        <w:rPr>
          <w:rFonts w:hint="eastAsia"/>
        </w:rPr>
        <w:t>还有提供儿童福利和发展的住宿设施。</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38</w:t>
      </w:r>
      <w:r>
        <w:rPr>
          <w:rFonts w:ascii="SimHei" w:eastAsia="SimHei" w:hint="eastAsia"/>
        </w:rPr>
        <w:t>段（</w:t>
      </w:r>
      <w:r>
        <w:rPr>
          <w:rFonts w:ascii="SimHei" w:eastAsia="SimHei" w:hint="eastAsia"/>
        </w:rPr>
        <w:t>a</w:t>
      </w:r>
      <w:r>
        <w:rPr>
          <w:rFonts w:ascii="SimHei" w:eastAsia="SimHei" w:hint="eastAsia"/>
        </w:rPr>
        <w:t>）（四）</w:t>
      </w:r>
    </w:p>
    <w:p w:rsidR="00000000" w:rsidRDefault="00457650">
      <w:pPr>
        <w:widowControl/>
        <w:tabs>
          <w:tab w:val="left" w:pos="630"/>
        </w:tabs>
        <w:spacing w:after="240" w:line="360" w:lineRule="exact"/>
        <w:rPr>
          <w:rFonts w:hint="eastAsia"/>
        </w:rPr>
      </w:pPr>
      <w:r>
        <w:rPr>
          <w:rFonts w:hint="eastAsia"/>
        </w:rPr>
        <w:t>382.</w:t>
      </w:r>
      <w:r>
        <w:rPr>
          <w:rFonts w:hint="eastAsia"/>
        </w:rPr>
        <w:tab/>
      </w:r>
      <w:r>
        <w:rPr>
          <w:rFonts w:hint="eastAsia"/>
        </w:rPr>
        <w:t>这些福利没有随时间发生变化，它们根据法律规定发放。</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38</w:t>
      </w:r>
      <w:r>
        <w:rPr>
          <w:rFonts w:ascii="SimHei" w:eastAsia="SimHei" w:hint="eastAsia"/>
        </w:rPr>
        <w:t>段（</w:t>
      </w:r>
      <w:r>
        <w:rPr>
          <w:rFonts w:ascii="SimHei" w:eastAsia="SimHei" w:hint="eastAsia"/>
        </w:rPr>
        <w:t>b</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383.</w:t>
      </w:r>
      <w:r>
        <w:rPr>
          <w:rFonts w:hint="eastAsia"/>
        </w:rPr>
        <w:tab/>
      </w:r>
      <w:r>
        <w:rPr>
          <w:rFonts w:hint="eastAsia"/>
        </w:rPr>
        <w:t>国家工人社会保障和服务协会和社会保障局提供的福利包括被抚养人。但是在非政府组织配合下各个部门的计划涵盖了所有人口；满足赤贫人口的健康需要，特别是最弱势的群体（例如少女和怀孕或哺乳的妇女），重点强调健康教育，以在家庭和社区灌输预防观念并提倡个人卫生保健，其中包括营养、健康和卫生。国家卫生机构和家庭综合发展系统也提供合作。</w:t>
      </w:r>
    </w:p>
    <w:p w:rsidR="00000000" w:rsidRDefault="00457650">
      <w:pPr>
        <w:widowControl/>
        <w:tabs>
          <w:tab w:val="left" w:pos="630"/>
        </w:tabs>
        <w:spacing w:after="240" w:line="360" w:lineRule="exact"/>
        <w:rPr>
          <w:rFonts w:hint="eastAsia"/>
        </w:rPr>
      </w:pPr>
      <w:r>
        <w:rPr>
          <w:rFonts w:hint="eastAsia"/>
        </w:rPr>
        <w:t>384.</w:t>
      </w:r>
      <w:r>
        <w:rPr>
          <w:rFonts w:hint="eastAsia"/>
        </w:rPr>
        <w:tab/>
      </w:r>
      <w:r>
        <w:rPr>
          <w:rFonts w:hint="eastAsia"/>
        </w:rPr>
        <w:t>墨</w:t>
      </w:r>
      <w:r>
        <w:rPr>
          <w:rFonts w:hint="eastAsia"/>
        </w:rPr>
        <w:t>西哥社会保障局照顾到人口的</w:t>
      </w:r>
      <w:r>
        <w:rPr>
          <w:rFonts w:hint="eastAsia"/>
        </w:rPr>
        <w:t>9.5%</w:t>
      </w:r>
      <w:r>
        <w:rPr>
          <w:rFonts w:hint="eastAsia"/>
        </w:rPr>
        <w:t>，这些人包括妇女处于社会边缘、缺少权利、居住在农村，具体做法如下：</w:t>
      </w:r>
    </w:p>
    <w:p w:rsidR="00000000" w:rsidRDefault="00457650">
      <w:pPr>
        <w:widowControl/>
        <w:tabs>
          <w:tab w:val="left" w:pos="630"/>
        </w:tabs>
        <w:spacing w:after="240" w:line="360" w:lineRule="exact"/>
        <w:rPr>
          <w:rFonts w:hint="eastAsia"/>
        </w:rPr>
      </w:pPr>
      <w:r>
        <w:rPr>
          <w:rFonts w:hint="eastAsia"/>
        </w:rPr>
        <w:t>385.</w:t>
      </w:r>
      <w:r>
        <w:rPr>
          <w:rFonts w:hint="eastAsia"/>
        </w:rPr>
        <w:tab/>
      </w:r>
      <w:r>
        <w:rPr>
          <w:rFonts w:hint="eastAsia"/>
        </w:rPr>
        <w:t>目前实施的《社会保障法》第四部分规定：“服务和福利包括社区保健活动，医疗、药物和必要的住院治疗，其方式和条件由（本法）第</w:t>
      </w:r>
      <w:r>
        <w:rPr>
          <w:rFonts w:hint="eastAsia"/>
        </w:rPr>
        <w:t>215</w:t>
      </w:r>
      <w:r>
        <w:rPr>
          <w:rFonts w:hint="eastAsia"/>
        </w:rPr>
        <w:t>至第</w:t>
      </w:r>
      <w:r>
        <w:rPr>
          <w:rFonts w:hint="eastAsia"/>
        </w:rPr>
        <w:t>217</w:t>
      </w:r>
      <w:r>
        <w:rPr>
          <w:rFonts w:hint="eastAsia"/>
        </w:rPr>
        <w:t>条规定”。特别值得一提的是第</w:t>
      </w:r>
      <w:r>
        <w:rPr>
          <w:rFonts w:hint="eastAsia"/>
        </w:rPr>
        <w:t>215</w:t>
      </w:r>
      <w:r>
        <w:rPr>
          <w:rFonts w:hint="eastAsia"/>
        </w:rPr>
        <w:t>条的规定，其第</w:t>
      </w:r>
      <w:r>
        <w:rPr>
          <w:rFonts w:hint="eastAsia"/>
        </w:rPr>
        <w:t>1</w:t>
      </w:r>
      <w:r>
        <w:rPr>
          <w:rFonts w:hint="eastAsia"/>
        </w:rPr>
        <w:t>款规定如下：“该机构应组织、建立和管理医疗单位以便提供社会团结服务，这类服务提供给专门的群体，他们在国内的发展状况非常特殊，包括在农村、郊区和城市极度边缘化的群体和联邦行政机构指定作为接受对象的群体……”。</w:t>
      </w:r>
    </w:p>
    <w:p w:rsidR="00000000" w:rsidRDefault="00457650">
      <w:pPr>
        <w:widowControl/>
        <w:tabs>
          <w:tab w:val="left" w:pos="630"/>
        </w:tabs>
        <w:spacing w:after="240" w:line="360" w:lineRule="exact"/>
        <w:rPr>
          <w:rFonts w:hint="eastAsia"/>
        </w:rPr>
      </w:pPr>
      <w:r>
        <w:rPr>
          <w:rFonts w:hint="eastAsia"/>
        </w:rPr>
        <w:t>386</w:t>
      </w:r>
      <w:r>
        <w:rPr>
          <w:rFonts w:hint="eastAsia"/>
        </w:rPr>
        <w:t>.</w:t>
      </w:r>
      <w:r>
        <w:rPr>
          <w:rFonts w:hint="eastAsia"/>
        </w:rPr>
        <w:tab/>
      </w:r>
      <w:r>
        <w:rPr>
          <w:rFonts w:hint="eastAsia"/>
        </w:rPr>
        <w:t>第</w:t>
      </w:r>
      <w:r>
        <w:rPr>
          <w:rFonts w:hint="eastAsia"/>
        </w:rPr>
        <w:t>216</w:t>
      </w:r>
      <w:r>
        <w:rPr>
          <w:rFonts w:hint="eastAsia"/>
        </w:rPr>
        <w:t>条</w:t>
      </w:r>
      <w:r>
        <w:rPr>
          <w:rFonts w:hint="eastAsia"/>
        </w:rPr>
        <w:t>A</w:t>
      </w:r>
      <w:r>
        <w:rPr>
          <w:rFonts w:hint="eastAsia"/>
        </w:rPr>
        <w:t>款也应该牢记；它规定：“在以下情况下该机构必须照顾缺少权利的群体：……三：在联邦行政机构的要求下支持防止边缘化和贫穷的项目，……”；为此联邦政府将提供必要的贷款。</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39</w:t>
      </w:r>
      <w:r>
        <w:rPr>
          <w:rFonts w:ascii="SimHei" w:eastAsia="SimHei" w:hint="eastAsia"/>
        </w:rPr>
        <w:t>段（</w:t>
      </w:r>
      <w:r>
        <w:rPr>
          <w:rFonts w:ascii="SimHei" w:eastAsia="SimHei" w:hint="eastAsia"/>
        </w:rPr>
        <w:t>a</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387.</w:t>
      </w:r>
      <w:r>
        <w:rPr>
          <w:rFonts w:hint="eastAsia"/>
        </w:rPr>
        <w:tab/>
      </w:r>
      <w:r>
        <w:rPr>
          <w:rFonts w:hint="eastAsia"/>
        </w:rPr>
        <w:t>《联邦劳动法》禁止雇用不满</w:t>
      </w:r>
      <w:r>
        <w:rPr>
          <w:rFonts w:hint="eastAsia"/>
        </w:rPr>
        <w:t>14</w:t>
      </w:r>
      <w:r>
        <w:rPr>
          <w:rFonts w:hint="eastAsia"/>
        </w:rPr>
        <w:t>周岁的未成年人，并对超过该年龄的未成年人本人服从雇主从事工作加以规范。《联邦安全、卫生和工作环境条例》第</w:t>
      </w:r>
      <w:r>
        <w:rPr>
          <w:rFonts w:hint="eastAsia"/>
        </w:rPr>
        <w:t>154</w:t>
      </w:r>
      <w:r>
        <w:rPr>
          <w:rFonts w:hint="eastAsia"/>
        </w:rPr>
        <w:t>条规定不得雇用</w:t>
      </w:r>
      <w:r>
        <w:rPr>
          <w:rFonts w:hint="eastAsia"/>
        </w:rPr>
        <w:t>14-16</w:t>
      </w:r>
      <w:r>
        <w:rPr>
          <w:rFonts w:hint="eastAsia"/>
        </w:rPr>
        <w:t>岁的年轻人从事危险和不健康的工作。</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39</w:t>
      </w:r>
      <w:r>
        <w:rPr>
          <w:rFonts w:ascii="SimHei" w:eastAsia="SimHei" w:hint="eastAsia"/>
        </w:rPr>
        <w:t>段（</w:t>
      </w:r>
      <w:r>
        <w:rPr>
          <w:rFonts w:ascii="SimHei" w:eastAsia="SimHei" w:hint="eastAsia"/>
        </w:rPr>
        <w:t>b</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388.</w:t>
      </w:r>
      <w:r>
        <w:rPr>
          <w:rFonts w:hint="eastAsia"/>
        </w:rPr>
        <w:tab/>
      </w:r>
      <w:r>
        <w:rPr>
          <w:rFonts w:hint="eastAsia"/>
        </w:rPr>
        <w:t>墨西哥立法禁止使用童工。《宪法》和《联邦劳动法》都不允许雇用</w:t>
      </w:r>
      <w:r>
        <w:rPr>
          <w:rFonts w:hint="eastAsia"/>
        </w:rPr>
        <w:t>14-16</w:t>
      </w:r>
      <w:r>
        <w:rPr>
          <w:rFonts w:hint="eastAsia"/>
        </w:rPr>
        <w:t>岁的未成年</w:t>
      </w:r>
      <w:r>
        <w:rPr>
          <w:rFonts w:hint="eastAsia"/>
        </w:rPr>
        <w:t>人从事危险工作。</w:t>
      </w:r>
    </w:p>
    <w:p w:rsidR="00000000" w:rsidRDefault="00457650">
      <w:pPr>
        <w:widowControl/>
        <w:tabs>
          <w:tab w:val="left" w:pos="630"/>
        </w:tabs>
        <w:spacing w:after="240" w:line="360" w:lineRule="exact"/>
        <w:rPr>
          <w:rFonts w:hint="eastAsia"/>
        </w:rPr>
      </w:pPr>
      <w:r>
        <w:rPr>
          <w:rFonts w:hint="eastAsia"/>
        </w:rPr>
        <w:t>389.</w:t>
      </w:r>
      <w:r>
        <w:rPr>
          <w:rFonts w:hint="eastAsia"/>
        </w:rPr>
        <w:tab/>
      </w:r>
      <w:r>
        <w:rPr>
          <w:rFonts w:hint="eastAsia"/>
        </w:rPr>
        <w:t>虽然如此，但家庭的经济状况迫使未成年人进入劳动市场。国家统计、地理和信息技术研究所以及劳工和社会福利部进行了一次全国就业普查，普查表明参加工作的有</w:t>
      </w:r>
      <w:r>
        <w:rPr>
          <w:rFonts w:hint="eastAsia"/>
        </w:rPr>
        <w:t>12-13</w:t>
      </w:r>
      <w:r>
        <w:rPr>
          <w:rFonts w:hint="eastAsia"/>
        </w:rPr>
        <w:t>岁的男女儿童以及</w:t>
      </w:r>
      <w:r>
        <w:rPr>
          <w:rFonts w:hint="eastAsia"/>
        </w:rPr>
        <w:t>14-17</w:t>
      </w:r>
      <w:r>
        <w:rPr>
          <w:rFonts w:hint="eastAsia"/>
        </w:rPr>
        <w:t>岁的青少年。</w:t>
      </w:r>
    </w:p>
    <w:p w:rsidR="00000000" w:rsidRDefault="00457650">
      <w:pPr>
        <w:widowControl/>
        <w:tabs>
          <w:tab w:val="left" w:pos="630"/>
        </w:tabs>
        <w:spacing w:after="240" w:line="360" w:lineRule="exact"/>
        <w:rPr>
          <w:rFonts w:hint="eastAsia"/>
        </w:rPr>
      </w:pPr>
      <w:r>
        <w:rPr>
          <w:rFonts w:hint="eastAsia"/>
        </w:rPr>
        <w:t>390.</w:t>
      </w:r>
      <w:r>
        <w:rPr>
          <w:rFonts w:hint="eastAsia"/>
        </w:rPr>
        <w:tab/>
      </w:r>
      <w:r>
        <w:rPr>
          <w:rFonts w:hint="eastAsia"/>
        </w:rPr>
        <w:t>普查结果表明，过去</w:t>
      </w:r>
      <w:r>
        <w:rPr>
          <w:rFonts w:hint="eastAsia"/>
        </w:rPr>
        <w:t>10</w:t>
      </w:r>
      <w:r>
        <w:rPr>
          <w:rFonts w:hint="eastAsia"/>
        </w:rPr>
        <w:t>年来，</w:t>
      </w:r>
      <w:r>
        <w:rPr>
          <w:rFonts w:hint="eastAsia"/>
        </w:rPr>
        <w:t>12</w:t>
      </w:r>
      <w:r>
        <w:rPr>
          <w:rFonts w:hint="eastAsia"/>
        </w:rPr>
        <w:t>岁或</w:t>
      </w:r>
      <w:r>
        <w:rPr>
          <w:rFonts w:hint="eastAsia"/>
        </w:rPr>
        <w:t>13</w:t>
      </w:r>
      <w:r>
        <w:rPr>
          <w:rFonts w:hint="eastAsia"/>
        </w:rPr>
        <w:t>岁的男女儿童参加工作的比率出现下降趋势。在</w:t>
      </w:r>
      <w:r>
        <w:rPr>
          <w:rFonts w:hint="eastAsia"/>
        </w:rPr>
        <w:t>1995</w:t>
      </w:r>
      <w:r>
        <w:rPr>
          <w:rFonts w:hint="eastAsia"/>
        </w:rPr>
        <w:t>年，其总体比例为</w:t>
      </w:r>
      <w:r>
        <w:rPr>
          <w:rFonts w:hint="eastAsia"/>
        </w:rPr>
        <w:t>17.1%</w:t>
      </w:r>
      <w:r>
        <w:rPr>
          <w:rFonts w:hint="eastAsia"/>
        </w:rPr>
        <w:t>，到</w:t>
      </w:r>
      <w:r>
        <w:rPr>
          <w:rFonts w:hint="eastAsia"/>
        </w:rPr>
        <w:t>2003</w:t>
      </w:r>
      <w:r>
        <w:rPr>
          <w:rFonts w:hint="eastAsia"/>
        </w:rPr>
        <w:t>年这一比例下降到</w:t>
      </w:r>
      <w:r>
        <w:rPr>
          <w:rFonts w:hint="eastAsia"/>
        </w:rPr>
        <w:t>8.2%</w:t>
      </w:r>
      <w:r>
        <w:rPr>
          <w:rFonts w:hint="eastAsia"/>
        </w:rPr>
        <w:t>。女童的比例从</w:t>
      </w:r>
      <w:r>
        <w:rPr>
          <w:rFonts w:hint="eastAsia"/>
        </w:rPr>
        <w:t>9.9%</w:t>
      </w:r>
      <w:r>
        <w:rPr>
          <w:rFonts w:hint="eastAsia"/>
        </w:rPr>
        <w:t>下降到</w:t>
      </w:r>
      <w:r>
        <w:rPr>
          <w:rFonts w:hint="eastAsia"/>
        </w:rPr>
        <w:t>5.3%</w:t>
      </w:r>
      <w:r>
        <w:rPr>
          <w:rFonts w:hint="eastAsia"/>
        </w:rPr>
        <w:t>，男童的比例从</w:t>
      </w:r>
      <w:r>
        <w:rPr>
          <w:rFonts w:hint="eastAsia"/>
        </w:rPr>
        <w:t>24.4%</w:t>
      </w:r>
      <w:r>
        <w:rPr>
          <w:rFonts w:hint="eastAsia"/>
        </w:rPr>
        <w:t>下降到</w:t>
      </w:r>
      <w:r>
        <w:rPr>
          <w:rFonts w:hint="eastAsia"/>
        </w:rPr>
        <w:t>11.1%</w:t>
      </w:r>
      <w:r>
        <w:rPr>
          <w:rFonts w:hint="eastAsia"/>
        </w:rPr>
        <w:t>。</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39</w:t>
      </w:r>
      <w:r>
        <w:rPr>
          <w:rFonts w:ascii="SimHei" w:eastAsia="SimHei" w:hint="eastAsia"/>
        </w:rPr>
        <w:t>段（</w:t>
      </w:r>
      <w:r>
        <w:rPr>
          <w:rFonts w:ascii="SimHei" w:eastAsia="SimHei" w:hint="eastAsia"/>
        </w:rPr>
        <w:t>c</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391.</w:t>
      </w:r>
      <w:r>
        <w:rPr>
          <w:rFonts w:hint="eastAsia"/>
        </w:rPr>
        <w:tab/>
      </w:r>
      <w:r>
        <w:rPr>
          <w:rFonts w:hint="eastAsia"/>
        </w:rPr>
        <w:t>在许多国家，农村童工</w:t>
      </w:r>
      <w:r>
        <w:rPr>
          <w:rFonts w:hint="eastAsia"/>
        </w:rPr>
        <w:t>的使用规模更大，墨西哥就是其中之一。在考虑农业使用童工的情况时，除了要考虑低报酬和剥削现象外，还要考虑国境内外的移民以及接触杀虫剂和其他在农业生产过程中使用的物质所带来的内在危险。在农村地区，尽管有时男女儿童所从事的不稳定生产活动会帮助改善家庭的生存状况，但在其他许多情况下，他们是在竞争性的农产品商业出口部门从事生产劳动。这些儿童绝大多数来自贫穷的农村家庭。</w:t>
      </w:r>
    </w:p>
    <w:p w:rsidR="00000000" w:rsidRDefault="00457650">
      <w:pPr>
        <w:widowControl/>
        <w:tabs>
          <w:tab w:val="left" w:pos="630"/>
        </w:tabs>
        <w:spacing w:after="240" w:line="360" w:lineRule="exact"/>
        <w:rPr>
          <w:rFonts w:hint="eastAsia"/>
        </w:rPr>
      </w:pPr>
      <w:r>
        <w:rPr>
          <w:rFonts w:hint="eastAsia"/>
        </w:rPr>
        <w:t>392.</w:t>
      </w:r>
      <w:r>
        <w:rPr>
          <w:rFonts w:hint="eastAsia"/>
        </w:rPr>
        <w:tab/>
      </w:r>
      <w:r>
        <w:rPr>
          <w:rFonts w:hint="eastAsia"/>
        </w:rPr>
        <w:t>从事家庭服务中童工的一个显著特点是“不受注意”，这也是儿童从事的许多其他工作的特点；但是它还包括与性别相关的脆弱特点。从事家庭服务的女孩远远</w:t>
      </w:r>
      <w:r>
        <w:rPr>
          <w:rFonts w:hint="eastAsia"/>
        </w:rPr>
        <w:t>超过男孩；这是一个相关因素，因为这种类型的工作比其他工作更辛苦、更费时间，更重要的是，它影响了本应接受教育的时间。</w:t>
      </w:r>
      <w:r>
        <w:rPr>
          <w:rStyle w:val="FootnoteReference"/>
          <w:color w:val="000000"/>
          <w:szCs w:val="21"/>
        </w:rPr>
        <w:footnoteReference w:id="17"/>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39</w:t>
      </w:r>
      <w:r>
        <w:rPr>
          <w:rFonts w:ascii="SimHei" w:eastAsia="SimHei" w:hint="eastAsia"/>
        </w:rPr>
        <w:t>段（</w:t>
      </w:r>
      <w:r>
        <w:rPr>
          <w:rFonts w:ascii="SimHei" w:eastAsia="SimHei" w:hint="eastAsia"/>
        </w:rPr>
        <w:t>d</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393.</w:t>
      </w:r>
      <w:r>
        <w:rPr>
          <w:rFonts w:hint="eastAsia"/>
        </w:rPr>
        <w:tab/>
      </w:r>
      <w:r>
        <w:rPr>
          <w:rFonts w:hint="eastAsia"/>
        </w:rPr>
        <w:t>在墨西哥，有一些法律文书为未成年人提供保护。它们包括：</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《墨西哥合众国宪法》第</w:t>
      </w:r>
      <w:r>
        <w:rPr>
          <w:rFonts w:hint="eastAsia"/>
        </w:rPr>
        <w:t>18</w:t>
      </w:r>
      <w:r>
        <w:rPr>
          <w:rFonts w:hint="eastAsia"/>
        </w:rPr>
        <w:t>条第</w:t>
      </w:r>
      <w:r>
        <w:rPr>
          <w:rFonts w:hint="eastAsia"/>
        </w:rPr>
        <w:t>4</w:t>
      </w:r>
      <w:r>
        <w:rPr>
          <w:rFonts w:hint="eastAsia"/>
        </w:rPr>
        <w:t>款规定：“联邦政府和州政府应为青少年群体建立特殊的机构，收养也是一种选择，被遗弃的儿童借此可以进入一个能够满足其需要的家庭，而这些需要该机构无法完全满足。”</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SimHei" w:hint="eastAsia"/>
        </w:rPr>
        <w:t>街头儿童</w:t>
      </w:r>
      <w:r>
        <w:rPr>
          <w:rFonts w:hint="eastAsia"/>
        </w:rPr>
        <w:t>。各州和各市的家庭综合发展系统机构不断加强对街头儿童的照管，并采取更多和更加广泛的措施，使他们获得一整套基本的卫生</w:t>
      </w:r>
      <w:r>
        <w:rPr>
          <w:rFonts w:hint="eastAsia"/>
        </w:rPr>
        <w:t>保健和娱乐服务，法律和心理咨询，同时开辟特殊照管门路，向他们提供奖学金，使他们继续学业或接受专门的工作或技术培训。</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在</w:t>
      </w:r>
      <w:r>
        <w:rPr>
          <w:rFonts w:hint="eastAsia"/>
        </w:rPr>
        <w:t>2001</w:t>
      </w:r>
      <w:r>
        <w:rPr>
          <w:rFonts w:hint="eastAsia"/>
        </w:rPr>
        <w:t>年，作为公民参与政策的组成部分，家庭综合发展系统在主要社会组织的配合下向街头男女儿童和青少年提供保健服务，组织了一个名为“街头男女儿童和青少年预防和保健：从街头走向生活”的项目。</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该项目的目的是使公共、私人和社会部门所采取行动更加统一和协调，防止街头儿童及其家庭现象的产生，提供全面保健服务，并在中长期内解决这一问题。</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在</w:t>
      </w:r>
      <w:r>
        <w:rPr>
          <w:rFonts w:hint="eastAsia"/>
        </w:rPr>
        <w:t>2002</w:t>
      </w:r>
      <w:r>
        <w:rPr>
          <w:rFonts w:hint="eastAsia"/>
        </w:rPr>
        <w:t>年，家庭综合发展系统加强并巩固了这一计划的实施，以此实现</w:t>
      </w:r>
      <w:r>
        <w:rPr>
          <w:rFonts w:hint="eastAsia"/>
        </w:rPr>
        <w:t>各机构和民间社会共同追求的目标。为此，按照</w:t>
      </w:r>
      <w:r>
        <w:rPr>
          <w:rFonts w:hint="eastAsia"/>
        </w:rPr>
        <w:t>5</w:t>
      </w:r>
      <w:r>
        <w:rPr>
          <w:rFonts w:hint="eastAsia"/>
        </w:rPr>
        <w:t>个调查协议向</w:t>
      </w:r>
      <w:r>
        <w:rPr>
          <w:rFonts w:hint="eastAsia"/>
        </w:rPr>
        <w:t>82</w:t>
      </w:r>
      <w:r>
        <w:rPr>
          <w:rFonts w:hint="eastAsia"/>
        </w:rPr>
        <w:t>个民间组织提供了援助，向</w:t>
      </w:r>
      <w:r>
        <w:rPr>
          <w:rFonts w:hint="eastAsia"/>
        </w:rPr>
        <w:t>46</w:t>
      </w:r>
      <w:r>
        <w:rPr>
          <w:rFonts w:hint="eastAsia"/>
        </w:rPr>
        <w:t>个项目和</w:t>
      </w:r>
      <w:r>
        <w:rPr>
          <w:rFonts w:hint="eastAsia"/>
        </w:rPr>
        <w:t>46</w:t>
      </w:r>
      <w:r>
        <w:rPr>
          <w:rFonts w:hint="eastAsia"/>
        </w:rPr>
        <w:t>个计划提供援助发放奖学金；共有</w:t>
      </w:r>
      <w:r>
        <w:rPr>
          <w:rFonts w:hint="eastAsia"/>
        </w:rPr>
        <w:t>15 241</w:t>
      </w:r>
      <w:r>
        <w:rPr>
          <w:rFonts w:hint="eastAsia"/>
        </w:rPr>
        <w:t>名儿童和青少年从中受益。</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该计划所采取的措施包括预防、照顾、保障公正和调查。预防措施旨在强化家庭，防止吸毒成瘾和早孕，从小加强男女儿童技能的培养并提供学习和培训奖学金。</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在</w:t>
      </w:r>
      <w:r>
        <w:rPr>
          <w:rFonts w:hint="eastAsia"/>
        </w:rPr>
        <w:t>2002</w:t>
      </w:r>
      <w:r>
        <w:rPr>
          <w:rFonts w:hint="eastAsia"/>
        </w:rPr>
        <w:t>年，</w:t>
      </w:r>
      <w:r>
        <w:rPr>
          <w:rFonts w:hint="eastAsia"/>
        </w:rPr>
        <w:t>39 954</w:t>
      </w:r>
      <w:r>
        <w:rPr>
          <w:rFonts w:hint="eastAsia"/>
        </w:rPr>
        <w:t>名儿童和青少年从该计划中受益。</w:t>
      </w:r>
      <w:r>
        <w:rPr>
          <w:rFonts w:hint="eastAsia"/>
        </w:rPr>
        <w:t>2003</w:t>
      </w:r>
      <w:r>
        <w:rPr>
          <w:rFonts w:hint="eastAsia"/>
        </w:rPr>
        <w:t>年该项目的实施活动仍在不断推进。</w:t>
      </w:r>
    </w:p>
    <w:p w:rsidR="00000000" w:rsidRDefault="00457650">
      <w:pPr>
        <w:keepNext/>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39</w:t>
      </w:r>
      <w:r>
        <w:rPr>
          <w:rFonts w:ascii="SimHei" w:eastAsia="SimHei" w:hint="eastAsia"/>
        </w:rPr>
        <w:t>段（</w:t>
      </w:r>
      <w:r>
        <w:rPr>
          <w:rFonts w:ascii="SimHei" w:eastAsia="SimHei" w:hint="eastAsia"/>
        </w:rPr>
        <w:t>e</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394.</w:t>
      </w:r>
      <w:r>
        <w:rPr>
          <w:rFonts w:hint="eastAsia"/>
        </w:rPr>
        <w:tab/>
      </w:r>
      <w:r>
        <w:rPr>
          <w:rFonts w:hint="eastAsia"/>
        </w:rPr>
        <w:t>“从街头走向生活”项目的目标是政府和社会共同努力，制定各种措施为街头未成年人</w:t>
      </w:r>
      <w:r>
        <w:rPr>
          <w:rFonts w:hint="eastAsia"/>
        </w:rPr>
        <w:t>和青少年提供援助和全面保健，这些青少年因易受伤害而面临众多难题，他们的品德因此而受到负面影响，权利行使受到阻碍。</w:t>
      </w:r>
    </w:p>
    <w:p w:rsidR="00000000" w:rsidRDefault="00457650">
      <w:pPr>
        <w:widowControl/>
        <w:tabs>
          <w:tab w:val="left" w:pos="630"/>
        </w:tabs>
        <w:spacing w:after="240" w:line="360" w:lineRule="exact"/>
        <w:rPr>
          <w:rFonts w:hint="eastAsia"/>
        </w:rPr>
      </w:pPr>
      <w:r>
        <w:rPr>
          <w:rFonts w:hint="eastAsia"/>
        </w:rPr>
        <w:t>395.</w:t>
      </w:r>
      <w:r>
        <w:rPr>
          <w:rFonts w:hint="eastAsia"/>
        </w:rPr>
        <w:tab/>
      </w:r>
      <w:r>
        <w:rPr>
          <w:rFonts w:hint="eastAsia"/>
        </w:rPr>
        <w:t>国家后续行动和评估委员会以及</w:t>
      </w:r>
      <w:r>
        <w:rPr>
          <w:rFonts w:hint="eastAsia"/>
        </w:rPr>
        <w:t>8</w:t>
      </w:r>
      <w:r>
        <w:rPr>
          <w:rFonts w:hint="eastAsia"/>
        </w:rPr>
        <w:t>个州的州委员会开展了这一项目。该委员会的宗旨是建立各机构间合作配合机制，协调公共、社会和私人社会援助部门针对街头儿童和青少年实施的预防和保健措施。</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39</w:t>
      </w:r>
      <w:r>
        <w:rPr>
          <w:rFonts w:ascii="SimHei" w:eastAsia="SimHei" w:hint="eastAsia"/>
        </w:rPr>
        <w:t>段（</w:t>
      </w:r>
      <w:r>
        <w:rPr>
          <w:rFonts w:ascii="SimHei" w:eastAsia="SimHei" w:hint="eastAsia"/>
        </w:rPr>
        <w:t>f</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396.</w:t>
      </w:r>
      <w:r>
        <w:rPr>
          <w:rFonts w:hint="eastAsia"/>
        </w:rPr>
        <w:tab/>
      </w:r>
      <w:r>
        <w:rPr>
          <w:rFonts w:hint="eastAsia"/>
        </w:rPr>
        <w:t>自</w:t>
      </w:r>
      <w:r>
        <w:rPr>
          <w:rFonts w:hint="eastAsia"/>
        </w:rPr>
        <w:t>1990</w:t>
      </w:r>
      <w:r>
        <w:rPr>
          <w:rFonts w:hint="eastAsia"/>
        </w:rPr>
        <w:t>年起，墨西哥在预防和逐步消除童工方面取得了巨大进展。开展了多项研究和调查；其中特别值得一提的是</w:t>
      </w:r>
      <w:r>
        <w:rPr>
          <w:rFonts w:hint="eastAsia"/>
        </w:rPr>
        <w:t>1997</w:t>
      </w:r>
      <w:r>
        <w:rPr>
          <w:rFonts w:hint="eastAsia"/>
        </w:rPr>
        <w:t>年完成的</w:t>
      </w:r>
      <w:r>
        <w:rPr>
          <w:rFonts w:hint="eastAsia"/>
        </w:rPr>
        <w:t>100</w:t>
      </w:r>
      <w:r>
        <w:rPr>
          <w:rFonts w:hint="eastAsia"/>
        </w:rPr>
        <w:t>个城镇男女儿童和青少年工作情况专题研究；</w:t>
      </w:r>
      <w:r>
        <w:rPr>
          <w:rFonts w:hint="eastAsia"/>
        </w:rPr>
        <w:t>2002</w:t>
      </w:r>
      <w:r>
        <w:t>-</w:t>
      </w:r>
      <w:r>
        <w:rPr>
          <w:rFonts w:hint="eastAsia"/>
        </w:rPr>
        <w:t>2003</w:t>
      </w:r>
      <w:r>
        <w:rPr>
          <w:rFonts w:hint="eastAsia"/>
        </w:rPr>
        <w:t>年关于</w:t>
      </w:r>
      <w:r>
        <w:rPr>
          <w:rFonts w:hint="eastAsia"/>
        </w:rPr>
        <w:t>100</w:t>
      </w:r>
      <w:r>
        <w:rPr>
          <w:rFonts w:hint="eastAsia"/>
        </w:rPr>
        <w:t>个城镇儿童和青少年参加工作情况的第二次专题研究执行报告（由家庭综合发展系统和儿童基金会共同完成）；劳工和社会福利部和国家统计、地理和信息技术研究所共同进行的全国就业普查；</w:t>
      </w:r>
      <w:r>
        <w:rPr>
          <w:rFonts w:hint="eastAsia"/>
        </w:rPr>
        <w:t>1998-1999</w:t>
      </w:r>
      <w:r>
        <w:rPr>
          <w:rFonts w:hint="eastAsia"/>
        </w:rPr>
        <w:t>年社会发展部根据国家农业临时工人计划进行的全国临时工普查。</w:t>
      </w:r>
    </w:p>
    <w:p w:rsidR="00000000" w:rsidRDefault="00457650">
      <w:pPr>
        <w:widowControl/>
        <w:tabs>
          <w:tab w:val="left" w:pos="630"/>
        </w:tabs>
        <w:spacing w:after="240" w:line="360" w:lineRule="exact"/>
        <w:rPr>
          <w:rFonts w:hint="eastAsia"/>
        </w:rPr>
      </w:pPr>
      <w:r>
        <w:rPr>
          <w:rFonts w:hint="eastAsia"/>
        </w:rPr>
        <w:t>397.</w:t>
      </w:r>
      <w:r>
        <w:rPr>
          <w:rFonts w:hint="eastAsia"/>
        </w:rPr>
        <w:tab/>
      </w:r>
      <w:r>
        <w:rPr>
          <w:rFonts w:hint="eastAsia"/>
        </w:rPr>
        <w:t>在</w:t>
      </w:r>
      <w:r>
        <w:rPr>
          <w:rFonts w:hint="eastAsia"/>
        </w:rPr>
        <w:t>1999</w:t>
      </w:r>
      <w:r>
        <w:rPr>
          <w:rFonts w:hint="eastAsia"/>
        </w:rPr>
        <w:t>年，家庭综合发展系统在儿童基金会的帮助下制定了“参加工作的未成年人非正式教育模式”，其中包括在</w:t>
      </w:r>
      <w:r>
        <w:rPr>
          <w:rFonts w:hint="eastAsia"/>
        </w:rPr>
        <w:t>9</w:t>
      </w:r>
      <w:r>
        <w:rPr>
          <w:rFonts w:hint="eastAsia"/>
        </w:rPr>
        <w:t>个城市推行一项试行计划。利用试行计划的成果帮助改进该模式并在另外</w:t>
      </w:r>
      <w:r>
        <w:rPr>
          <w:rFonts w:hint="eastAsia"/>
        </w:rPr>
        <w:t>31</w:t>
      </w:r>
      <w:r>
        <w:rPr>
          <w:rFonts w:hint="eastAsia"/>
        </w:rPr>
        <w:t>个城市实施。</w:t>
      </w:r>
    </w:p>
    <w:p w:rsidR="00000000" w:rsidRDefault="00457650">
      <w:pPr>
        <w:widowControl/>
        <w:tabs>
          <w:tab w:val="left" w:pos="630"/>
        </w:tabs>
        <w:spacing w:after="240" w:line="360" w:lineRule="exact"/>
        <w:rPr>
          <w:rFonts w:hint="eastAsia"/>
        </w:rPr>
      </w:pPr>
      <w:r>
        <w:rPr>
          <w:rFonts w:hint="eastAsia"/>
        </w:rPr>
        <w:t>398.</w:t>
      </w:r>
      <w:r>
        <w:rPr>
          <w:rFonts w:hint="eastAsia"/>
        </w:rPr>
        <w:tab/>
      </w:r>
      <w:r>
        <w:rPr>
          <w:rFonts w:hint="eastAsia"/>
        </w:rPr>
        <w:t>对于法律保护措施的规定和实施，劳工和社会福利</w:t>
      </w:r>
      <w:r>
        <w:rPr>
          <w:rFonts w:hint="eastAsia"/>
        </w:rPr>
        <w:t>部实施了许多计划，以此预防和禁止雇用不满</w:t>
      </w:r>
      <w:r>
        <w:rPr>
          <w:rFonts w:hint="eastAsia"/>
        </w:rPr>
        <w:t>14</w:t>
      </w:r>
      <w:r>
        <w:rPr>
          <w:rFonts w:hint="eastAsia"/>
        </w:rPr>
        <w:t>周岁的儿童，取消不满</w:t>
      </w:r>
      <w:r>
        <w:rPr>
          <w:rFonts w:hint="eastAsia"/>
        </w:rPr>
        <w:t>18</w:t>
      </w:r>
      <w:r>
        <w:rPr>
          <w:rFonts w:hint="eastAsia"/>
        </w:rPr>
        <w:t>周岁未成年人从事的最恶劣的工作形式。这些计划还准备、监督和保护</w:t>
      </w:r>
      <w:r>
        <w:rPr>
          <w:rFonts w:hint="eastAsia"/>
        </w:rPr>
        <w:t>14-16</w:t>
      </w:r>
      <w:r>
        <w:rPr>
          <w:rFonts w:hint="eastAsia"/>
        </w:rPr>
        <w:t>岁的工人，法律允许他们在一定条件和限制下从事经济活动。</w:t>
      </w:r>
      <w:r>
        <w:rPr>
          <w:rStyle w:val="FootnoteReference"/>
          <w:color w:val="000000"/>
          <w:szCs w:val="21"/>
        </w:rPr>
        <w:footnoteReference w:id="18"/>
      </w:r>
    </w:p>
    <w:p w:rsidR="00000000" w:rsidRDefault="00457650">
      <w:pPr>
        <w:widowControl/>
        <w:tabs>
          <w:tab w:val="left" w:pos="630"/>
        </w:tabs>
        <w:spacing w:after="240" w:line="360" w:lineRule="exact"/>
        <w:rPr>
          <w:rFonts w:hint="eastAsia"/>
        </w:rPr>
      </w:pPr>
      <w:r>
        <w:rPr>
          <w:rFonts w:hint="eastAsia"/>
        </w:rPr>
        <w:t>399.</w:t>
      </w:r>
      <w:r>
        <w:rPr>
          <w:rFonts w:hint="eastAsia"/>
        </w:rPr>
        <w:tab/>
      </w:r>
      <w:r>
        <w:rPr>
          <w:rFonts w:hint="eastAsia"/>
        </w:rPr>
        <w:t>为了监督参加工作的未成年人的工作条件，在</w:t>
      </w:r>
      <w:r>
        <w:rPr>
          <w:rFonts w:hint="eastAsia"/>
        </w:rPr>
        <w:t>2002</w:t>
      </w:r>
      <w:r>
        <w:rPr>
          <w:rFonts w:hint="eastAsia"/>
        </w:rPr>
        <w:t>年</w:t>
      </w:r>
      <w:r>
        <w:rPr>
          <w:rFonts w:hint="eastAsia"/>
        </w:rPr>
        <w:t>12</w:t>
      </w:r>
      <w:r>
        <w:rPr>
          <w:rFonts w:hint="eastAsia"/>
        </w:rPr>
        <w:t>月至</w:t>
      </w:r>
      <w:r>
        <w:rPr>
          <w:rFonts w:hint="eastAsia"/>
        </w:rPr>
        <w:t>2003</w:t>
      </w:r>
      <w:r>
        <w:rPr>
          <w:rFonts w:hint="eastAsia"/>
        </w:rPr>
        <w:t>年</w:t>
      </w:r>
      <w:r>
        <w:rPr>
          <w:rFonts w:hint="eastAsia"/>
        </w:rPr>
        <w:t>8</w:t>
      </w:r>
      <w:r>
        <w:rPr>
          <w:rFonts w:hint="eastAsia"/>
        </w:rPr>
        <w:t>月，劳工和社会福利部进行了</w:t>
      </w:r>
      <w:r>
        <w:rPr>
          <w:rFonts w:hint="eastAsia"/>
        </w:rPr>
        <w:t>20 940</w:t>
      </w:r>
      <w:r>
        <w:rPr>
          <w:rFonts w:hint="eastAsia"/>
        </w:rPr>
        <w:t>次检查，向</w:t>
      </w:r>
      <w:r>
        <w:rPr>
          <w:rFonts w:hint="eastAsia"/>
        </w:rPr>
        <w:t>3 444</w:t>
      </w:r>
      <w:r>
        <w:rPr>
          <w:rFonts w:hint="eastAsia"/>
        </w:rPr>
        <w:t>名未成年人提供指导，发放</w:t>
      </w:r>
      <w:r>
        <w:rPr>
          <w:rFonts w:hint="eastAsia"/>
        </w:rPr>
        <w:t>2 506</w:t>
      </w:r>
      <w:r>
        <w:rPr>
          <w:rFonts w:hint="eastAsia"/>
        </w:rPr>
        <w:t>个工作许可证，允许</w:t>
      </w:r>
      <w:r>
        <w:rPr>
          <w:rFonts w:hint="eastAsia"/>
        </w:rPr>
        <w:t>14-16</w:t>
      </w:r>
      <w:r>
        <w:rPr>
          <w:rFonts w:hint="eastAsia"/>
        </w:rPr>
        <w:t>岁的未成年人参加工作。</w:t>
      </w:r>
    </w:p>
    <w:p w:rsidR="00000000" w:rsidRDefault="00457650">
      <w:pPr>
        <w:widowControl/>
        <w:tabs>
          <w:tab w:val="left" w:pos="630"/>
        </w:tabs>
        <w:spacing w:after="240" w:line="360" w:lineRule="exact"/>
        <w:rPr>
          <w:rFonts w:hint="eastAsia"/>
        </w:rPr>
      </w:pPr>
      <w:r>
        <w:rPr>
          <w:rFonts w:hint="eastAsia"/>
        </w:rPr>
        <w:t>400.</w:t>
      </w:r>
      <w:r>
        <w:rPr>
          <w:rFonts w:hint="eastAsia"/>
        </w:rPr>
        <w:tab/>
      </w:r>
      <w:r>
        <w:rPr>
          <w:rFonts w:hint="eastAsia"/>
        </w:rPr>
        <w:t>在国际领域，墨西哥签署了国际劳工组织《关于禁止和立即行动消除最有害的童工形式的第</w:t>
      </w:r>
      <w:r>
        <w:rPr>
          <w:rFonts w:hint="eastAsia"/>
        </w:rPr>
        <w:t>182</w:t>
      </w:r>
      <w:r>
        <w:rPr>
          <w:rFonts w:hint="eastAsia"/>
        </w:rPr>
        <w:t>号公约》，该公约于</w:t>
      </w:r>
      <w:r>
        <w:rPr>
          <w:rFonts w:hint="eastAsia"/>
        </w:rPr>
        <w:t>2000</w:t>
      </w:r>
      <w:r>
        <w:rPr>
          <w:rFonts w:hint="eastAsia"/>
        </w:rPr>
        <w:t>年</w:t>
      </w:r>
      <w:r>
        <w:rPr>
          <w:rFonts w:hint="eastAsia"/>
        </w:rPr>
        <w:t>6</w:t>
      </w:r>
      <w:r>
        <w:rPr>
          <w:rFonts w:hint="eastAsia"/>
        </w:rPr>
        <w:t>月</w:t>
      </w:r>
      <w:r>
        <w:rPr>
          <w:rFonts w:hint="eastAsia"/>
        </w:rPr>
        <w:t>30</w:t>
      </w:r>
      <w:r>
        <w:rPr>
          <w:rFonts w:hint="eastAsia"/>
        </w:rPr>
        <w:t>日获得批准（</w:t>
      </w:r>
      <w:r>
        <w:rPr>
          <w:rFonts w:hint="eastAsia"/>
        </w:rPr>
        <w:t>2001</w:t>
      </w:r>
      <w:r>
        <w:rPr>
          <w:rFonts w:hint="eastAsia"/>
        </w:rPr>
        <w:t>年</w:t>
      </w:r>
      <w:r>
        <w:rPr>
          <w:rFonts w:hint="eastAsia"/>
        </w:rPr>
        <w:t>6</w:t>
      </w:r>
      <w:r>
        <w:rPr>
          <w:rFonts w:hint="eastAsia"/>
        </w:rPr>
        <w:t>月</w:t>
      </w:r>
      <w:r>
        <w:rPr>
          <w:rFonts w:hint="eastAsia"/>
        </w:rPr>
        <w:t>30</w:t>
      </w:r>
      <w:r>
        <w:rPr>
          <w:rFonts w:hint="eastAsia"/>
        </w:rPr>
        <w:t>日生效）。</w:t>
      </w:r>
    </w:p>
    <w:p w:rsidR="00000000" w:rsidRDefault="00457650">
      <w:pPr>
        <w:widowControl/>
        <w:tabs>
          <w:tab w:val="left" w:pos="630"/>
        </w:tabs>
        <w:spacing w:after="240" w:line="360" w:lineRule="exact"/>
        <w:rPr>
          <w:rFonts w:hint="eastAsia"/>
        </w:rPr>
      </w:pPr>
      <w:r>
        <w:rPr>
          <w:rFonts w:hint="eastAsia"/>
        </w:rPr>
        <w:t>401.</w:t>
      </w:r>
      <w:r>
        <w:rPr>
          <w:rFonts w:hint="eastAsia"/>
        </w:rPr>
        <w:tab/>
      </w:r>
      <w:r>
        <w:rPr>
          <w:rFonts w:hint="eastAsia"/>
        </w:rPr>
        <w:t>关于涉及童工情况的预防措施，</w:t>
      </w:r>
      <w:r>
        <w:rPr>
          <w:rFonts w:hint="eastAsia"/>
        </w:rPr>
        <w:t>2001</w:t>
      </w:r>
      <w:r>
        <w:rPr>
          <w:rFonts w:hint="eastAsia"/>
        </w:rPr>
        <w:t>年在“国家家庭综合发展系统”、“儿童基金会”、“国际劳工组织”和</w:t>
      </w:r>
      <w:r>
        <w:t>哈拉帕</w:t>
      </w:r>
      <w:r>
        <w:rPr>
          <w:rFonts w:hint="eastAsia"/>
        </w:rPr>
        <w:t>市（韦拉克鲁斯）、</w:t>
      </w:r>
      <w:r>
        <w:t>瓜纳华托</w:t>
      </w:r>
      <w:r>
        <w:rPr>
          <w:rFonts w:hint="eastAsia"/>
        </w:rPr>
        <w:t>市、</w:t>
      </w:r>
      <w:r>
        <w:t>瓦哈卡</w:t>
      </w:r>
      <w:r>
        <w:rPr>
          <w:rFonts w:hint="eastAsia"/>
        </w:rPr>
        <w:t>市、</w:t>
      </w:r>
      <w:r>
        <w:t>阿瓜斯卡连特斯</w:t>
      </w:r>
      <w:r>
        <w:rPr>
          <w:rFonts w:hint="eastAsia"/>
        </w:rPr>
        <w:t>市、</w:t>
      </w:r>
      <w:r>
        <w:t>蒂华纳</w:t>
      </w:r>
      <w:r>
        <w:rPr>
          <w:rFonts w:hint="eastAsia"/>
        </w:rPr>
        <w:t>市、</w:t>
      </w:r>
      <w:r>
        <w:t>下加里福尼亚</w:t>
      </w:r>
      <w:r>
        <w:rPr>
          <w:rFonts w:hint="eastAsia"/>
        </w:rPr>
        <w:t>和萨尔提略市（</w:t>
      </w:r>
      <w:r>
        <w:t>科阿韦拉</w:t>
      </w:r>
      <w:r>
        <w:rPr>
          <w:rFonts w:hint="eastAsia"/>
        </w:rPr>
        <w:t>）的墨西哥青年协会的配合协助下，劳工和社会福利部组织并举行了六次</w:t>
      </w:r>
      <w:r>
        <w:rPr>
          <w:rFonts w:ascii="KaiTi_GB2312" w:eastAsia="KaiTi_GB2312" w:hint="eastAsia"/>
          <w:iCs/>
        </w:rPr>
        <w:t>墨西哥童工和国际劳工组织《关于禁止和立即行动消除最有害的童工形式的第</w:t>
      </w:r>
      <w:r>
        <w:rPr>
          <w:rFonts w:ascii="KaiTi_GB2312" w:eastAsia="KaiTi_GB2312" w:hint="eastAsia"/>
          <w:iCs/>
        </w:rPr>
        <w:t>182</w:t>
      </w:r>
      <w:r>
        <w:rPr>
          <w:rFonts w:ascii="KaiTi_GB2312" w:eastAsia="KaiTi_GB2312" w:hint="eastAsia"/>
          <w:iCs/>
        </w:rPr>
        <w:t>号公约》的地区研讨会</w:t>
      </w:r>
      <w:r>
        <w:rPr>
          <w:rFonts w:hint="eastAsia"/>
          <w:iCs/>
        </w:rPr>
        <w:t>。</w:t>
      </w:r>
    </w:p>
    <w:p w:rsidR="00000000" w:rsidRDefault="00457650">
      <w:pPr>
        <w:widowControl/>
        <w:tabs>
          <w:tab w:val="left" w:pos="630"/>
        </w:tabs>
        <w:spacing w:after="240" w:line="360" w:lineRule="exact"/>
        <w:rPr>
          <w:rFonts w:hint="eastAsia"/>
        </w:rPr>
      </w:pPr>
      <w:r>
        <w:rPr>
          <w:rFonts w:hint="eastAsia"/>
        </w:rPr>
        <w:t>402.</w:t>
      </w:r>
      <w:r>
        <w:rPr>
          <w:rFonts w:hint="eastAsia"/>
        </w:rPr>
        <w:tab/>
        <w:t>2003</w:t>
      </w:r>
      <w:r>
        <w:rPr>
          <w:rFonts w:hint="eastAsia"/>
        </w:rPr>
        <w:t>年，除预防和禁止使用童工的运动</w:t>
      </w:r>
      <w:r>
        <w:rPr>
          <w:rFonts w:hint="eastAsia"/>
        </w:rPr>
        <w:t>外，劳工和社会福利部还组织了“墨西哥童工第一论坛并报告了根据劳工组织第</w:t>
      </w:r>
      <w:r>
        <w:rPr>
          <w:rFonts w:hint="eastAsia"/>
        </w:rPr>
        <w:t>182</w:t>
      </w:r>
      <w:r>
        <w:rPr>
          <w:rFonts w:hint="eastAsia"/>
        </w:rPr>
        <w:t>号公约采取后续行动的结果”，在此过程中提交了关于墨西哥童工状况、政府所采取的措施及其经验的报告。此外，还提出了预防、应对和消除童工现象的建议。参加论坛的代表来自政府机构和劳工和社会福利部各部门，雇主和工人组织，大学，工会大会，国际组织和社会民间组织。</w:t>
      </w:r>
    </w:p>
    <w:p w:rsidR="00000000" w:rsidRDefault="00457650">
      <w:pPr>
        <w:widowControl/>
        <w:tabs>
          <w:tab w:val="left" w:pos="720"/>
        </w:tabs>
        <w:spacing w:after="240" w:line="360" w:lineRule="exact"/>
        <w:jc w:val="center"/>
        <w:rPr>
          <w:rFonts w:ascii="SimHei" w:eastAsia="SimHei" w:hint="eastAsia"/>
          <w:sz w:val="24"/>
        </w:rPr>
      </w:pPr>
      <w:r>
        <w:rPr>
          <w:rFonts w:ascii="SimHei" w:eastAsia="SimHei" w:hint="eastAsia"/>
          <w:sz w:val="24"/>
        </w:rPr>
        <w:t xml:space="preserve">F. </w:t>
      </w:r>
      <w:r>
        <w:rPr>
          <w:rFonts w:ascii="SimHei" w:eastAsia="SimHei" w:hint="eastAsia"/>
          <w:sz w:val="24"/>
        </w:rPr>
        <w:t>第</w:t>
      </w:r>
      <w:r>
        <w:rPr>
          <w:rFonts w:ascii="SimHei" w:eastAsia="SimHei" w:hint="eastAsia"/>
          <w:sz w:val="24"/>
        </w:rPr>
        <w:t>11</w:t>
      </w:r>
      <w:r>
        <w:rPr>
          <w:rFonts w:ascii="SimHei" w:eastAsia="SimHei" w:hint="eastAsia"/>
          <w:sz w:val="24"/>
        </w:rPr>
        <w:t>条</w:t>
      </w:r>
    </w:p>
    <w:p w:rsidR="00000000" w:rsidRDefault="00457650">
      <w:pPr>
        <w:widowControl/>
        <w:tabs>
          <w:tab w:val="left" w:pos="720"/>
        </w:tabs>
        <w:spacing w:after="240" w:line="360" w:lineRule="exact"/>
        <w:rPr>
          <w:rFonts w:ascii="SimHei" w:eastAsia="SimHei" w:hint="eastAsia"/>
        </w:rPr>
      </w:pPr>
      <w:r>
        <w:rPr>
          <w:rFonts w:ascii="SimHei" w:eastAsia="SimHei" w:hint="eastAsia"/>
        </w:rPr>
        <w:t>指南第</w:t>
      </w:r>
      <w:r>
        <w:rPr>
          <w:rFonts w:ascii="SimHei" w:eastAsia="SimHei" w:hint="eastAsia"/>
        </w:rPr>
        <w:t>42</w:t>
      </w:r>
      <w:r>
        <w:rPr>
          <w:rFonts w:ascii="SimHei" w:eastAsia="SimHei" w:hint="eastAsia"/>
        </w:rPr>
        <w:t>段（</w:t>
      </w:r>
      <w:r>
        <w:rPr>
          <w:rFonts w:ascii="SimHei" w:eastAsia="SimHei" w:hint="eastAsia"/>
        </w:rPr>
        <w:t>a</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403.</w:t>
      </w:r>
      <w:r>
        <w:rPr>
          <w:rFonts w:hint="eastAsia"/>
        </w:rPr>
        <w:tab/>
      </w:r>
      <w:r>
        <w:rPr>
          <w:rFonts w:hint="eastAsia"/>
        </w:rPr>
        <w:t>近年来，墨西哥这一群体的生活状况和福利得到了极大的改善。墨西哥人口正从年轻走向老年化，这就提出了新的挑战，即如何能让越来越多达到退休年龄的</w:t>
      </w:r>
      <w:r>
        <w:rPr>
          <w:rFonts w:hint="eastAsia"/>
        </w:rPr>
        <w:t>老年人生活得更好，并提供适当的社会保障。只一味增加预期寿命是不够的，还必须保证所有墨西哥人都享有更高的生活水平。</w:t>
      </w:r>
    </w:p>
    <w:p w:rsidR="00000000" w:rsidRDefault="00457650">
      <w:pPr>
        <w:widowControl/>
        <w:tabs>
          <w:tab w:val="left" w:pos="630"/>
        </w:tabs>
        <w:spacing w:after="240" w:line="360" w:lineRule="exact"/>
        <w:rPr>
          <w:rFonts w:hint="eastAsia"/>
        </w:rPr>
      </w:pPr>
      <w:r>
        <w:rPr>
          <w:rFonts w:hint="eastAsia"/>
        </w:rPr>
        <w:t>404.</w:t>
      </w:r>
      <w:r>
        <w:rPr>
          <w:rFonts w:hint="eastAsia"/>
        </w:rPr>
        <w:tab/>
      </w:r>
      <w:r>
        <w:rPr>
          <w:rFonts w:hint="eastAsia"/>
        </w:rPr>
        <w:t>为了实现这一点，墨西哥在全国范围内做出了巨大努力，促进社会和人民的发展，并增强这一群体的能力，使他们获得更多更好的发展机会，提高他们的福利。</w:t>
      </w:r>
    </w:p>
    <w:p w:rsidR="00000000" w:rsidRDefault="00457650">
      <w:pPr>
        <w:widowControl/>
        <w:tabs>
          <w:tab w:val="left" w:pos="630"/>
        </w:tabs>
        <w:spacing w:after="240" w:line="360" w:lineRule="exact"/>
        <w:rPr>
          <w:rFonts w:hint="eastAsia"/>
        </w:rPr>
      </w:pPr>
      <w:r>
        <w:rPr>
          <w:rFonts w:hint="eastAsia"/>
        </w:rPr>
        <w:t>405.</w:t>
      </w:r>
      <w:r>
        <w:rPr>
          <w:rFonts w:hint="eastAsia"/>
        </w:rPr>
        <w:tab/>
      </w:r>
      <w:r>
        <w:rPr>
          <w:rFonts w:hint="eastAsia"/>
        </w:rPr>
        <w:t>墨西哥始终面临的一个主要问题是贫困，主要挑战是如何与贫困和导致其产生的制度作斗争。克服贫困的一个关键方面是认识到这是一个多方面多种形式的现象，它远远超过了纯粹的物质问题。这就是为什么单纯的经济增长永远也解决不了贫困问题。解决贫困问题需要</w:t>
      </w:r>
      <w:r>
        <w:rPr>
          <w:rFonts w:hint="eastAsia"/>
        </w:rPr>
        <w:t>持续的经济增长和稳定的环境，以及更平等的财富分配，这是提高生活水平的必要条件。</w:t>
      </w:r>
    </w:p>
    <w:p w:rsidR="00000000" w:rsidRDefault="00457650">
      <w:pPr>
        <w:widowControl/>
        <w:tabs>
          <w:tab w:val="left" w:pos="630"/>
        </w:tabs>
        <w:spacing w:after="240" w:line="360" w:lineRule="exact"/>
        <w:rPr>
          <w:rFonts w:hint="eastAsia"/>
        </w:rPr>
      </w:pPr>
      <w:r>
        <w:rPr>
          <w:rFonts w:hint="eastAsia"/>
        </w:rPr>
        <w:t>406.</w:t>
      </w:r>
      <w:r>
        <w:rPr>
          <w:rFonts w:hint="eastAsia"/>
        </w:rPr>
        <w:tab/>
      </w:r>
      <w:r>
        <w:rPr>
          <w:rFonts w:hint="eastAsia"/>
        </w:rPr>
        <w:t>在这方面，以下数据表明近年来墨西哥全国取得的成果特别令人鼓舞：</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2000</w:t>
      </w:r>
      <w:r>
        <w:rPr>
          <w:rFonts w:hint="eastAsia"/>
        </w:rPr>
        <w:t>至</w:t>
      </w:r>
      <w:r>
        <w:rPr>
          <w:rFonts w:hint="eastAsia"/>
        </w:rPr>
        <w:t>2002</w:t>
      </w:r>
      <w:r>
        <w:rPr>
          <w:rFonts w:hint="eastAsia"/>
        </w:rPr>
        <w:t>年间全国总人口中营养不良的比例从</w:t>
      </w:r>
      <w:r>
        <w:rPr>
          <w:rFonts w:hint="eastAsia"/>
        </w:rPr>
        <w:t>24.2%</w:t>
      </w:r>
      <w:r>
        <w:rPr>
          <w:rFonts w:hint="eastAsia"/>
        </w:rPr>
        <w:t>下降到</w:t>
      </w:r>
      <w:r>
        <w:rPr>
          <w:rFonts w:hint="eastAsia"/>
        </w:rPr>
        <w:t>20.3%</w:t>
      </w:r>
      <w:r>
        <w:rPr>
          <w:rFonts w:hint="eastAsia"/>
        </w:rPr>
        <w:t>。</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2000</w:t>
      </w:r>
      <w:r>
        <w:rPr>
          <w:rFonts w:hint="eastAsia"/>
        </w:rPr>
        <w:t>至</w:t>
      </w:r>
      <w:r>
        <w:rPr>
          <w:rFonts w:hint="eastAsia"/>
        </w:rPr>
        <w:t>2002</w:t>
      </w:r>
      <w:r>
        <w:rPr>
          <w:rFonts w:hint="eastAsia"/>
        </w:rPr>
        <w:t>年间低于能力发展界限的人口比例从</w:t>
      </w:r>
      <w:r>
        <w:rPr>
          <w:rFonts w:hint="eastAsia"/>
        </w:rPr>
        <w:t>31.9%</w:t>
      </w:r>
      <w:r>
        <w:rPr>
          <w:rFonts w:hint="eastAsia"/>
        </w:rPr>
        <w:t>下降到</w:t>
      </w:r>
      <w:r>
        <w:rPr>
          <w:rFonts w:hint="eastAsia"/>
        </w:rPr>
        <w:t>26.5%</w:t>
      </w:r>
      <w:r>
        <w:rPr>
          <w:rFonts w:hint="eastAsia"/>
        </w:rPr>
        <w:t>。</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2000</w:t>
      </w:r>
      <w:r>
        <w:rPr>
          <w:rFonts w:hint="eastAsia"/>
        </w:rPr>
        <w:t>至</w:t>
      </w:r>
      <w:r>
        <w:rPr>
          <w:rFonts w:hint="eastAsia"/>
        </w:rPr>
        <w:t>2002</w:t>
      </w:r>
      <w:r>
        <w:rPr>
          <w:rFonts w:hint="eastAsia"/>
        </w:rPr>
        <w:t>年间低于遗产发展界限的人口比例从</w:t>
      </w:r>
      <w:r>
        <w:rPr>
          <w:rFonts w:hint="eastAsia"/>
        </w:rPr>
        <w:t>53.7%</w:t>
      </w:r>
      <w:r>
        <w:rPr>
          <w:rFonts w:hint="eastAsia"/>
        </w:rPr>
        <w:t>下降到</w:t>
      </w:r>
      <w:r>
        <w:rPr>
          <w:rFonts w:hint="eastAsia"/>
        </w:rPr>
        <w:t>51.7%</w:t>
      </w:r>
      <w:r>
        <w:rPr>
          <w:rFonts w:hint="eastAsia"/>
        </w:rPr>
        <w:t>。</w:t>
      </w:r>
      <w:r>
        <w:rPr>
          <w:vertAlign w:val="superscript"/>
        </w:rPr>
        <w:footnoteReference w:id="19"/>
      </w:r>
    </w:p>
    <w:p w:rsidR="00000000" w:rsidRDefault="00457650">
      <w:pPr>
        <w:widowControl/>
        <w:tabs>
          <w:tab w:val="left" w:pos="720"/>
        </w:tabs>
        <w:spacing w:after="240" w:line="360" w:lineRule="exact"/>
        <w:rPr>
          <w:rFonts w:hint="eastAsia"/>
        </w:rPr>
      </w:pPr>
      <w:r>
        <w:rPr>
          <w:rFonts w:hint="eastAsia"/>
        </w:rPr>
        <w:t>407.</w:t>
      </w:r>
      <w:r>
        <w:rPr>
          <w:rFonts w:hint="eastAsia"/>
        </w:rPr>
        <w:tab/>
      </w:r>
      <w:r>
        <w:rPr>
          <w:rFonts w:hint="eastAsia"/>
        </w:rPr>
        <w:t>这些数字显示</w:t>
      </w:r>
      <w:r>
        <w:rPr>
          <w:rFonts w:hint="eastAsia"/>
        </w:rPr>
        <w:t>340</w:t>
      </w:r>
      <w:r>
        <w:rPr>
          <w:rFonts w:hint="eastAsia"/>
        </w:rPr>
        <w:t>万人跨过了饮食贫困界限，也就是说，在</w:t>
      </w:r>
      <w:r>
        <w:rPr>
          <w:rFonts w:hint="eastAsia"/>
        </w:rPr>
        <w:t>2000</w:t>
      </w:r>
      <w:r>
        <w:rPr>
          <w:rFonts w:hint="eastAsia"/>
        </w:rPr>
        <w:t>至</w:t>
      </w:r>
      <w:r>
        <w:rPr>
          <w:rFonts w:hint="eastAsia"/>
        </w:rPr>
        <w:t>2002</w:t>
      </w:r>
      <w:r>
        <w:rPr>
          <w:rFonts w:hint="eastAsia"/>
        </w:rPr>
        <w:t>年间，无论多么有限，他们达到了能为</w:t>
      </w:r>
      <w:r>
        <w:rPr>
          <w:rFonts w:hint="eastAsia"/>
        </w:rPr>
        <w:t>教育和保健进行投资的程度。</w:t>
      </w:r>
    </w:p>
    <w:p w:rsidR="00000000" w:rsidRDefault="00457650">
      <w:pPr>
        <w:widowControl/>
        <w:tabs>
          <w:tab w:val="left" w:pos="720"/>
        </w:tabs>
        <w:spacing w:after="240" w:line="360" w:lineRule="exact"/>
        <w:rPr>
          <w:rFonts w:hint="eastAsia"/>
        </w:rPr>
      </w:pPr>
      <w:r>
        <w:t>408.</w:t>
      </w:r>
      <w:r>
        <w:tab/>
      </w:r>
      <w:r>
        <w:rPr>
          <w:rFonts w:hint="eastAsia"/>
        </w:rPr>
        <w:t>尽管进行了上述减贫工作，但必须承认，继续受贫穷影响的人口比例同发展水平和财富拥有量相比仍很高。不过，</w:t>
      </w:r>
      <w:r>
        <w:rPr>
          <w:rFonts w:hint="eastAsia"/>
        </w:rPr>
        <w:t>2000-2002</w:t>
      </w:r>
      <w:r>
        <w:rPr>
          <w:rFonts w:hint="eastAsia"/>
        </w:rPr>
        <w:t>年取得的进展可视为一种积极的趋势，若能保持下去，将会大大改善处境不利人口的福利状况。</w:t>
      </w:r>
    </w:p>
    <w:p w:rsidR="00000000" w:rsidRDefault="00457650">
      <w:pPr>
        <w:widowControl/>
        <w:tabs>
          <w:tab w:val="left" w:pos="720"/>
        </w:tabs>
        <w:spacing w:after="240" w:line="360" w:lineRule="exact"/>
        <w:rPr>
          <w:rFonts w:hint="eastAsia"/>
        </w:rPr>
      </w:pPr>
      <w:r>
        <w:rPr>
          <w:rFonts w:hint="eastAsia"/>
        </w:rPr>
        <w:t>409</w:t>
      </w:r>
      <w:r>
        <w:t>.</w:t>
      </w:r>
      <w:r>
        <w:tab/>
      </w:r>
      <w:r>
        <w:rPr>
          <w:rFonts w:hint="eastAsia"/>
        </w:rPr>
        <w:t>除减贫方面取得的进展外，墨西哥国一系列社会指标也连续取得了重大进展，这表明墨西哥政府十分注意提高本国公民的生活水平和福利：</w:t>
      </w:r>
    </w:p>
    <w:p w:rsidR="00000000" w:rsidRDefault="00457650" w:rsidP="00457650">
      <w:pPr>
        <w:widowControl/>
        <w:numPr>
          <w:ilvl w:val="0"/>
          <w:numId w:val="1898"/>
        </w:numPr>
        <w:tabs>
          <w:tab w:val="clear" w:pos="900"/>
          <w:tab w:val="left" w:pos="1050"/>
        </w:tabs>
        <w:spacing w:after="180" w:line="360" w:lineRule="exact"/>
        <w:ind w:leftChars="300" w:left="31680"/>
        <w:rPr>
          <w:rFonts w:hint="eastAsia"/>
        </w:rPr>
      </w:pPr>
      <w:r>
        <w:rPr>
          <w:rFonts w:hint="eastAsia"/>
        </w:rPr>
        <w:t>出生时的平均寿命为</w:t>
      </w:r>
      <w:r>
        <w:rPr>
          <w:rFonts w:hint="eastAsia"/>
        </w:rPr>
        <w:t>74</w:t>
      </w:r>
      <w:r>
        <w:t>.9%</w:t>
      </w:r>
      <w:r>
        <w:rPr>
          <w:rFonts w:hint="eastAsia"/>
        </w:rPr>
        <w:t>。</w:t>
      </w:r>
    </w:p>
    <w:p w:rsidR="00000000" w:rsidRDefault="00457650" w:rsidP="00457650">
      <w:pPr>
        <w:widowControl/>
        <w:numPr>
          <w:ilvl w:val="0"/>
          <w:numId w:val="1898"/>
        </w:numPr>
        <w:tabs>
          <w:tab w:val="clear" w:pos="900"/>
          <w:tab w:val="left" w:pos="1050"/>
        </w:tabs>
        <w:spacing w:after="180" w:line="360" w:lineRule="exact"/>
        <w:ind w:leftChars="300" w:left="31680"/>
      </w:pPr>
      <w:r>
        <w:rPr>
          <w:rFonts w:hint="eastAsia"/>
        </w:rPr>
        <w:t>墨西哥的文盲率为</w:t>
      </w:r>
      <w:r>
        <w:t xml:space="preserve">8.5% </w:t>
      </w:r>
      <w:r>
        <w:rPr>
          <w:rFonts w:hint="eastAsia"/>
        </w:rPr>
        <w:t>。</w:t>
      </w:r>
    </w:p>
    <w:p w:rsidR="00000000" w:rsidRDefault="00457650" w:rsidP="00457650">
      <w:pPr>
        <w:widowControl/>
        <w:numPr>
          <w:ilvl w:val="0"/>
          <w:numId w:val="1898"/>
        </w:numPr>
        <w:tabs>
          <w:tab w:val="clear" w:pos="900"/>
          <w:tab w:val="left" w:pos="1050"/>
        </w:tabs>
        <w:spacing w:after="180" w:line="360" w:lineRule="exact"/>
        <w:ind w:leftChars="300" w:left="31680"/>
      </w:pPr>
      <w:r>
        <w:rPr>
          <w:rFonts w:hint="eastAsia"/>
        </w:rPr>
        <w:t>特定年龄组的初等教育入学率近</w:t>
      </w:r>
      <w:r>
        <w:t>100%</w:t>
      </w:r>
      <w:r>
        <w:rPr>
          <w:rFonts w:hint="eastAsia"/>
        </w:rPr>
        <w:t>。</w:t>
      </w:r>
    </w:p>
    <w:p w:rsidR="00000000" w:rsidRDefault="00457650" w:rsidP="00457650">
      <w:pPr>
        <w:widowControl/>
        <w:numPr>
          <w:ilvl w:val="0"/>
          <w:numId w:val="1898"/>
        </w:numPr>
        <w:tabs>
          <w:tab w:val="clear" w:pos="900"/>
          <w:tab w:val="left" w:pos="1050"/>
        </w:tabs>
        <w:spacing w:after="180" w:line="360" w:lineRule="exact"/>
        <w:ind w:leftChars="300" w:left="31680"/>
        <w:rPr>
          <w:rFonts w:hint="eastAsia"/>
        </w:rPr>
      </w:pPr>
      <w:r>
        <w:rPr>
          <w:rFonts w:hint="eastAsia"/>
        </w:rPr>
        <w:t>89</w:t>
      </w:r>
      <w:r>
        <w:t>.</w:t>
      </w:r>
      <w:r>
        <w:rPr>
          <w:rFonts w:hint="eastAsia"/>
        </w:rPr>
        <w:t>2%</w:t>
      </w:r>
      <w:r>
        <w:rPr>
          <w:rFonts w:hint="eastAsia"/>
        </w:rPr>
        <w:t>的人口能获得饮用水。</w:t>
      </w:r>
    </w:p>
    <w:p w:rsidR="00000000" w:rsidRDefault="00457650" w:rsidP="00457650">
      <w:pPr>
        <w:widowControl/>
        <w:numPr>
          <w:ilvl w:val="0"/>
          <w:numId w:val="1898"/>
        </w:numPr>
        <w:tabs>
          <w:tab w:val="clear" w:pos="900"/>
          <w:tab w:val="left" w:pos="1050"/>
        </w:tabs>
        <w:spacing w:after="180" w:line="360" w:lineRule="exact"/>
        <w:ind w:leftChars="300" w:left="31680"/>
      </w:pPr>
      <w:r>
        <w:t>7</w:t>
      </w:r>
      <w:r>
        <w:t>6.9</w:t>
      </w:r>
      <w:r>
        <w:rPr>
          <w:rFonts w:hint="eastAsia"/>
        </w:rPr>
        <w:t>%</w:t>
      </w:r>
      <w:r>
        <w:rPr>
          <w:rFonts w:hint="eastAsia"/>
        </w:rPr>
        <w:t>的人口能够使用污水处理系统。</w:t>
      </w:r>
    </w:p>
    <w:p w:rsidR="00000000" w:rsidRDefault="00457650" w:rsidP="00457650">
      <w:pPr>
        <w:widowControl/>
        <w:numPr>
          <w:ilvl w:val="0"/>
          <w:numId w:val="1898"/>
        </w:numPr>
        <w:tabs>
          <w:tab w:val="clear" w:pos="900"/>
          <w:tab w:val="left" w:pos="1050"/>
        </w:tabs>
        <w:spacing w:after="240" w:line="360" w:lineRule="exact"/>
        <w:ind w:leftChars="300" w:left="31680"/>
      </w:pPr>
      <w:r>
        <w:rPr>
          <w:rFonts w:hint="eastAsia"/>
        </w:rPr>
        <w:t>墨西哥于</w:t>
      </w:r>
      <w:r>
        <w:rPr>
          <w:rFonts w:hint="eastAsia"/>
        </w:rPr>
        <w:t>1990</w:t>
      </w:r>
      <w:r>
        <w:rPr>
          <w:rFonts w:hint="eastAsia"/>
        </w:rPr>
        <w:t>年消灭了小儿麻痹症，于</w:t>
      </w:r>
      <w:r>
        <w:rPr>
          <w:rFonts w:hint="eastAsia"/>
        </w:rPr>
        <w:t>1991</w:t>
      </w:r>
      <w:r>
        <w:rPr>
          <w:rFonts w:hint="eastAsia"/>
        </w:rPr>
        <w:t>年消灭了白喉。</w:t>
      </w:r>
    </w:p>
    <w:p w:rsidR="00000000" w:rsidRDefault="00457650">
      <w:pPr>
        <w:widowControl/>
        <w:tabs>
          <w:tab w:val="left" w:pos="720"/>
        </w:tabs>
        <w:spacing w:after="240" w:line="360" w:lineRule="exact"/>
        <w:jc w:val="center"/>
        <w:rPr>
          <w:rFonts w:ascii="SimHei" w:eastAsia="SimHei"/>
        </w:rPr>
      </w:pPr>
      <w:r>
        <w:rPr>
          <w:rFonts w:eastAsia="SimHei" w:hint="eastAsia"/>
        </w:rPr>
        <w:t>墨西哥最近的贫穷趋势</w:t>
      </w:r>
    </w:p>
    <w:p w:rsidR="00000000" w:rsidRDefault="00457650">
      <w:pPr>
        <w:widowControl/>
        <w:tabs>
          <w:tab w:val="left" w:pos="720"/>
        </w:tabs>
        <w:spacing w:after="240" w:line="360" w:lineRule="exact"/>
        <w:rPr>
          <w:rFonts w:ascii="SimHei" w:eastAsia="SimHei"/>
        </w:rPr>
      </w:pPr>
      <w:r>
        <w:rPr>
          <w:rFonts w:ascii="SimHei" w:eastAsia="SimHei"/>
          <w:noProof/>
          <w:sz w:val="20"/>
        </w:rPr>
        <w:pict>
          <v:shape id="_x0000_s1165" type="#_x0000_t202" style="position:absolute;left:0;text-align:left;margin-left:0;margin-top:2.05pt;width:490.65pt;height:358.8pt;z-index:14">
            <v:textbox style="mso-next-textbox:#_x0000_s1165">
              <w:txbxContent>
                <w:p w:rsidR="00000000" w:rsidRDefault="00457650">
                  <w:pPr>
                    <w:jc w:val="center"/>
                  </w:pPr>
                  <w:r>
                    <w:rPr>
                      <w:rFonts w:eastAsia="SimHei" w:hint="eastAsia"/>
                    </w:rPr>
                    <w:t>墨西哥减贫情况</w:t>
                  </w:r>
                </w:p>
                <w:bookmarkStart w:id="4" w:name="_MON_1205049414"/>
                <w:bookmarkEnd w:id="4"/>
                <w:p w:rsidR="00000000" w:rsidRDefault="00457650">
                  <w:r>
                    <w:object w:dxaOrig="9706" w:dyaOrig="6751">
                      <v:shape id="_x0000_i1038" type="#_x0000_t75" style="width:485.25pt;height:337.5pt" o:ole="">
                        <v:imagedata r:id="rId29" o:title=""/>
                      </v:shape>
                      <o:OLEObject Type="Embed" ProgID="Excel.Chart.8" ShapeID="_x0000_i1038" DrawAspect="Content" ObjectID="_1394895085" r:id="rId30">
                        <o:FieldCodes>\s</o:FieldCodes>
                      </o:OLEObject>
                    </w:object>
                  </w:r>
                </w:p>
                <w:p w:rsidR="00000000" w:rsidRDefault="00457650"/>
              </w:txbxContent>
            </v:textbox>
          </v:shape>
        </w:pict>
      </w:r>
    </w:p>
    <w:p w:rsidR="00000000" w:rsidRDefault="00457650">
      <w:pPr>
        <w:widowControl/>
        <w:tabs>
          <w:tab w:val="left" w:pos="7665"/>
        </w:tabs>
        <w:spacing w:after="240" w:line="360" w:lineRule="exact"/>
        <w:rPr>
          <w:rFonts w:ascii="SimHei" w:eastAsia="SimHei"/>
        </w:rPr>
      </w:pPr>
      <w:r>
        <w:rPr>
          <w:rFonts w:ascii="SimHei" w:eastAsia="SimHei"/>
        </w:rPr>
        <w:tab/>
      </w:r>
    </w:p>
    <w:p w:rsidR="00000000" w:rsidRDefault="00457650">
      <w:pPr>
        <w:widowControl/>
        <w:tabs>
          <w:tab w:val="left" w:pos="720"/>
        </w:tabs>
        <w:spacing w:after="240" w:line="360" w:lineRule="exact"/>
        <w:rPr>
          <w:rFonts w:ascii="SimHei" w:eastAsia="SimHei"/>
        </w:rPr>
      </w:pPr>
    </w:p>
    <w:p w:rsidR="00000000" w:rsidRDefault="00457650">
      <w:pPr>
        <w:widowControl/>
        <w:tabs>
          <w:tab w:val="left" w:pos="720"/>
        </w:tabs>
        <w:spacing w:after="240" w:line="360" w:lineRule="exact"/>
        <w:rPr>
          <w:rFonts w:ascii="SimHei" w:eastAsia="SimHei" w:hint="eastAsia"/>
        </w:rPr>
      </w:pPr>
    </w:p>
    <w:p w:rsidR="00000000" w:rsidRDefault="00457650">
      <w:pPr>
        <w:widowControl/>
        <w:tabs>
          <w:tab w:val="left" w:pos="720"/>
        </w:tabs>
        <w:spacing w:after="240" w:line="360" w:lineRule="exact"/>
        <w:rPr>
          <w:rFonts w:ascii="SimHei" w:eastAsia="SimHei" w:hint="eastAsia"/>
        </w:rPr>
      </w:pPr>
    </w:p>
    <w:p w:rsidR="00000000" w:rsidRDefault="00457650">
      <w:pPr>
        <w:widowControl/>
        <w:tabs>
          <w:tab w:val="left" w:pos="720"/>
        </w:tabs>
        <w:spacing w:after="240" w:line="360" w:lineRule="exact"/>
        <w:rPr>
          <w:rFonts w:ascii="SimHei" w:eastAsia="SimHei" w:hint="eastAsia"/>
        </w:rPr>
      </w:pPr>
    </w:p>
    <w:p w:rsidR="00000000" w:rsidRDefault="00457650">
      <w:pPr>
        <w:widowControl/>
        <w:tabs>
          <w:tab w:val="left" w:pos="720"/>
        </w:tabs>
        <w:spacing w:after="240" w:line="360" w:lineRule="exact"/>
        <w:rPr>
          <w:rFonts w:ascii="SimHei" w:eastAsia="SimHei" w:hint="eastAsia"/>
        </w:rPr>
      </w:pPr>
    </w:p>
    <w:p w:rsidR="00000000" w:rsidRDefault="00457650">
      <w:pPr>
        <w:widowControl/>
        <w:tabs>
          <w:tab w:val="left" w:pos="720"/>
        </w:tabs>
        <w:spacing w:after="240" w:line="360" w:lineRule="exact"/>
        <w:rPr>
          <w:rFonts w:ascii="SimHei" w:eastAsia="SimHei" w:hint="eastAsia"/>
        </w:rPr>
      </w:pPr>
    </w:p>
    <w:p w:rsidR="00000000" w:rsidRDefault="00457650">
      <w:pPr>
        <w:widowControl/>
        <w:tabs>
          <w:tab w:val="left" w:pos="720"/>
        </w:tabs>
        <w:spacing w:after="240" w:line="360" w:lineRule="exact"/>
        <w:rPr>
          <w:rFonts w:ascii="SimHei" w:eastAsia="SimHei" w:hint="eastAsia"/>
        </w:rPr>
      </w:pPr>
    </w:p>
    <w:p w:rsidR="00000000" w:rsidRDefault="00457650">
      <w:pPr>
        <w:widowControl/>
        <w:tabs>
          <w:tab w:val="left" w:pos="720"/>
        </w:tabs>
        <w:spacing w:after="240" w:line="360" w:lineRule="exact"/>
        <w:rPr>
          <w:rFonts w:ascii="SimHei" w:eastAsia="SimHei" w:hint="eastAsia"/>
        </w:rPr>
      </w:pPr>
    </w:p>
    <w:p w:rsidR="00000000" w:rsidRDefault="00457650">
      <w:pPr>
        <w:widowControl/>
        <w:tabs>
          <w:tab w:val="left" w:pos="720"/>
        </w:tabs>
        <w:spacing w:after="240" w:line="360" w:lineRule="exact"/>
        <w:rPr>
          <w:rFonts w:ascii="SimHei" w:eastAsia="SimHei" w:hint="eastAsia"/>
        </w:rPr>
      </w:pPr>
    </w:p>
    <w:p w:rsidR="00000000" w:rsidRDefault="00457650">
      <w:pPr>
        <w:widowControl/>
        <w:tabs>
          <w:tab w:val="left" w:pos="720"/>
        </w:tabs>
        <w:spacing w:after="240" w:line="360" w:lineRule="exact"/>
        <w:rPr>
          <w:rFonts w:ascii="SimHei" w:eastAsia="SimHei" w:hint="eastAsia"/>
        </w:rPr>
      </w:pPr>
    </w:p>
    <w:p w:rsidR="00000000" w:rsidRDefault="00457650">
      <w:pPr>
        <w:pStyle w:val="a3"/>
        <w:widowControl/>
        <w:tabs>
          <w:tab w:val="left" w:pos="720"/>
        </w:tabs>
        <w:adjustRightInd w:val="0"/>
        <w:spacing w:before="120" w:after="240" w:line="360" w:lineRule="exact"/>
        <w:textAlignment w:val="baseline"/>
        <w:rPr>
          <w:rFonts w:hint="eastAsia"/>
          <w:kern w:val="0"/>
          <w:szCs w:val="20"/>
        </w:rPr>
      </w:pPr>
      <w:r>
        <w:rPr>
          <w:rFonts w:eastAsia="KaiTi_GB2312" w:hint="eastAsia"/>
          <w:kern w:val="0"/>
          <w:szCs w:val="20"/>
        </w:rPr>
        <w:t>资料来源</w:t>
      </w:r>
      <w:r>
        <w:rPr>
          <w:rFonts w:hint="eastAsia"/>
          <w:kern w:val="0"/>
          <w:szCs w:val="20"/>
        </w:rPr>
        <w:t>：社会发展部，根据国家统计、地理和信息技术研究所</w:t>
      </w:r>
      <w:r>
        <w:rPr>
          <w:rFonts w:hint="eastAsia"/>
          <w:kern w:val="0"/>
          <w:szCs w:val="20"/>
        </w:rPr>
        <w:t>1992-2002</w:t>
      </w:r>
      <w:r>
        <w:rPr>
          <w:rFonts w:hint="eastAsia"/>
          <w:kern w:val="0"/>
          <w:szCs w:val="20"/>
        </w:rPr>
        <w:t>年家庭收入和支出调查得出的数字。</w:t>
      </w:r>
    </w:p>
    <w:p w:rsidR="00000000" w:rsidRDefault="00457650">
      <w:pPr>
        <w:keepNext/>
        <w:widowControl/>
        <w:tabs>
          <w:tab w:val="left" w:pos="720"/>
        </w:tabs>
        <w:spacing w:after="220" w:line="340" w:lineRule="exact"/>
        <w:rPr>
          <w:rFonts w:ascii="SimHei" w:eastAsia="SimHei" w:hint="eastAsia"/>
        </w:rPr>
      </w:pPr>
      <w:r>
        <w:rPr>
          <w:rFonts w:ascii="SimHei" w:eastAsia="SimHei" w:hint="eastAsia"/>
        </w:rPr>
        <w:t>第</w:t>
      </w:r>
      <w:r>
        <w:rPr>
          <w:rFonts w:ascii="SimHei" w:eastAsia="SimHei" w:hint="eastAsia"/>
        </w:rPr>
        <w:t>42</w:t>
      </w:r>
      <w:r>
        <w:rPr>
          <w:rFonts w:ascii="SimHei" w:eastAsia="SimHei" w:hint="eastAsia"/>
        </w:rPr>
        <w:t>段（</w:t>
      </w:r>
      <w:r>
        <w:rPr>
          <w:rFonts w:ascii="SimHei" w:eastAsia="SimHei" w:hint="eastAsia"/>
        </w:rPr>
        <w:t>b</w:t>
      </w:r>
      <w:r>
        <w:rPr>
          <w:rFonts w:ascii="SimHei" w:eastAsia="SimHei" w:hint="eastAsia"/>
        </w:rPr>
        <w:t>）</w:t>
      </w:r>
    </w:p>
    <w:p w:rsidR="00000000" w:rsidRDefault="00457650">
      <w:pPr>
        <w:keepNext/>
        <w:widowControl/>
        <w:tabs>
          <w:tab w:val="left" w:pos="630"/>
        </w:tabs>
        <w:spacing w:after="220" w:line="340" w:lineRule="exact"/>
        <w:rPr>
          <w:rFonts w:hint="eastAsia"/>
        </w:rPr>
      </w:pPr>
      <w:r>
        <w:rPr>
          <w:rFonts w:hint="eastAsia"/>
        </w:rPr>
        <w:t>410.</w:t>
      </w:r>
      <w:r>
        <w:rPr>
          <w:rFonts w:hint="eastAsia"/>
        </w:rPr>
        <w:tab/>
      </w:r>
      <w:r>
        <w:rPr>
          <w:rFonts w:hint="eastAsia"/>
        </w:rPr>
        <w:t>不适用。</w:t>
      </w:r>
    </w:p>
    <w:p w:rsidR="00000000" w:rsidRDefault="00457650">
      <w:pPr>
        <w:widowControl/>
        <w:tabs>
          <w:tab w:val="left" w:pos="720"/>
        </w:tabs>
        <w:spacing w:after="220" w:line="340" w:lineRule="exact"/>
        <w:rPr>
          <w:rFonts w:ascii="SimHei" w:eastAsia="SimHei" w:hint="eastAsia"/>
        </w:rPr>
      </w:pPr>
      <w:r>
        <w:rPr>
          <w:rFonts w:ascii="SimHei" w:eastAsia="SimHei" w:hint="eastAsia"/>
        </w:rPr>
        <w:t>第</w:t>
      </w:r>
      <w:r>
        <w:rPr>
          <w:rFonts w:ascii="SimHei" w:eastAsia="SimHei" w:hint="eastAsia"/>
        </w:rPr>
        <w:t>42</w:t>
      </w:r>
      <w:r>
        <w:rPr>
          <w:rFonts w:ascii="SimHei" w:eastAsia="SimHei" w:hint="eastAsia"/>
        </w:rPr>
        <w:t>段（</w:t>
      </w:r>
      <w:r>
        <w:rPr>
          <w:rFonts w:ascii="SimHei" w:eastAsia="SimHei" w:hint="eastAsia"/>
        </w:rPr>
        <w:t>c</w:t>
      </w:r>
      <w:r>
        <w:rPr>
          <w:rFonts w:ascii="SimHei" w:eastAsia="SimHei" w:hint="eastAsia"/>
        </w:rPr>
        <w:t>）</w:t>
      </w:r>
    </w:p>
    <w:p w:rsidR="00000000" w:rsidRDefault="00457650">
      <w:pPr>
        <w:widowControl/>
        <w:tabs>
          <w:tab w:val="left" w:pos="630"/>
        </w:tabs>
        <w:spacing w:after="220" w:line="340" w:lineRule="exact"/>
        <w:rPr>
          <w:rFonts w:hint="eastAsia"/>
        </w:rPr>
      </w:pPr>
      <w:r>
        <w:rPr>
          <w:rFonts w:hint="eastAsia"/>
        </w:rPr>
        <w:t>411.</w:t>
      </w:r>
      <w:r>
        <w:rPr>
          <w:rFonts w:hint="eastAsia"/>
        </w:rPr>
        <w:tab/>
      </w:r>
      <w:r>
        <w:rPr>
          <w:rFonts w:hint="eastAsia"/>
        </w:rPr>
        <w:t>对于目前的贫困界限，值得一提的是墨西哥以前对“贫困线”没有进行官方的定义或量化。</w:t>
      </w:r>
      <w:r>
        <w:rPr>
          <w:rFonts w:hint="eastAsia"/>
        </w:rPr>
        <w:t>2001</w:t>
      </w:r>
      <w:r>
        <w:rPr>
          <w:rFonts w:hint="eastAsia"/>
        </w:rPr>
        <w:t>年，社会发展部召集一些全国公认的独立专家组成了墨西哥贫困计量技术委员会。</w:t>
      </w:r>
    </w:p>
    <w:p w:rsidR="00000000" w:rsidRDefault="00457650">
      <w:pPr>
        <w:widowControl/>
        <w:tabs>
          <w:tab w:val="left" w:pos="630"/>
        </w:tabs>
        <w:spacing w:after="220" w:line="340" w:lineRule="exact"/>
        <w:rPr>
          <w:rFonts w:hint="eastAsia"/>
        </w:rPr>
      </w:pPr>
      <w:r>
        <w:rPr>
          <w:rFonts w:hint="eastAsia"/>
        </w:rPr>
        <w:t>412.</w:t>
      </w:r>
      <w:r>
        <w:rPr>
          <w:rFonts w:hint="eastAsia"/>
        </w:rPr>
        <w:tab/>
      </w:r>
      <w:r>
        <w:rPr>
          <w:rFonts w:hint="eastAsia"/>
        </w:rPr>
        <w:t>委员会建议由国家统计</w:t>
      </w:r>
      <w:r>
        <w:rPr>
          <w:rFonts w:hint="eastAsia"/>
        </w:rPr>
        <w:t>、地理和信息技术研究所进行“全国家庭收入和支出普查”，以此作为利用公认方法计量贫困的主要信息来源。该委员会还利用本次普查中获得的税后人均收入数据来计量生活水平。</w:t>
      </w:r>
    </w:p>
    <w:p w:rsidR="00000000" w:rsidRDefault="00457650">
      <w:pPr>
        <w:widowControl/>
        <w:tabs>
          <w:tab w:val="left" w:pos="630"/>
        </w:tabs>
        <w:spacing w:after="220" w:line="340" w:lineRule="exact"/>
        <w:rPr>
          <w:rFonts w:hint="eastAsia"/>
        </w:rPr>
      </w:pPr>
      <w:r>
        <w:rPr>
          <w:rFonts w:hint="eastAsia"/>
        </w:rPr>
        <w:t>413.</w:t>
      </w:r>
      <w:r>
        <w:rPr>
          <w:rFonts w:hint="eastAsia"/>
        </w:rPr>
        <w:tab/>
      </w:r>
      <w:r>
        <w:rPr>
          <w:rFonts w:hint="eastAsia"/>
        </w:rPr>
        <w:t>社会发展部根据该委员会建议的方法和制定的标准，并参照</w:t>
      </w:r>
      <w:r>
        <w:rPr>
          <w:rFonts w:hint="eastAsia"/>
        </w:rPr>
        <w:t>2000</w:t>
      </w:r>
      <w:r>
        <w:rPr>
          <w:rFonts w:hint="eastAsia"/>
        </w:rPr>
        <w:t>年全国家庭收入和支出普查的普查结果，确定了按收入水平划分人口的三个基准：</w:t>
      </w:r>
    </w:p>
    <w:p w:rsidR="00000000" w:rsidRDefault="00457650" w:rsidP="00457650">
      <w:pPr>
        <w:widowControl/>
        <w:tabs>
          <w:tab w:val="left" w:pos="720"/>
        </w:tabs>
        <w:spacing w:after="220" w:line="340" w:lineRule="exact"/>
        <w:ind w:leftChars="300" w:left="31680" w:hangingChars="200" w:firstLine="31680"/>
        <w:rPr>
          <w:rFonts w:hint="eastAsia"/>
        </w:rPr>
      </w:pPr>
      <w:r>
        <w:rPr>
          <w:rFonts w:hint="eastAsia"/>
        </w:rPr>
        <w:t>1.</w:t>
      </w:r>
      <w:r>
        <w:rPr>
          <w:rFonts w:hint="eastAsia"/>
        </w:rPr>
        <w:tab/>
      </w:r>
      <w:r>
        <w:rPr>
          <w:rFonts w:eastAsia="SimHei" w:hint="eastAsia"/>
        </w:rPr>
        <w:t>营养不良界限</w:t>
      </w:r>
      <w:r>
        <w:rPr>
          <w:rFonts w:hint="eastAsia"/>
        </w:rPr>
        <w:t>：家庭人均收入不能满足必须的营养需求。</w:t>
      </w:r>
    </w:p>
    <w:p w:rsidR="00000000" w:rsidRDefault="00457650" w:rsidP="00457650">
      <w:pPr>
        <w:widowControl/>
        <w:tabs>
          <w:tab w:val="left" w:pos="720"/>
        </w:tabs>
        <w:spacing w:after="220" w:line="340" w:lineRule="exact"/>
        <w:ind w:leftChars="300" w:left="31680" w:hangingChars="200" w:firstLine="31680"/>
        <w:rPr>
          <w:rFonts w:hint="eastAsia"/>
        </w:rPr>
      </w:pPr>
      <w:r>
        <w:rPr>
          <w:rFonts w:hint="eastAsia"/>
        </w:rPr>
        <w:t>2.</w:t>
      </w:r>
      <w:r>
        <w:rPr>
          <w:rFonts w:hint="eastAsia"/>
        </w:rPr>
        <w:tab/>
      </w:r>
      <w:r>
        <w:rPr>
          <w:rFonts w:eastAsia="SimHei" w:hint="eastAsia"/>
        </w:rPr>
        <w:t>能力发展界限</w:t>
      </w:r>
      <w:r>
        <w:rPr>
          <w:rFonts w:hint="eastAsia"/>
        </w:rPr>
        <w:t>：家庭人均收入数量不能满足营养需要（定义同上一群体），且不足以支付教育和健康开支。</w:t>
      </w:r>
    </w:p>
    <w:p w:rsidR="00000000" w:rsidRDefault="00457650" w:rsidP="00457650">
      <w:pPr>
        <w:widowControl/>
        <w:tabs>
          <w:tab w:val="left" w:pos="720"/>
        </w:tabs>
        <w:spacing w:after="220" w:line="340" w:lineRule="exact"/>
        <w:ind w:leftChars="300" w:left="31680" w:hangingChars="200" w:firstLine="31680"/>
        <w:rPr>
          <w:rFonts w:hint="eastAsia"/>
        </w:rPr>
      </w:pPr>
      <w:r>
        <w:rPr>
          <w:rFonts w:hint="eastAsia"/>
        </w:rPr>
        <w:t>3.</w:t>
      </w:r>
      <w:r>
        <w:rPr>
          <w:rFonts w:hint="eastAsia"/>
        </w:rPr>
        <w:tab/>
      </w:r>
      <w:r>
        <w:rPr>
          <w:rFonts w:eastAsia="SimHei" w:hint="eastAsia"/>
        </w:rPr>
        <w:t>继承财产发展界限</w:t>
      </w:r>
      <w:r>
        <w:rPr>
          <w:rFonts w:hint="eastAsia"/>
        </w:rPr>
        <w:t>：家庭人均收入数量不能满</w:t>
      </w:r>
      <w:r>
        <w:rPr>
          <w:rFonts w:hint="eastAsia"/>
        </w:rPr>
        <w:t>足营养需要，且不足以支付基本的健康、教育、服装、鞋类、住房和公共交通开支。</w:t>
      </w:r>
    </w:p>
    <w:p w:rsidR="00000000" w:rsidRDefault="00457650">
      <w:pPr>
        <w:widowControl/>
        <w:tabs>
          <w:tab w:val="left" w:pos="720"/>
        </w:tabs>
        <w:spacing w:after="220" w:line="340" w:lineRule="exact"/>
        <w:rPr>
          <w:rFonts w:hint="eastAsia"/>
        </w:rPr>
      </w:pPr>
      <w:r>
        <w:rPr>
          <w:rFonts w:hint="eastAsia"/>
        </w:rPr>
        <w:t>414.</w:t>
      </w:r>
      <w:r>
        <w:rPr>
          <w:rFonts w:hint="eastAsia"/>
        </w:rPr>
        <w:tab/>
      </w:r>
      <w:r>
        <w:rPr>
          <w:rFonts w:hint="eastAsia"/>
        </w:rPr>
        <w:t>下表列示了三个贫穷界限，它最初是根据</w:t>
      </w:r>
      <w:r>
        <w:rPr>
          <w:rFonts w:hint="eastAsia"/>
        </w:rPr>
        <w:t>2000</w:t>
      </w:r>
      <w:r>
        <w:rPr>
          <w:rFonts w:hint="eastAsia"/>
        </w:rPr>
        <w:t>年全国家庭收入和支出普查估算的，并在此基础上作了更新。</w:t>
      </w:r>
    </w:p>
    <w:p w:rsidR="00000000" w:rsidRDefault="00457650">
      <w:pPr>
        <w:widowControl/>
        <w:tabs>
          <w:tab w:val="left" w:pos="720"/>
        </w:tabs>
        <w:spacing w:after="240" w:line="360" w:lineRule="exact"/>
        <w:jc w:val="center"/>
        <w:rPr>
          <w:rFonts w:ascii="SimHei" w:eastAsia="SimHei" w:hint="eastAsia"/>
        </w:rPr>
      </w:pPr>
      <w:r>
        <w:rPr>
          <w:rFonts w:ascii="SimHei" w:eastAsia="SimHei" w:hint="eastAsia"/>
        </w:rPr>
        <w:t>2000-2002</w:t>
      </w:r>
      <w:r>
        <w:rPr>
          <w:rFonts w:ascii="SimHei" w:eastAsia="SimHei" w:hint="eastAsia"/>
        </w:rPr>
        <w:t>年贫困线</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61"/>
        <w:gridCol w:w="1891"/>
        <w:gridCol w:w="1384"/>
        <w:gridCol w:w="1384"/>
        <w:gridCol w:w="1384"/>
        <w:gridCol w:w="1256"/>
      </w:tblGrid>
      <w:tr w:rsidR="00000000">
        <w:tblPrEx>
          <w:tblCellMar>
            <w:top w:w="0" w:type="dxa"/>
            <w:bottom w:w="0" w:type="dxa"/>
          </w:tblCellMar>
        </w:tblPrEx>
        <w:trPr>
          <w:cantSplit/>
          <w:jc w:val="center"/>
        </w:trPr>
        <w:tc>
          <w:tcPr>
            <w:tcW w:w="1298" w:type="pct"/>
            <w:vMerge w:val="restart"/>
            <w:tcMar>
              <w:top w:w="0" w:type="dxa"/>
              <w:left w:w="0" w:type="dxa"/>
              <w:bottom w:w="0" w:type="dxa"/>
              <w:right w:w="0" w:type="dxa"/>
            </w:tcMar>
            <w:vAlign w:val="center"/>
          </w:tcPr>
          <w:p w:rsidR="00000000" w:rsidRDefault="00457650">
            <w:pPr>
              <w:widowControl/>
              <w:tabs>
                <w:tab w:val="left" w:pos="720"/>
              </w:tabs>
              <w:spacing w:line="340" w:lineRule="exact"/>
              <w:jc w:val="center"/>
              <w:rPr>
                <w:rFonts w:ascii="KaiTi_GB2312" w:eastAsia="KaiTi_GB2312"/>
                <w:bCs/>
                <w:iCs/>
                <w:sz w:val="18"/>
              </w:rPr>
            </w:pPr>
            <w:r>
              <w:rPr>
                <w:rFonts w:ascii="KaiTi_GB2312" w:eastAsia="KaiTi_GB2312" w:hint="eastAsia"/>
                <w:iCs/>
                <w:sz w:val="18"/>
              </w:rPr>
              <w:t>贫穷种类</w:t>
            </w:r>
          </w:p>
        </w:tc>
        <w:tc>
          <w:tcPr>
            <w:tcW w:w="959" w:type="pct"/>
            <w:vMerge w:val="restart"/>
            <w:tcMar>
              <w:top w:w="0" w:type="dxa"/>
              <w:left w:w="0" w:type="dxa"/>
              <w:bottom w:w="0" w:type="dxa"/>
              <w:right w:w="0" w:type="dxa"/>
            </w:tcMar>
            <w:vAlign w:val="center"/>
          </w:tcPr>
          <w:p w:rsidR="00000000" w:rsidRDefault="00457650">
            <w:pPr>
              <w:widowControl/>
              <w:tabs>
                <w:tab w:val="left" w:pos="720"/>
              </w:tabs>
              <w:spacing w:line="340" w:lineRule="exact"/>
              <w:jc w:val="center"/>
              <w:rPr>
                <w:rFonts w:ascii="KaiTi_GB2312" w:eastAsia="KaiTi_GB2312"/>
                <w:bCs/>
                <w:iCs/>
                <w:sz w:val="18"/>
              </w:rPr>
            </w:pPr>
            <w:r>
              <w:rPr>
                <w:rFonts w:ascii="KaiTi_GB2312" w:eastAsia="KaiTi_GB2312" w:hint="eastAsia"/>
                <w:iCs/>
                <w:sz w:val="18"/>
              </w:rPr>
              <w:t>部分</w:t>
            </w:r>
          </w:p>
        </w:tc>
        <w:tc>
          <w:tcPr>
            <w:tcW w:w="702" w:type="pct"/>
            <w:tcMar>
              <w:top w:w="0" w:type="dxa"/>
              <w:left w:w="0" w:type="dxa"/>
              <w:bottom w:w="0" w:type="dxa"/>
              <w:right w:w="0" w:type="dxa"/>
            </w:tcMar>
            <w:vAlign w:val="center"/>
          </w:tcPr>
          <w:p w:rsidR="00000000" w:rsidRDefault="00457650">
            <w:pPr>
              <w:widowControl/>
              <w:tabs>
                <w:tab w:val="left" w:pos="720"/>
              </w:tabs>
              <w:spacing w:line="340" w:lineRule="exact"/>
              <w:jc w:val="center"/>
              <w:rPr>
                <w:rFonts w:ascii="KaiTi_GB2312" w:eastAsia="KaiTi_GB2312" w:hint="eastAsia"/>
                <w:bCs/>
                <w:iCs/>
                <w:sz w:val="18"/>
              </w:rPr>
            </w:pPr>
            <w:r>
              <w:rPr>
                <w:rFonts w:ascii="KaiTi_GB2312" w:eastAsia="KaiTi_GB2312"/>
                <w:bCs/>
                <w:iCs/>
                <w:sz w:val="18"/>
              </w:rPr>
              <w:t>2000</w:t>
            </w:r>
            <w:r>
              <w:rPr>
                <w:rFonts w:ascii="KaiTi_GB2312" w:eastAsia="KaiTi_GB2312" w:hint="eastAsia"/>
                <w:bCs/>
                <w:iCs/>
                <w:sz w:val="18"/>
              </w:rPr>
              <w:t>年</w:t>
            </w:r>
          </w:p>
        </w:tc>
        <w:tc>
          <w:tcPr>
            <w:tcW w:w="702" w:type="pct"/>
            <w:tcMar>
              <w:top w:w="0" w:type="dxa"/>
              <w:left w:w="0" w:type="dxa"/>
              <w:bottom w:w="0" w:type="dxa"/>
              <w:right w:w="0" w:type="dxa"/>
            </w:tcMar>
            <w:vAlign w:val="center"/>
          </w:tcPr>
          <w:p w:rsidR="00000000" w:rsidRDefault="00457650">
            <w:pPr>
              <w:widowControl/>
              <w:tabs>
                <w:tab w:val="left" w:pos="720"/>
              </w:tabs>
              <w:spacing w:line="340" w:lineRule="exact"/>
              <w:jc w:val="center"/>
              <w:rPr>
                <w:rFonts w:ascii="KaiTi_GB2312" w:eastAsia="KaiTi_GB2312" w:hint="eastAsia"/>
                <w:bCs/>
                <w:iCs/>
                <w:sz w:val="18"/>
              </w:rPr>
            </w:pPr>
            <w:r>
              <w:rPr>
                <w:rFonts w:ascii="KaiTi_GB2312" w:eastAsia="KaiTi_GB2312"/>
                <w:bCs/>
                <w:iCs/>
                <w:sz w:val="18"/>
              </w:rPr>
              <w:t>2002</w:t>
            </w:r>
            <w:r>
              <w:rPr>
                <w:rFonts w:ascii="KaiTi_GB2312" w:eastAsia="KaiTi_GB2312" w:hint="eastAsia"/>
                <w:bCs/>
                <w:iCs/>
                <w:sz w:val="18"/>
              </w:rPr>
              <w:t>年</w:t>
            </w:r>
          </w:p>
        </w:tc>
        <w:tc>
          <w:tcPr>
            <w:tcW w:w="702" w:type="pct"/>
            <w:tcMar>
              <w:top w:w="0" w:type="dxa"/>
              <w:left w:w="0" w:type="dxa"/>
              <w:bottom w:w="0" w:type="dxa"/>
              <w:right w:w="0" w:type="dxa"/>
            </w:tcMar>
            <w:vAlign w:val="center"/>
          </w:tcPr>
          <w:p w:rsidR="00000000" w:rsidRDefault="00457650">
            <w:pPr>
              <w:widowControl/>
              <w:tabs>
                <w:tab w:val="left" w:pos="720"/>
              </w:tabs>
              <w:spacing w:line="340" w:lineRule="exact"/>
              <w:jc w:val="center"/>
              <w:rPr>
                <w:rFonts w:ascii="KaiTi_GB2312" w:eastAsia="KaiTi_GB2312" w:hint="eastAsia"/>
                <w:bCs/>
                <w:iCs/>
                <w:sz w:val="18"/>
              </w:rPr>
            </w:pPr>
            <w:r>
              <w:rPr>
                <w:rFonts w:ascii="KaiTi_GB2312" w:eastAsia="KaiTi_GB2312"/>
                <w:bCs/>
                <w:iCs/>
                <w:sz w:val="18"/>
              </w:rPr>
              <w:t>2000</w:t>
            </w:r>
            <w:r>
              <w:rPr>
                <w:rFonts w:ascii="KaiTi_GB2312" w:eastAsia="KaiTi_GB2312" w:hint="eastAsia"/>
                <w:bCs/>
                <w:iCs/>
                <w:sz w:val="18"/>
              </w:rPr>
              <w:t>年</w:t>
            </w:r>
            <w:r>
              <w:rPr>
                <w:rFonts w:ascii="KaiTi_GB2312" w:eastAsia="KaiTi_GB2312"/>
                <w:iCs/>
                <w:sz w:val="18"/>
                <w:vertAlign w:val="superscript"/>
              </w:rPr>
              <w:t>*</w:t>
            </w:r>
          </w:p>
        </w:tc>
        <w:tc>
          <w:tcPr>
            <w:tcW w:w="637" w:type="pct"/>
            <w:tcMar>
              <w:top w:w="0" w:type="dxa"/>
              <w:left w:w="0" w:type="dxa"/>
              <w:bottom w:w="0" w:type="dxa"/>
              <w:right w:w="0" w:type="dxa"/>
            </w:tcMar>
            <w:vAlign w:val="center"/>
          </w:tcPr>
          <w:p w:rsidR="00000000" w:rsidRDefault="00457650">
            <w:pPr>
              <w:widowControl/>
              <w:tabs>
                <w:tab w:val="left" w:pos="720"/>
              </w:tabs>
              <w:spacing w:line="340" w:lineRule="exact"/>
              <w:jc w:val="center"/>
              <w:rPr>
                <w:rFonts w:ascii="KaiTi_GB2312" w:eastAsia="KaiTi_GB2312"/>
                <w:bCs/>
                <w:iCs/>
                <w:sz w:val="18"/>
              </w:rPr>
            </w:pPr>
            <w:r>
              <w:rPr>
                <w:rFonts w:ascii="KaiTi_GB2312" w:eastAsia="KaiTi_GB2312"/>
                <w:bCs/>
                <w:iCs/>
                <w:sz w:val="18"/>
              </w:rPr>
              <w:t>2002</w:t>
            </w:r>
            <w:r>
              <w:rPr>
                <w:rFonts w:ascii="KaiTi_GB2312" w:eastAsia="KaiTi_GB2312" w:hint="eastAsia"/>
                <w:bCs/>
                <w:iCs/>
                <w:sz w:val="18"/>
              </w:rPr>
              <w:t>年</w:t>
            </w:r>
            <w:r>
              <w:rPr>
                <w:rFonts w:ascii="KaiTi_GB2312" w:eastAsia="KaiTi_GB2312"/>
                <w:iCs/>
                <w:sz w:val="18"/>
                <w:vertAlign w:val="superscript"/>
              </w:rPr>
              <w:t>**</w:t>
            </w:r>
          </w:p>
        </w:tc>
      </w:tr>
      <w:tr w:rsidR="00000000">
        <w:tblPrEx>
          <w:tblCellMar>
            <w:top w:w="0" w:type="dxa"/>
            <w:bottom w:w="0" w:type="dxa"/>
          </w:tblCellMar>
        </w:tblPrEx>
        <w:trPr>
          <w:cantSplit/>
          <w:jc w:val="center"/>
        </w:trPr>
        <w:tc>
          <w:tcPr>
            <w:tcW w:w="1298" w:type="pct"/>
            <w:vMerge/>
            <w:tcMar>
              <w:top w:w="0" w:type="dxa"/>
              <w:left w:w="0" w:type="dxa"/>
              <w:bottom w:w="0" w:type="dxa"/>
              <w:right w:w="0" w:type="dxa"/>
            </w:tcMar>
            <w:vAlign w:val="center"/>
          </w:tcPr>
          <w:p w:rsidR="00000000" w:rsidRDefault="00457650">
            <w:pPr>
              <w:widowControl/>
              <w:tabs>
                <w:tab w:val="left" w:pos="720"/>
              </w:tabs>
              <w:spacing w:line="340" w:lineRule="exact"/>
              <w:jc w:val="center"/>
              <w:rPr>
                <w:rFonts w:ascii="KaiTi_GB2312" w:eastAsia="KaiTi_GB2312"/>
                <w:bCs/>
                <w:iCs/>
                <w:sz w:val="18"/>
              </w:rPr>
            </w:pPr>
          </w:p>
        </w:tc>
        <w:tc>
          <w:tcPr>
            <w:tcW w:w="959" w:type="pct"/>
            <w:vMerge/>
            <w:tcMar>
              <w:top w:w="0" w:type="dxa"/>
              <w:left w:w="0" w:type="dxa"/>
              <w:bottom w:w="0" w:type="dxa"/>
              <w:right w:w="0" w:type="dxa"/>
            </w:tcMar>
            <w:vAlign w:val="center"/>
          </w:tcPr>
          <w:p w:rsidR="00000000" w:rsidRDefault="00457650">
            <w:pPr>
              <w:widowControl/>
              <w:tabs>
                <w:tab w:val="left" w:pos="720"/>
              </w:tabs>
              <w:spacing w:line="340" w:lineRule="exact"/>
              <w:jc w:val="center"/>
              <w:rPr>
                <w:rFonts w:ascii="KaiTi_GB2312" w:eastAsia="KaiTi_GB2312"/>
                <w:bCs/>
                <w:iCs/>
                <w:sz w:val="18"/>
              </w:rPr>
            </w:pPr>
          </w:p>
        </w:tc>
        <w:tc>
          <w:tcPr>
            <w:tcW w:w="1404" w:type="pct"/>
            <w:gridSpan w:val="2"/>
            <w:tcMar>
              <w:top w:w="0" w:type="dxa"/>
              <w:left w:w="0" w:type="dxa"/>
              <w:bottom w:w="0" w:type="dxa"/>
              <w:right w:w="0" w:type="dxa"/>
            </w:tcMar>
            <w:vAlign w:val="center"/>
          </w:tcPr>
          <w:p w:rsidR="00000000" w:rsidRDefault="00457650">
            <w:pPr>
              <w:widowControl/>
              <w:tabs>
                <w:tab w:val="left" w:pos="720"/>
              </w:tabs>
              <w:spacing w:line="340" w:lineRule="exact"/>
              <w:jc w:val="center"/>
              <w:rPr>
                <w:rFonts w:ascii="KaiTi_GB2312" w:eastAsia="KaiTi_GB2312"/>
                <w:bCs/>
                <w:iCs/>
                <w:sz w:val="18"/>
              </w:rPr>
            </w:pPr>
            <w:r>
              <w:rPr>
                <w:rFonts w:ascii="KaiTi_GB2312" w:eastAsia="KaiTi_GB2312"/>
                <w:bCs/>
                <w:iCs/>
                <w:sz w:val="18"/>
              </w:rPr>
              <w:t>（</w:t>
            </w:r>
            <w:r>
              <w:rPr>
                <w:rFonts w:ascii="KaiTi_GB2312" w:eastAsia="KaiTi_GB2312" w:hint="eastAsia"/>
                <w:iCs/>
                <w:sz w:val="18"/>
              </w:rPr>
              <w:t>每月</w:t>
            </w:r>
            <w:r>
              <w:rPr>
                <w:rFonts w:ascii="KaiTi_GB2312" w:eastAsia="KaiTi_GB2312"/>
                <w:bCs/>
                <w:iCs/>
                <w:sz w:val="18"/>
              </w:rPr>
              <w:t>）</w:t>
            </w:r>
          </w:p>
        </w:tc>
        <w:tc>
          <w:tcPr>
            <w:tcW w:w="1339" w:type="pct"/>
            <w:gridSpan w:val="2"/>
            <w:tcMar>
              <w:top w:w="0" w:type="dxa"/>
              <w:left w:w="0" w:type="dxa"/>
              <w:bottom w:w="0" w:type="dxa"/>
              <w:right w:w="0" w:type="dxa"/>
            </w:tcMar>
            <w:vAlign w:val="center"/>
          </w:tcPr>
          <w:p w:rsidR="00000000" w:rsidRDefault="00457650">
            <w:pPr>
              <w:widowControl/>
              <w:tabs>
                <w:tab w:val="left" w:pos="720"/>
              </w:tabs>
              <w:spacing w:line="340" w:lineRule="exact"/>
              <w:jc w:val="center"/>
              <w:rPr>
                <w:rFonts w:ascii="KaiTi_GB2312" w:eastAsia="KaiTi_GB2312"/>
                <w:bCs/>
                <w:iCs/>
                <w:sz w:val="18"/>
              </w:rPr>
            </w:pPr>
            <w:r>
              <w:rPr>
                <w:rFonts w:ascii="KaiTi_GB2312" w:eastAsia="KaiTi_GB2312"/>
                <w:bCs/>
                <w:iCs/>
                <w:sz w:val="18"/>
              </w:rPr>
              <w:t>（</w:t>
            </w:r>
            <w:r>
              <w:rPr>
                <w:rFonts w:ascii="KaiTi_GB2312" w:eastAsia="KaiTi_GB2312" w:hint="eastAsia"/>
                <w:iCs/>
                <w:sz w:val="18"/>
              </w:rPr>
              <w:t>每日</w:t>
            </w:r>
            <w:r>
              <w:rPr>
                <w:rFonts w:ascii="KaiTi_GB2312" w:eastAsia="KaiTi_GB2312"/>
                <w:bCs/>
                <w:iCs/>
                <w:sz w:val="18"/>
              </w:rPr>
              <w:t>）</w:t>
            </w:r>
          </w:p>
        </w:tc>
      </w:tr>
      <w:tr w:rsidR="00000000">
        <w:tblPrEx>
          <w:tblCellMar>
            <w:top w:w="0" w:type="dxa"/>
            <w:bottom w:w="0" w:type="dxa"/>
          </w:tblCellMar>
        </w:tblPrEx>
        <w:trPr>
          <w:cantSplit/>
          <w:trHeight w:val="255"/>
          <w:jc w:val="center"/>
        </w:trPr>
        <w:tc>
          <w:tcPr>
            <w:tcW w:w="1298" w:type="pct"/>
            <w:vMerge w:val="restart"/>
            <w:tcMar>
              <w:top w:w="0" w:type="dxa"/>
              <w:left w:w="0" w:type="dxa"/>
              <w:bottom w:w="0" w:type="dxa"/>
              <w:right w:w="0" w:type="dxa"/>
            </w:tcMar>
            <w:vAlign w:val="center"/>
          </w:tcPr>
          <w:p w:rsidR="00000000" w:rsidRDefault="00457650" w:rsidP="00457650">
            <w:pPr>
              <w:widowControl/>
              <w:tabs>
                <w:tab w:val="left" w:pos="720"/>
              </w:tabs>
              <w:spacing w:line="340" w:lineRule="exact"/>
              <w:ind w:leftChars="50" w:left="31680"/>
              <w:rPr>
                <w:bCs/>
                <w:sz w:val="18"/>
              </w:rPr>
            </w:pPr>
            <w:r>
              <w:rPr>
                <w:rFonts w:hint="eastAsia"/>
                <w:sz w:val="18"/>
              </w:rPr>
              <w:t>营养</w:t>
            </w:r>
          </w:p>
        </w:tc>
        <w:tc>
          <w:tcPr>
            <w:tcW w:w="959" w:type="pct"/>
            <w:tcMar>
              <w:top w:w="0" w:type="dxa"/>
              <w:left w:w="0" w:type="dxa"/>
              <w:bottom w:w="0" w:type="dxa"/>
              <w:right w:w="0" w:type="dxa"/>
            </w:tcMar>
            <w:vAlign w:val="bottom"/>
          </w:tcPr>
          <w:p w:rsidR="00000000" w:rsidRDefault="00457650" w:rsidP="00457650">
            <w:pPr>
              <w:widowControl/>
              <w:tabs>
                <w:tab w:val="left" w:pos="720"/>
              </w:tabs>
              <w:spacing w:line="340" w:lineRule="exact"/>
              <w:ind w:leftChars="50" w:left="31680"/>
              <w:rPr>
                <w:bCs/>
                <w:sz w:val="18"/>
              </w:rPr>
            </w:pPr>
            <w:r>
              <w:rPr>
                <w:rFonts w:hint="eastAsia"/>
                <w:sz w:val="18"/>
              </w:rPr>
              <w:t>城市</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626.00</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672.25</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20.87</w:t>
            </w:r>
          </w:p>
        </w:tc>
        <w:tc>
          <w:tcPr>
            <w:tcW w:w="637"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22.41</w:t>
            </w:r>
          </w:p>
        </w:tc>
      </w:tr>
      <w:tr w:rsidR="00000000">
        <w:tblPrEx>
          <w:tblCellMar>
            <w:top w:w="0" w:type="dxa"/>
            <w:bottom w:w="0" w:type="dxa"/>
          </w:tblCellMar>
        </w:tblPrEx>
        <w:trPr>
          <w:cantSplit/>
          <w:trHeight w:val="255"/>
          <w:jc w:val="center"/>
        </w:trPr>
        <w:tc>
          <w:tcPr>
            <w:tcW w:w="1298" w:type="pct"/>
            <w:vMerge/>
            <w:tcMar>
              <w:top w:w="0" w:type="dxa"/>
              <w:left w:w="0" w:type="dxa"/>
              <w:bottom w:w="0" w:type="dxa"/>
              <w:right w:w="0" w:type="dxa"/>
            </w:tcMar>
            <w:vAlign w:val="center"/>
          </w:tcPr>
          <w:p w:rsidR="00000000" w:rsidRDefault="00457650" w:rsidP="00457650">
            <w:pPr>
              <w:widowControl/>
              <w:tabs>
                <w:tab w:val="left" w:pos="720"/>
              </w:tabs>
              <w:spacing w:line="340" w:lineRule="exact"/>
              <w:ind w:leftChars="50" w:left="31680"/>
              <w:rPr>
                <w:bCs/>
                <w:sz w:val="18"/>
              </w:rPr>
            </w:pPr>
          </w:p>
        </w:tc>
        <w:tc>
          <w:tcPr>
            <w:tcW w:w="959" w:type="pct"/>
            <w:tcMar>
              <w:top w:w="0" w:type="dxa"/>
              <w:left w:w="0" w:type="dxa"/>
              <w:bottom w:w="0" w:type="dxa"/>
              <w:right w:w="0" w:type="dxa"/>
            </w:tcMar>
            <w:vAlign w:val="bottom"/>
          </w:tcPr>
          <w:p w:rsidR="00000000" w:rsidRDefault="00457650" w:rsidP="00457650">
            <w:pPr>
              <w:widowControl/>
              <w:tabs>
                <w:tab w:val="left" w:pos="720"/>
              </w:tabs>
              <w:spacing w:line="340" w:lineRule="exact"/>
              <w:ind w:leftChars="50" w:left="31680"/>
              <w:rPr>
                <w:bCs/>
                <w:sz w:val="18"/>
              </w:rPr>
            </w:pPr>
            <w:r>
              <w:rPr>
                <w:rFonts w:hint="eastAsia"/>
                <w:sz w:val="18"/>
              </w:rPr>
              <w:t>农村</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462.96</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494.77</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15.43</w:t>
            </w:r>
          </w:p>
        </w:tc>
        <w:tc>
          <w:tcPr>
            <w:tcW w:w="637"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16.49</w:t>
            </w:r>
          </w:p>
        </w:tc>
      </w:tr>
      <w:tr w:rsidR="00000000">
        <w:tblPrEx>
          <w:tblCellMar>
            <w:top w:w="0" w:type="dxa"/>
            <w:bottom w:w="0" w:type="dxa"/>
          </w:tblCellMar>
        </w:tblPrEx>
        <w:trPr>
          <w:cantSplit/>
          <w:trHeight w:val="255"/>
          <w:jc w:val="center"/>
        </w:trPr>
        <w:tc>
          <w:tcPr>
            <w:tcW w:w="1298" w:type="pct"/>
            <w:vMerge w:val="restart"/>
            <w:tcMar>
              <w:top w:w="0" w:type="dxa"/>
              <w:left w:w="0" w:type="dxa"/>
              <w:bottom w:w="0" w:type="dxa"/>
              <w:right w:w="0" w:type="dxa"/>
            </w:tcMar>
            <w:vAlign w:val="center"/>
          </w:tcPr>
          <w:p w:rsidR="00000000" w:rsidRDefault="00457650" w:rsidP="00457650">
            <w:pPr>
              <w:widowControl/>
              <w:tabs>
                <w:tab w:val="left" w:pos="720"/>
              </w:tabs>
              <w:spacing w:line="340" w:lineRule="exact"/>
              <w:ind w:leftChars="50" w:left="31680"/>
              <w:rPr>
                <w:bCs/>
                <w:sz w:val="18"/>
              </w:rPr>
            </w:pPr>
            <w:r>
              <w:rPr>
                <w:rFonts w:hint="eastAsia"/>
                <w:sz w:val="18"/>
              </w:rPr>
              <w:t>能力</w:t>
            </w:r>
          </w:p>
        </w:tc>
        <w:tc>
          <w:tcPr>
            <w:tcW w:w="959" w:type="pct"/>
            <w:tcMar>
              <w:top w:w="0" w:type="dxa"/>
              <w:left w:w="0" w:type="dxa"/>
              <w:bottom w:w="0" w:type="dxa"/>
              <w:right w:w="0" w:type="dxa"/>
            </w:tcMar>
            <w:vAlign w:val="bottom"/>
          </w:tcPr>
          <w:p w:rsidR="00000000" w:rsidRDefault="00457650" w:rsidP="00457650">
            <w:pPr>
              <w:widowControl/>
              <w:tabs>
                <w:tab w:val="left" w:pos="720"/>
              </w:tabs>
              <w:spacing w:line="340" w:lineRule="exact"/>
              <w:ind w:leftChars="50" w:left="31680"/>
              <w:rPr>
                <w:bCs/>
                <w:sz w:val="18"/>
              </w:rPr>
            </w:pPr>
            <w:r>
              <w:rPr>
                <w:rFonts w:hint="eastAsia"/>
                <w:sz w:val="18"/>
              </w:rPr>
              <w:t>城市</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768.10</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792.29</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25.60</w:t>
            </w:r>
          </w:p>
        </w:tc>
        <w:tc>
          <w:tcPr>
            <w:tcW w:w="637"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26.41</w:t>
            </w:r>
          </w:p>
        </w:tc>
      </w:tr>
      <w:tr w:rsidR="00000000">
        <w:tblPrEx>
          <w:tblCellMar>
            <w:top w:w="0" w:type="dxa"/>
            <w:bottom w:w="0" w:type="dxa"/>
          </w:tblCellMar>
        </w:tblPrEx>
        <w:trPr>
          <w:cantSplit/>
          <w:trHeight w:val="255"/>
          <w:jc w:val="center"/>
        </w:trPr>
        <w:tc>
          <w:tcPr>
            <w:tcW w:w="1298" w:type="pct"/>
            <w:vMerge/>
            <w:tcMar>
              <w:top w:w="0" w:type="dxa"/>
              <w:left w:w="0" w:type="dxa"/>
              <w:bottom w:w="0" w:type="dxa"/>
              <w:right w:w="0" w:type="dxa"/>
            </w:tcMar>
            <w:vAlign w:val="center"/>
          </w:tcPr>
          <w:p w:rsidR="00000000" w:rsidRDefault="00457650" w:rsidP="00457650">
            <w:pPr>
              <w:widowControl/>
              <w:tabs>
                <w:tab w:val="left" w:pos="720"/>
              </w:tabs>
              <w:spacing w:line="340" w:lineRule="exact"/>
              <w:ind w:leftChars="50" w:left="31680"/>
              <w:rPr>
                <w:bCs/>
                <w:sz w:val="18"/>
              </w:rPr>
            </w:pPr>
          </w:p>
        </w:tc>
        <w:tc>
          <w:tcPr>
            <w:tcW w:w="959" w:type="pct"/>
            <w:tcMar>
              <w:top w:w="0" w:type="dxa"/>
              <w:left w:w="0" w:type="dxa"/>
              <w:bottom w:w="0" w:type="dxa"/>
              <w:right w:w="0" w:type="dxa"/>
            </w:tcMar>
            <w:vAlign w:val="bottom"/>
          </w:tcPr>
          <w:p w:rsidR="00000000" w:rsidRDefault="00457650" w:rsidP="00457650">
            <w:pPr>
              <w:widowControl/>
              <w:tabs>
                <w:tab w:val="left" w:pos="720"/>
              </w:tabs>
              <w:spacing w:line="340" w:lineRule="exact"/>
              <w:ind w:leftChars="50" w:left="31680"/>
              <w:rPr>
                <w:bCs/>
                <w:sz w:val="18"/>
              </w:rPr>
            </w:pPr>
            <w:r>
              <w:rPr>
                <w:rFonts w:hint="eastAsia"/>
                <w:sz w:val="18"/>
              </w:rPr>
              <w:t>农村</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548.53</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587.57</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18.28</w:t>
            </w:r>
          </w:p>
        </w:tc>
        <w:tc>
          <w:tcPr>
            <w:tcW w:w="637"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19.59</w:t>
            </w:r>
          </w:p>
        </w:tc>
      </w:tr>
      <w:tr w:rsidR="00000000">
        <w:tblPrEx>
          <w:tblCellMar>
            <w:top w:w="0" w:type="dxa"/>
            <w:bottom w:w="0" w:type="dxa"/>
          </w:tblCellMar>
        </w:tblPrEx>
        <w:trPr>
          <w:cantSplit/>
          <w:trHeight w:val="255"/>
          <w:jc w:val="center"/>
        </w:trPr>
        <w:tc>
          <w:tcPr>
            <w:tcW w:w="1298" w:type="pct"/>
            <w:vMerge w:val="restart"/>
            <w:tcMar>
              <w:top w:w="0" w:type="dxa"/>
              <w:left w:w="0" w:type="dxa"/>
              <w:bottom w:w="0" w:type="dxa"/>
              <w:right w:w="0" w:type="dxa"/>
            </w:tcMar>
            <w:vAlign w:val="center"/>
          </w:tcPr>
          <w:p w:rsidR="00000000" w:rsidRDefault="00457650" w:rsidP="00457650">
            <w:pPr>
              <w:widowControl/>
              <w:tabs>
                <w:tab w:val="left" w:pos="720"/>
              </w:tabs>
              <w:spacing w:line="340" w:lineRule="exact"/>
              <w:ind w:leftChars="50" w:left="31680"/>
              <w:rPr>
                <w:bCs/>
                <w:sz w:val="18"/>
              </w:rPr>
            </w:pPr>
            <w:r>
              <w:rPr>
                <w:rFonts w:hint="eastAsia"/>
                <w:sz w:val="18"/>
              </w:rPr>
              <w:t>继承财产的发展</w:t>
            </w:r>
          </w:p>
        </w:tc>
        <w:tc>
          <w:tcPr>
            <w:tcW w:w="959" w:type="pct"/>
            <w:tcMar>
              <w:top w:w="0" w:type="dxa"/>
              <w:left w:w="0" w:type="dxa"/>
              <w:bottom w:w="0" w:type="dxa"/>
              <w:right w:w="0" w:type="dxa"/>
            </w:tcMar>
            <w:vAlign w:val="bottom"/>
          </w:tcPr>
          <w:p w:rsidR="00000000" w:rsidRDefault="00457650" w:rsidP="00457650">
            <w:pPr>
              <w:widowControl/>
              <w:tabs>
                <w:tab w:val="left" w:pos="720"/>
              </w:tabs>
              <w:spacing w:line="340" w:lineRule="exact"/>
              <w:ind w:leftChars="50" w:left="31680"/>
              <w:rPr>
                <w:bCs/>
                <w:sz w:val="18"/>
              </w:rPr>
            </w:pPr>
            <w:r>
              <w:rPr>
                <w:rFonts w:hint="eastAsia"/>
                <w:sz w:val="18"/>
              </w:rPr>
              <w:t>城市</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1</w:t>
            </w:r>
            <w:r>
              <w:rPr>
                <w:rFonts w:hint="eastAsia"/>
                <w:bCs/>
                <w:sz w:val="18"/>
              </w:rPr>
              <w:t xml:space="preserve"> </w:t>
            </w:r>
            <w:r>
              <w:rPr>
                <w:bCs/>
                <w:sz w:val="18"/>
              </w:rPr>
              <w:t>254.51</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1</w:t>
            </w:r>
            <w:r>
              <w:rPr>
                <w:rFonts w:hint="eastAsia"/>
                <w:bCs/>
                <w:sz w:val="18"/>
              </w:rPr>
              <w:t xml:space="preserve"> </w:t>
            </w:r>
            <w:r>
              <w:rPr>
                <w:bCs/>
                <w:sz w:val="18"/>
              </w:rPr>
              <w:t>366.85</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41.82</w:t>
            </w:r>
          </w:p>
        </w:tc>
        <w:tc>
          <w:tcPr>
            <w:tcW w:w="637"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45.56</w:t>
            </w:r>
          </w:p>
        </w:tc>
      </w:tr>
      <w:tr w:rsidR="00000000">
        <w:tblPrEx>
          <w:tblCellMar>
            <w:top w:w="0" w:type="dxa"/>
            <w:bottom w:w="0" w:type="dxa"/>
          </w:tblCellMar>
        </w:tblPrEx>
        <w:trPr>
          <w:cantSplit/>
          <w:trHeight w:val="270"/>
          <w:jc w:val="center"/>
        </w:trPr>
        <w:tc>
          <w:tcPr>
            <w:tcW w:w="1298" w:type="pct"/>
            <w:vMerge/>
            <w:tcMar>
              <w:top w:w="0" w:type="dxa"/>
              <w:left w:w="0" w:type="dxa"/>
              <w:bottom w:w="0" w:type="dxa"/>
              <w:right w:w="0" w:type="dxa"/>
            </w:tcMar>
            <w:vAlign w:val="bottom"/>
          </w:tcPr>
          <w:p w:rsidR="00000000" w:rsidRDefault="00457650" w:rsidP="00457650">
            <w:pPr>
              <w:widowControl/>
              <w:tabs>
                <w:tab w:val="left" w:pos="720"/>
              </w:tabs>
              <w:spacing w:line="340" w:lineRule="exact"/>
              <w:ind w:leftChars="50" w:left="31680"/>
              <w:rPr>
                <w:bCs/>
                <w:sz w:val="18"/>
              </w:rPr>
            </w:pPr>
          </w:p>
        </w:tc>
        <w:tc>
          <w:tcPr>
            <w:tcW w:w="959" w:type="pct"/>
            <w:tcMar>
              <w:top w:w="0" w:type="dxa"/>
              <w:left w:w="0" w:type="dxa"/>
              <w:bottom w:w="0" w:type="dxa"/>
              <w:right w:w="0" w:type="dxa"/>
            </w:tcMar>
            <w:vAlign w:val="bottom"/>
          </w:tcPr>
          <w:p w:rsidR="00000000" w:rsidRDefault="00457650" w:rsidP="00457650">
            <w:pPr>
              <w:widowControl/>
              <w:tabs>
                <w:tab w:val="left" w:pos="720"/>
              </w:tabs>
              <w:spacing w:line="340" w:lineRule="exact"/>
              <w:ind w:leftChars="50" w:left="31680"/>
              <w:rPr>
                <w:bCs/>
                <w:sz w:val="18"/>
              </w:rPr>
            </w:pPr>
            <w:r>
              <w:rPr>
                <w:rFonts w:hint="eastAsia"/>
                <w:sz w:val="18"/>
              </w:rPr>
              <w:t>农村</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843.28</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946.94</w:t>
            </w:r>
          </w:p>
        </w:tc>
        <w:tc>
          <w:tcPr>
            <w:tcW w:w="702" w:type="pct"/>
            <w:tcMar>
              <w:top w:w="0" w:type="dxa"/>
              <w:left w:w="0" w:type="dxa"/>
              <w:bottom w:w="0" w:type="dxa"/>
              <w:right w:w="0" w:type="dxa"/>
            </w:tcMar>
            <w:vAlign w:val="bottom"/>
          </w:tcPr>
          <w:p w:rsidR="00000000" w:rsidRDefault="00457650" w:rsidP="00457650">
            <w:pPr>
              <w:widowControl/>
              <w:tabs>
                <w:tab w:val="left" w:pos="720"/>
              </w:tabs>
              <w:spacing w:line="340" w:lineRule="exact"/>
              <w:ind w:rightChars="200" w:right="31680"/>
              <w:jc w:val="right"/>
              <w:rPr>
                <w:bCs/>
                <w:sz w:val="18"/>
              </w:rPr>
            </w:pPr>
            <w:r>
              <w:rPr>
                <w:bCs/>
                <w:sz w:val="18"/>
              </w:rPr>
              <w:t>28.11</w:t>
            </w:r>
          </w:p>
        </w:tc>
        <w:tc>
          <w:tcPr>
            <w:tcW w:w="637" w:type="pct"/>
            <w:tcMar>
              <w:top w:w="0" w:type="dxa"/>
              <w:left w:w="0" w:type="dxa"/>
              <w:bottom w:w="0" w:type="dxa"/>
              <w:right w:w="0" w:type="dxa"/>
            </w:tcMar>
            <w:vAlign w:val="bottom"/>
          </w:tcPr>
          <w:p w:rsidR="00000000" w:rsidRDefault="00457650" w:rsidP="00457650">
            <w:pPr>
              <w:pStyle w:val="a3"/>
              <w:widowControl/>
              <w:tabs>
                <w:tab w:val="left" w:pos="720"/>
              </w:tabs>
              <w:adjustRightInd w:val="0"/>
              <w:spacing w:line="340" w:lineRule="exact"/>
              <w:ind w:rightChars="200" w:right="31680"/>
              <w:jc w:val="right"/>
              <w:textAlignment w:val="baseline"/>
              <w:rPr>
                <w:bCs/>
                <w:kern w:val="0"/>
                <w:szCs w:val="20"/>
              </w:rPr>
            </w:pPr>
            <w:r>
              <w:rPr>
                <w:bCs/>
                <w:kern w:val="0"/>
                <w:szCs w:val="20"/>
              </w:rPr>
              <w:t>31.56</w:t>
            </w:r>
          </w:p>
        </w:tc>
      </w:tr>
    </w:tbl>
    <w:p w:rsidR="00000000" w:rsidRDefault="00457650">
      <w:pPr>
        <w:widowControl/>
        <w:tabs>
          <w:tab w:val="left" w:pos="720"/>
        </w:tabs>
        <w:spacing w:line="360" w:lineRule="exact"/>
        <w:rPr>
          <w:rFonts w:hint="eastAsia"/>
          <w:sz w:val="18"/>
        </w:rPr>
      </w:pPr>
      <w:r>
        <w:rPr>
          <w:rFonts w:eastAsia="KaiTi_GB2312" w:hint="eastAsia"/>
          <w:sz w:val="18"/>
        </w:rPr>
        <w:t>资料来源</w:t>
      </w:r>
      <w:r>
        <w:rPr>
          <w:rFonts w:hint="eastAsia"/>
          <w:sz w:val="18"/>
        </w:rPr>
        <w:t>：社会发展部，基于全国家庭收入和支出普查数据。</w:t>
      </w:r>
    </w:p>
    <w:p w:rsidR="00000000" w:rsidRDefault="00457650">
      <w:pPr>
        <w:widowControl/>
        <w:tabs>
          <w:tab w:val="left" w:pos="480"/>
        </w:tabs>
        <w:spacing w:line="360" w:lineRule="exact"/>
        <w:rPr>
          <w:rFonts w:hint="eastAsia"/>
          <w:sz w:val="18"/>
        </w:rPr>
      </w:pPr>
      <w:r>
        <w:rPr>
          <w:rFonts w:hint="eastAsia"/>
          <w:sz w:val="18"/>
          <w:vertAlign w:val="superscript"/>
        </w:rPr>
        <w:t>*</w:t>
      </w:r>
      <w:r>
        <w:rPr>
          <w:rFonts w:hint="eastAsia"/>
          <w:sz w:val="18"/>
        </w:rPr>
        <w:tab/>
        <w:t>2000</w:t>
      </w:r>
      <w:r>
        <w:rPr>
          <w:rFonts w:hint="eastAsia"/>
          <w:sz w:val="18"/>
        </w:rPr>
        <w:t>年</w:t>
      </w:r>
      <w:r>
        <w:rPr>
          <w:rFonts w:hint="eastAsia"/>
          <w:sz w:val="18"/>
        </w:rPr>
        <w:t>8</w:t>
      </w:r>
      <w:r>
        <w:rPr>
          <w:rFonts w:hint="eastAsia"/>
          <w:sz w:val="18"/>
        </w:rPr>
        <w:t>月价格。</w:t>
      </w:r>
    </w:p>
    <w:p w:rsidR="00000000" w:rsidRDefault="00457650">
      <w:pPr>
        <w:widowControl/>
        <w:tabs>
          <w:tab w:val="left" w:pos="480"/>
        </w:tabs>
        <w:spacing w:after="240" w:line="360" w:lineRule="exact"/>
        <w:rPr>
          <w:rFonts w:hint="eastAsia"/>
          <w:sz w:val="18"/>
        </w:rPr>
      </w:pPr>
      <w:r>
        <w:rPr>
          <w:rFonts w:hint="eastAsia"/>
          <w:sz w:val="18"/>
          <w:vertAlign w:val="superscript"/>
        </w:rPr>
        <w:t>**</w:t>
      </w:r>
      <w:r>
        <w:rPr>
          <w:rFonts w:hint="eastAsia"/>
          <w:sz w:val="18"/>
        </w:rPr>
        <w:tab/>
        <w:t>2000</w:t>
      </w:r>
      <w:r>
        <w:rPr>
          <w:rFonts w:hint="eastAsia"/>
          <w:sz w:val="18"/>
        </w:rPr>
        <w:t>年</w:t>
      </w:r>
      <w:r>
        <w:rPr>
          <w:rFonts w:hint="eastAsia"/>
          <w:sz w:val="18"/>
        </w:rPr>
        <w:t>8</w:t>
      </w:r>
      <w:r>
        <w:rPr>
          <w:rFonts w:hint="eastAsia"/>
          <w:sz w:val="18"/>
        </w:rPr>
        <w:t>月价格。</w:t>
      </w:r>
    </w:p>
    <w:p w:rsidR="00000000" w:rsidRDefault="00457650">
      <w:pPr>
        <w:keepNext/>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42</w:t>
      </w:r>
      <w:r>
        <w:rPr>
          <w:rFonts w:ascii="SimHei" w:eastAsia="SimHei" w:hint="eastAsia"/>
        </w:rPr>
        <w:t>段（</w:t>
      </w:r>
      <w:r>
        <w:rPr>
          <w:rFonts w:ascii="SimHei" w:eastAsia="SimHei" w:hint="eastAsia"/>
        </w:rPr>
        <w:t>d</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415.</w:t>
      </w:r>
      <w:r>
        <w:rPr>
          <w:rFonts w:hint="eastAsia"/>
        </w:rPr>
        <w:tab/>
      </w:r>
      <w:r>
        <w:rPr>
          <w:rFonts w:hint="eastAsia"/>
        </w:rPr>
        <w:t>在</w:t>
      </w:r>
      <w:r>
        <w:rPr>
          <w:rFonts w:hint="eastAsia"/>
        </w:rPr>
        <w:t>75</w:t>
      </w:r>
      <w:r>
        <w:rPr>
          <w:rFonts w:hint="eastAsia"/>
        </w:rPr>
        <w:t>年的时间里，新出生的墨西哥人的预期寿命增加了一倍；在</w:t>
      </w:r>
      <w:r>
        <w:rPr>
          <w:rFonts w:hint="eastAsia"/>
        </w:rPr>
        <w:t>1930</w:t>
      </w:r>
      <w:r>
        <w:rPr>
          <w:rFonts w:hint="eastAsia"/>
        </w:rPr>
        <w:t>年，男性的预期寿命是</w:t>
      </w:r>
      <w:r>
        <w:rPr>
          <w:rFonts w:hint="eastAsia"/>
        </w:rPr>
        <w:t>36</w:t>
      </w:r>
      <w:r>
        <w:rPr>
          <w:rFonts w:hint="eastAsia"/>
        </w:rPr>
        <w:t>岁，女性是</w:t>
      </w:r>
      <w:r>
        <w:rPr>
          <w:rFonts w:hint="eastAsia"/>
        </w:rPr>
        <w:t>37</w:t>
      </w:r>
      <w:r>
        <w:rPr>
          <w:rFonts w:hint="eastAsia"/>
        </w:rPr>
        <w:t>岁；到</w:t>
      </w:r>
      <w:r>
        <w:rPr>
          <w:rFonts w:hint="eastAsia"/>
        </w:rPr>
        <w:t>2004</w:t>
      </w:r>
      <w:r>
        <w:rPr>
          <w:rFonts w:hint="eastAsia"/>
        </w:rPr>
        <w:t>年，这一数字分别上升到</w:t>
      </w:r>
      <w:r>
        <w:rPr>
          <w:rFonts w:hint="eastAsia"/>
        </w:rPr>
        <w:t>72</w:t>
      </w:r>
      <w:r>
        <w:rPr>
          <w:rFonts w:hint="eastAsia"/>
        </w:rPr>
        <w:t>岁和</w:t>
      </w:r>
      <w:r>
        <w:rPr>
          <w:rFonts w:hint="eastAsia"/>
        </w:rPr>
        <w:t>77.6</w:t>
      </w:r>
      <w:r>
        <w:rPr>
          <w:rFonts w:hint="eastAsia"/>
        </w:rPr>
        <w:t>岁。</w:t>
      </w:r>
    </w:p>
    <w:p w:rsidR="00000000" w:rsidRDefault="00457650">
      <w:pPr>
        <w:widowControl/>
        <w:tabs>
          <w:tab w:val="left" w:pos="630"/>
        </w:tabs>
        <w:spacing w:after="240" w:line="360" w:lineRule="exact"/>
        <w:rPr>
          <w:rFonts w:hint="eastAsia"/>
        </w:rPr>
      </w:pPr>
      <w:r>
        <w:rPr>
          <w:rFonts w:hint="eastAsia"/>
        </w:rPr>
        <w:t>416.</w:t>
      </w:r>
      <w:r>
        <w:rPr>
          <w:rFonts w:hint="eastAsia"/>
        </w:rPr>
        <w:tab/>
        <w:t>2</w:t>
      </w:r>
      <w:r>
        <w:rPr>
          <w:rFonts w:hint="eastAsia"/>
        </w:rPr>
        <w:t>003</w:t>
      </w:r>
      <w:r>
        <w:rPr>
          <w:rFonts w:hint="eastAsia"/>
        </w:rPr>
        <w:t>年一般死亡率是每千名居民死亡</w:t>
      </w:r>
      <w:r>
        <w:rPr>
          <w:rFonts w:hint="eastAsia"/>
        </w:rPr>
        <w:t>4.5</w:t>
      </w:r>
      <w:r>
        <w:rPr>
          <w:rFonts w:hint="eastAsia"/>
        </w:rPr>
        <w:t>人。儿童死亡率继续保持下降的趋势，经证实从</w:t>
      </w:r>
      <w:r>
        <w:rPr>
          <w:rFonts w:hint="eastAsia"/>
        </w:rPr>
        <w:t>2000</w:t>
      </w:r>
      <w:r>
        <w:rPr>
          <w:rFonts w:hint="eastAsia"/>
        </w:rPr>
        <w:t>年到</w:t>
      </w:r>
      <w:r>
        <w:rPr>
          <w:rFonts w:hint="eastAsia"/>
        </w:rPr>
        <w:t>2003</w:t>
      </w:r>
      <w:r>
        <w:rPr>
          <w:rFonts w:hint="eastAsia"/>
        </w:rPr>
        <w:t>年儿童死亡率每年下降大约</w:t>
      </w:r>
      <w:r>
        <w:rPr>
          <w:rFonts w:hint="eastAsia"/>
        </w:rPr>
        <w:t>4%</w:t>
      </w:r>
      <w:r>
        <w:rPr>
          <w:rFonts w:hint="eastAsia"/>
        </w:rPr>
        <w:t>。产妇死亡率也在一直下降。</w:t>
      </w:r>
      <w:r>
        <w:rPr>
          <w:rFonts w:hint="eastAsia"/>
        </w:rPr>
        <w:t>2004</w:t>
      </w:r>
      <w:r>
        <w:rPr>
          <w:rFonts w:hint="eastAsia"/>
        </w:rPr>
        <w:t>年估计下降到不到</w:t>
      </w:r>
      <w:r>
        <w:rPr>
          <w:rFonts w:hint="eastAsia"/>
        </w:rPr>
        <w:t>1%</w:t>
      </w:r>
      <w:r>
        <w:rPr>
          <w:rFonts w:hint="eastAsia"/>
        </w:rPr>
        <w:t>。</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43</w:t>
      </w:r>
      <w:r>
        <w:rPr>
          <w:rFonts w:ascii="SimHei" w:eastAsia="SimHei" w:hint="eastAsia"/>
        </w:rPr>
        <w:t>段（</w:t>
      </w:r>
      <w:r>
        <w:rPr>
          <w:rFonts w:ascii="SimHei" w:eastAsia="SimHei" w:hint="eastAsia"/>
        </w:rPr>
        <w:t>a</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417.</w:t>
      </w:r>
      <w:r>
        <w:rPr>
          <w:rFonts w:hint="eastAsia"/>
        </w:rPr>
        <w:tab/>
      </w:r>
      <w:r>
        <w:rPr>
          <w:rFonts w:hint="eastAsia"/>
        </w:rPr>
        <w:t>按照《宪法》第</w:t>
      </w:r>
      <w:r>
        <w:rPr>
          <w:rFonts w:hint="eastAsia"/>
        </w:rPr>
        <w:t>4</w:t>
      </w:r>
      <w:r>
        <w:rPr>
          <w:rFonts w:hint="eastAsia"/>
        </w:rPr>
        <w:t>条的规定，联邦政府实施了一些旨在保证人口，特别是最弱势群体营养水平的计划。通过“</w:t>
      </w:r>
      <w:r>
        <w:rPr>
          <w:rFonts w:hint="eastAsia"/>
        </w:rPr>
        <w:t>Contigo</w:t>
      </w:r>
      <w:r>
        <w:rPr>
          <w:rFonts w:hint="eastAsia"/>
        </w:rPr>
        <w:t>”（“和你”）战略，它做出了特殊的努力，扩展能力，创造新的就业机会，增加资产，保护人民的能力和财富积累免受负面影响。</w:t>
      </w:r>
    </w:p>
    <w:p w:rsidR="00000000" w:rsidRDefault="00457650">
      <w:pPr>
        <w:widowControl/>
        <w:tabs>
          <w:tab w:val="left" w:pos="630"/>
        </w:tabs>
        <w:spacing w:after="240" w:line="360" w:lineRule="exact"/>
        <w:rPr>
          <w:rFonts w:hint="eastAsia"/>
        </w:rPr>
      </w:pPr>
      <w:r>
        <w:rPr>
          <w:rFonts w:hint="eastAsia"/>
        </w:rPr>
        <w:t>418.</w:t>
      </w:r>
      <w:r>
        <w:rPr>
          <w:rFonts w:hint="eastAsia"/>
        </w:rPr>
        <w:tab/>
        <w:t>2004</w:t>
      </w:r>
      <w:r>
        <w:rPr>
          <w:rFonts w:hint="eastAsia"/>
        </w:rPr>
        <w:t>年</w:t>
      </w:r>
      <w:r>
        <w:rPr>
          <w:rFonts w:hint="eastAsia"/>
        </w:rPr>
        <w:t>7</w:t>
      </w:r>
      <w:r>
        <w:rPr>
          <w:rFonts w:hint="eastAsia"/>
        </w:rPr>
        <w:t>月，世界银行发表了题为墨西哥的贫穷：形势、趋势和</w:t>
      </w:r>
      <w:r>
        <w:rPr>
          <w:rFonts w:hint="eastAsia"/>
        </w:rPr>
        <w:t>政府战略评估的报告。该报告指出墨西哥在克服贫穷方面取得了巨大进展，报告显示</w:t>
      </w:r>
      <w:r>
        <w:rPr>
          <w:rFonts w:hint="eastAsia"/>
        </w:rPr>
        <w:t>2000-2002</w:t>
      </w:r>
      <w:r>
        <w:rPr>
          <w:rFonts w:hint="eastAsia"/>
        </w:rPr>
        <w:t>年期间墨西哥赤贫人口减少了</w:t>
      </w:r>
      <w:r>
        <w:rPr>
          <w:rFonts w:hint="eastAsia"/>
        </w:rPr>
        <w:t>16%</w:t>
      </w:r>
      <w:r>
        <w:rPr>
          <w:rFonts w:hint="eastAsia"/>
        </w:rPr>
        <w:t>，这意味着</w:t>
      </w:r>
      <w:r>
        <w:rPr>
          <w:rFonts w:hint="eastAsia"/>
        </w:rPr>
        <w:t>310</w:t>
      </w:r>
      <w:r>
        <w:rPr>
          <w:rFonts w:hint="eastAsia"/>
        </w:rPr>
        <w:t>万居民摆脱了贫穷状况。</w:t>
      </w:r>
      <w:r>
        <w:rPr>
          <w:rFonts w:hint="eastAsia"/>
        </w:rPr>
        <w:t>2003</w:t>
      </w:r>
      <w:r>
        <w:rPr>
          <w:rFonts w:hint="eastAsia"/>
        </w:rPr>
        <w:t>年，拉丁美洲和加勒比海经济委员会发表了题为</w:t>
      </w:r>
      <w:r>
        <w:rPr>
          <w:rFonts w:hint="eastAsia"/>
        </w:rPr>
        <w:t>2002</w:t>
      </w:r>
      <w:r>
        <w:t>-</w:t>
      </w:r>
      <w:r>
        <w:rPr>
          <w:rFonts w:hint="eastAsia"/>
        </w:rPr>
        <w:t>2003</w:t>
      </w:r>
      <w:r>
        <w:rPr>
          <w:rFonts w:hint="eastAsia"/>
        </w:rPr>
        <w:t>年拉丁美洲社会概况的文件，其中提供了该地区各国贫穷程度趋势的信息。就墨西哥而言，尽管因为使用了不同的方法而得到的实际数字不同，但总体趋势和世界银行报告的一样。</w:t>
      </w:r>
    </w:p>
    <w:p w:rsidR="00000000" w:rsidRDefault="00457650">
      <w:pPr>
        <w:widowControl/>
        <w:tabs>
          <w:tab w:val="left" w:pos="630"/>
        </w:tabs>
        <w:spacing w:after="240" w:line="360" w:lineRule="exact"/>
        <w:rPr>
          <w:rFonts w:hint="eastAsia"/>
        </w:rPr>
      </w:pPr>
      <w:r>
        <w:rPr>
          <w:rFonts w:hint="eastAsia"/>
        </w:rPr>
        <w:t>419.</w:t>
      </w:r>
      <w:r>
        <w:rPr>
          <w:rFonts w:hint="eastAsia"/>
        </w:rPr>
        <w:tab/>
      </w:r>
      <w:r>
        <w:rPr>
          <w:rFonts w:hint="eastAsia"/>
        </w:rPr>
        <w:t>还是在</w:t>
      </w:r>
      <w:r>
        <w:rPr>
          <w:rFonts w:hint="eastAsia"/>
        </w:rPr>
        <w:t>2003</w:t>
      </w:r>
      <w:r>
        <w:rPr>
          <w:rFonts w:hint="eastAsia"/>
        </w:rPr>
        <w:t>年</w:t>
      </w:r>
      <w:r>
        <w:rPr>
          <w:rFonts w:hint="eastAsia"/>
        </w:rPr>
        <w:t>7</w:t>
      </w:r>
      <w:r>
        <w:rPr>
          <w:rFonts w:hint="eastAsia"/>
        </w:rPr>
        <w:t>月，联合国开发计划署（开发计划署）发表了《人类发展报告》，其中显示墨西哥的“人类发展指数”达到</w:t>
      </w:r>
      <w:r>
        <w:rPr>
          <w:rFonts w:hint="eastAsia"/>
        </w:rPr>
        <w:t>了</w:t>
      </w:r>
      <w:r>
        <w:rPr>
          <w:rFonts w:hint="eastAsia"/>
        </w:rPr>
        <w:t>0.800</w:t>
      </w:r>
      <w:r>
        <w:rPr>
          <w:rFonts w:hint="eastAsia"/>
        </w:rPr>
        <w:t>，超过了</w:t>
      </w:r>
      <w:r>
        <w:rPr>
          <w:rFonts w:hint="eastAsia"/>
        </w:rPr>
        <w:t>2000</w:t>
      </w:r>
      <w:r>
        <w:rPr>
          <w:rFonts w:hint="eastAsia"/>
        </w:rPr>
        <w:t>年的</w:t>
      </w:r>
      <w:r>
        <w:rPr>
          <w:rFonts w:hint="eastAsia"/>
        </w:rPr>
        <w:t>0.791</w:t>
      </w:r>
      <w:r>
        <w:rPr>
          <w:rFonts w:hint="eastAsia"/>
        </w:rPr>
        <w:t>。根据《</w:t>
      </w:r>
      <w:r>
        <w:rPr>
          <w:rFonts w:hint="eastAsia"/>
        </w:rPr>
        <w:t>2004</w:t>
      </w:r>
      <w:r>
        <w:rPr>
          <w:rFonts w:hint="eastAsia"/>
        </w:rPr>
        <w:t>年人类发展报告》，该国排位上升了两名，人类发展指数达到</w:t>
      </w:r>
      <w:r>
        <w:rPr>
          <w:rFonts w:hint="eastAsia"/>
        </w:rPr>
        <w:t>0.802</w:t>
      </w:r>
      <w:r>
        <w:rPr>
          <w:rFonts w:hint="eastAsia"/>
        </w:rPr>
        <w:t>，在总共</w:t>
      </w:r>
      <w:r>
        <w:rPr>
          <w:rFonts w:hint="eastAsia"/>
        </w:rPr>
        <w:t>177</w:t>
      </w:r>
      <w:r>
        <w:rPr>
          <w:rFonts w:hint="eastAsia"/>
        </w:rPr>
        <w:t>个国家中排名第</w:t>
      </w:r>
      <w:r>
        <w:rPr>
          <w:rFonts w:hint="eastAsia"/>
        </w:rPr>
        <w:t>53</w:t>
      </w:r>
      <w:r>
        <w:rPr>
          <w:rFonts w:hint="eastAsia"/>
        </w:rPr>
        <w:t>位。</w:t>
      </w:r>
    </w:p>
    <w:p w:rsidR="00000000" w:rsidRDefault="00457650">
      <w:pPr>
        <w:widowControl/>
        <w:tabs>
          <w:tab w:val="left" w:pos="630"/>
        </w:tabs>
        <w:spacing w:after="240" w:line="360" w:lineRule="exact"/>
        <w:rPr>
          <w:rFonts w:hint="eastAsia"/>
        </w:rPr>
      </w:pPr>
      <w:r>
        <w:rPr>
          <w:rFonts w:hint="eastAsia"/>
        </w:rPr>
        <w:t>420.</w:t>
      </w:r>
      <w:r>
        <w:rPr>
          <w:rFonts w:hint="eastAsia"/>
        </w:rPr>
        <w:tab/>
      </w:r>
      <w:r>
        <w:rPr>
          <w:rFonts w:hint="eastAsia"/>
        </w:rPr>
        <w:t>这些趋势同“</w:t>
      </w:r>
      <w:r>
        <w:rPr>
          <w:rFonts w:hint="eastAsia"/>
        </w:rPr>
        <w:t>2002</w:t>
      </w:r>
      <w:r>
        <w:rPr>
          <w:rFonts w:hint="eastAsia"/>
        </w:rPr>
        <w:t>年全国家庭收入和支出普查”的官方结果相吻合，这表明，结合其他指标，</w:t>
      </w:r>
      <w:r>
        <w:rPr>
          <w:rFonts w:hint="eastAsia"/>
        </w:rPr>
        <w:t>2000</w:t>
      </w:r>
      <w:r>
        <w:rPr>
          <w:rFonts w:hint="eastAsia"/>
        </w:rPr>
        <w:t>年到</w:t>
      </w:r>
      <w:r>
        <w:rPr>
          <w:rFonts w:hint="eastAsia"/>
        </w:rPr>
        <w:t>2002</w:t>
      </w:r>
      <w:r>
        <w:rPr>
          <w:rFonts w:hint="eastAsia"/>
        </w:rPr>
        <w:t>年营养不良人口的百分比有</w:t>
      </w:r>
      <w:r>
        <w:rPr>
          <w:rFonts w:hint="eastAsia"/>
        </w:rPr>
        <w:t>24.2%</w:t>
      </w:r>
      <w:r>
        <w:rPr>
          <w:rFonts w:hint="eastAsia"/>
        </w:rPr>
        <w:t>下降到</w:t>
      </w:r>
      <w:r>
        <w:rPr>
          <w:rFonts w:hint="eastAsia"/>
        </w:rPr>
        <w:t>20.3%</w:t>
      </w:r>
      <w:r>
        <w:rPr>
          <w:rFonts w:hint="eastAsia"/>
        </w:rPr>
        <w:t>。</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43</w:t>
      </w:r>
      <w:r>
        <w:rPr>
          <w:rFonts w:ascii="SimHei" w:eastAsia="SimHei" w:hint="eastAsia"/>
        </w:rPr>
        <w:t>段（</w:t>
      </w:r>
      <w:r>
        <w:rPr>
          <w:rFonts w:ascii="SimHei" w:eastAsia="SimHei" w:hint="eastAsia"/>
        </w:rPr>
        <w:t>b</w:t>
      </w:r>
      <w:r>
        <w:rPr>
          <w:rFonts w:ascii="SimHei" w:eastAsia="SimHei" w:hint="eastAsia"/>
        </w:rPr>
        <w:t>）（一）</w:t>
      </w:r>
    </w:p>
    <w:p w:rsidR="00000000" w:rsidRDefault="00457650">
      <w:pPr>
        <w:widowControl/>
        <w:tabs>
          <w:tab w:val="left" w:pos="630"/>
        </w:tabs>
        <w:spacing w:after="240" w:line="360" w:lineRule="exact"/>
        <w:rPr>
          <w:rFonts w:hint="eastAsia"/>
        </w:rPr>
      </w:pPr>
      <w:r>
        <w:rPr>
          <w:rFonts w:hint="eastAsia"/>
        </w:rPr>
        <w:t>421.</w:t>
      </w:r>
      <w:r>
        <w:rPr>
          <w:rFonts w:hint="eastAsia"/>
        </w:rPr>
        <w:tab/>
      </w:r>
      <w:r>
        <w:rPr>
          <w:rFonts w:hint="eastAsia"/>
        </w:rPr>
        <w:t>在所有国家和人口群体中，营养能量的来源与收入有关。随着收入的增加，消费模式的发展趋势在相当程度上可以预测。</w:t>
      </w:r>
    </w:p>
    <w:p w:rsidR="00000000" w:rsidRDefault="00457650">
      <w:pPr>
        <w:widowControl/>
        <w:tabs>
          <w:tab w:val="left" w:pos="720"/>
        </w:tabs>
        <w:spacing w:after="240" w:line="360" w:lineRule="exact"/>
        <w:rPr>
          <w:rFonts w:hint="eastAsia"/>
        </w:rPr>
      </w:pPr>
      <w:r>
        <w:rPr>
          <w:rFonts w:hint="eastAsia"/>
        </w:rPr>
        <w:t>422.</w:t>
      </w:r>
      <w:r>
        <w:rPr>
          <w:rFonts w:hint="eastAsia"/>
        </w:rPr>
        <w:tab/>
      </w:r>
      <w:r>
        <w:rPr>
          <w:rFonts w:hint="eastAsia"/>
        </w:rPr>
        <w:t>缺少收入是妨碍人们获得足够营养的</w:t>
      </w:r>
      <w:r>
        <w:rPr>
          <w:rFonts w:hint="eastAsia"/>
        </w:rPr>
        <w:t>一个主要原因。根据国家统计、地理和信息技术研究所的全国家庭收入和支出普查数据，最贫穷家庭的营养摄入限制在很少的几种食品之内。</w:t>
      </w:r>
    </w:p>
    <w:p w:rsidR="00000000" w:rsidRDefault="00457650">
      <w:pPr>
        <w:widowControl/>
        <w:tabs>
          <w:tab w:val="left" w:pos="630"/>
        </w:tabs>
        <w:spacing w:after="240" w:line="360" w:lineRule="exact"/>
        <w:rPr>
          <w:rFonts w:hint="eastAsia"/>
        </w:rPr>
      </w:pPr>
      <w:r>
        <w:rPr>
          <w:rFonts w:hint="eastAsia"/>
        </w:rPr>
        <w:t>423.</w:t>
      </w:r>
      <w:r>
        <w:rPr>
          <w:rFonts w:hint="eastAsia"/>
        </w:rPr>
        <w:tab/>
      </w:r>
      <w:r>
        <w:rPr>
          <w:rFonts w:hint="eastAsia"/>
        </w:rPr>
        <w:t>根据现有数据，城市和农村各类流动家庭（生活在临界状态的人口部分，全部可支配支出接近满足最低营养需要基本食品篮子费用）全部可支配支出的分配数据显示，最缺少的东西是食品、教育、休闲和住房；农村各类流动家庭的全部可支配支出的大约</w:t>
      </w:r>
      <w:r>
        <w:rPr>
          <w:rFonts w:hint="eastAsia"/>
        </w:rPr>
        <w:t>45%</w:t>
      </w:r>
      <w:r>
        <w:rPr>
          <w:rFonts w:hint="eastAsia"/>
        </w:rPr>
        <w:t>花在家庭内外的饮食上（相对于城市各类流动家庭的</w:t>
      </w:r>
      <w:r>
        <w:rPr>
          <w:rFonts w:hint="eastAsia"/>
        </w:rPr>
        <w:t>40.8%</w:t>
      </w:r>
      <w:r>
        <w:rPr>
          <w:rFonts w:hint="eastAsia"/>
        </w:rPr>
        <w:t>）。</w:t>
      </w:r>
    </w:p>
    <w:p w:rsidR="00000000" w:rsidRDefault="00457650">
      <w:pPr>
        <w:widowControl/>
        <w:tabs>
          <w:tab w:val="left" w:pos="630"/>
        </w:tabs>
        <w:spacing w:after="240" w:line="360" w:lineRule="exact"/>
        <w:rPr>
          <w:rFonts w:hint="eastAsia"/>
        </w:rPr>
      </w:pPr>
      <w:r>
        <w:rPr>
          <w:rFonts w:hint="eastAsia"/>
        </w:rPr>
        <w:t>424.</w:t>
      </w:r>
      <w:r>
        <w:rPr>
          <w:rFonts w:hint="eastAsia"/>
        </w:rPr>
        <w:tab/>
      </w:r>
      <w:r>
        <w:rPr>
          <w:rFonts w:hint="eastAsia"/>
        </w:rPr>
        <w:t>另一方面，对于家庭财产很少的人群——经济上能够满足基本食品篮的需要，但不能满</w:t>
      </w:r>
      <w:r>
        <w:rPr>
          <w:rFonts w:hint="eastAsia"/>
        </w:rPr>
        <w:t>足其他必需品和服务的需要——他们全部可支配开支的</w:t>
      </w:r>
      <w:r>
        <w:rPr>
          <w:rFonts w:hint="eastAsia"/>
        </w:rPr>
        <w:t>40%</w:t>
      </w:r>
      <w:r>
        <w:rPr>
          <w:rFonts w:hint="eastAsia"/>
        </w:rPr>
        <w:t>以上（</w:t>
      </w:r>
      <w:r>
        <w:rPr>
          <w:rFonts w:hint="eastAsia"/>
        </w:rPr>
        <w:t>41.7%</w:t>
      </w:r>
      <w:r>
        <w:rPr>
          <w:rFonts w:hint="eastAsia"/>
        </w:rPr>
        <w:t>）用于其成员的饮食，其余财产大部分用于教育和住房等事项。</w:t>
      </w:r>
    </w:p>
    <w:p w:rsidR="00000000" w:rsidRDefault="00457650">
      <w:pPr>
        <w:widowControl/>
        <w:tabs>
          <w:tab w:val="left" w:pos="630"/>
        </w:tabs>
        <w:spacing w:after="240" w:line="360" w:lineRule="exact"/>
        <w:rPr>
          <w:rFonts w:hint="eastAsia"/>
        </w:rPr>
      </w:pPr>
      <w:r>
        <w:rPr>
          <w:rFonts w:hint="eastAsia"/>
        </w:rPr>
        <w:t>425.</w:t>
      </w:r>
      <w:r>
        <w:rPr>
          <w:rFonts w:hint="eastAsia"/>
        </w:rPr>
        <w:tab/>
      </w:r>
      <w:r>
        <w:rPr>
          <w:rFonts w:hint="eastAsia"/>
        </w:rPr>
        <w:t>普查中分析的另一个指标是家庭支出的类型，即是否是现金或其他类型，因为家庭成员用来满足他们基本食品篮开支的或者是现金或者是其他资源，这一点非常重要。</w:t>
      </w:r>
    </w:p>
    <w:p w:rsidR="00000000" w:rsidRDefault="00457650">
      <w:pPr>
        <w:widowControl/>
        <w:tabs>
          <w:tab w:val="left" w:pos="630"/>
        </w:tabs>
        <w:spacing w:after="240" w:line="360" w:lineRule="exact"/>
        <w:rPr>
          <w:rFonts w:hint="eastAsia"/>
        </w:rPr>
      </w:pPr>
      <w:r>
        <w:rPr>
          <w:rFonts w:hint="eastAsia"/>
        </w:rPr>
        <w:t>426.</w:t>
      </w:r>
      <w:r>
        <w:rPr>
          <w:rFonts w:hint="eastAsia"/>
        </w:rPr>
        <w:tab/>
      </w:r>
      <w:r>
        <w:rPr>
          <w:rFonts w:hint="eastAsia"/>
        </w:rPr>
        <w:t>以上数据显示受到营养或遗产发展贫穷影响的家庭其全部可支配开支中饮食和卫生保健的非现金开支占了很大部分。营养不良家庭饮食方面的非现金开支占全部可支配支出</w:t>
      </w:r>
      <w:r>
        <w:rPr>
          <w:rFonts w:hint="eastAsia"/>
        </w:rPr>
        <w:t>23%</w:t>
      </w:r>
      <w:r>
        <w:rPr>
          <w:rFonts w:hint="eastAsia"/>
        </w:rPr>
        <w:t>，其中</w:t>
      </w:r>
      <w:r>
        <w:rPr>
          <w:rFonts w:hint="eastAsia"/>
        </w:rPr>
        <w:t>8%</w:t>
      </w:r>
      <w:r>
        <w:rPr>
          <w:rFonts w:hint="eastAsia"/>
        </w:rPr>
        <w:t>是收到的捐赠品。这意味着对于那些其全部可支配开支不</w:t>
      </w:r>
      <w:r>
        <w:rPr>
          <w:rFonts w:hint="eastAsia"/>
        </w:rPr>
        <w:t>足以满足本食品需要的家庭来说，他们消费的饮食中相当大部分是来自家庭以外人士的赠品。</w:t>
      </w:r>
    </w:p>
    <w:p w:rsidR="00000000" w:rsidRDefault="00457650">
      <w:pPr>
        <w:widowControl/>
        <w:tabs>
          <w:tab w:val="left" w:pos="630"/>
        </w:tabs>
        <w:spacing w:after="240" w:line="360" w:lineRule="exact"/>
        <w:rPr>
          <w:rFonts w:hint="eastAsia"/>
        </w:rPr>
      </w:pPr>
      <w:r>
        <w:rPr>
          <w:rFonts w:hint="eastAsia"/>
        </w:rPr>
        <w:t>427.</w:t>
      </w:r>
      <w:r>
        <w:rPr>
          <w:rFonts w:hint="eastAsia"/>
        </w:rPr>
        <w:tab/>
      </w:r>
      <w:r>
        <w:rPr>
          <w:rFonts w:hint="eastAsia"/>
        </w:rPr>
        <w:t>至于按继承财产发展程度归入贫穷类别的家庭的开支结构，家庭内外饮食消费现金开支略高于</w:t>
      </w:r>
      <w:r>
        <w:rPr>
          <w:rFonts w:hint="eastAsia"/>
        </w:rPr>
        <w:t>80%</w:t>
      </w:r>
      <w:r>
        <w:rPr>
          <w:rFonts w:hint="eastAsia"/>
        </w:rPr>
        <w:t>，非现金开支略低于</w:t>
      </w:r>
      <w:r>
        <w:rPr>
          <w:rFonts w:hint="eastAsia"/>
        </w:rPr>
        <w:t>1/5</w:t>
      </w:r>
      <w:r>
        <w:rPr>
          <w:rFonts w:hint="eastAsia"/>
        </w:rPr>
        <w:t>。赠品在这一类家庭中所占的比例很大，但是相对少于食品缺乏家庭。</w:t>
      </w:r>
    </w:p>
    <w:p w:rsidR="00000000" w:rsidRDefault="00457650">
      <w:pPr>
        <w:widowControl/>
        <w:tabs>
          <w:tab w:val="left" w:pos="630"/>
        </w:tabs>
        <w:spacing w:after="240" w:line="360" w:lineRule="exact"/>
        <w:rPr>
          <w:rFonts w:hint="eastAsia"/>
        </w:rPr>
      </w:pPr>
      <w:r>
        <w:rPr>
          <w:rFonts w:hint="eastAsia"/>
        </w:rPr>
        <w:t>428.</w:t>
      </w:r>
      <w:r>
        <w:rPr>
          <w:rFonts w:hint="eastAsia"/>
        </w:rPr>
        <w:tab/>
      </w:r>
      <w:r>
        <w:rPr>
          <w:rFonts w:hint="eastAsia"/>
        </w:rPr>
        <w:t>各类流动家庭的可支配开支分配相对于所有家庭或城市和农村地区家庭有一些不同之处。尽管各类家庭的食品、教育和休闲开支很大，但其比例在不同人口间变化很大；流动家庭用于食品的开支占全部可支配开支的</w:t>
      </w:r>
      <w:r>
        <w:rPr>
          <w:rFonts w:hint="eastAsia"/>
        </w:rPr>
        <w:t>40%</w:t>
      </w:r>
      <w:r>
        <w:rPr>
          <w:rFonts w:hint="eastAsia"/>
        </w:rPr>
        <w:t>以上，这一比例比全国所有家庭的平均开支</w:t>
      </w:r>
      <w:r>
        <w:rPr>
          <w:rFonts w:hint="eastAsia"/>
        </w:rPr>
        <w:t>高</w:t>
      </w:r>
      <w:r>
        <w:rPr>
          <w:rFonts w:hint="eastAsia"/>
        </w:rPr>
        <w:t>15%</w:t>
      </w:r>
      <w:r>
        <w:rPr>
          <w:rFonts w:hint="eastAsia"/>
        </w:rPr>
        <w:t>。这表明各类流动家庭的食品、教育和休闲开支占全部可支配支出的一半以上（</w:t>
      </w:r>
      <w:r>
        <w:rPr>
          <w:rFonts w:hint="eastAsia"/>
        </w:rPr>
        <w:t>51.6%</w:t>
      </w:r>
      <w:r>
        <w:rPr>
          <w:rFonts w:hint="eastAsia"/>
        </w:rPr>
        <w:t>）。</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43</w:t>
      </w:r>
      <w:r>
        <w:rPr>
          <w:rFonts w:ascii="SimHei" w:eastAsia="SimHei" w:hint="eastAsia"/>
        </w:rPr>
        <w:t>段（</w:t>
      </w:r>
      <w:r>
        <w:rPr>
          <w:rFonts w:ascii="SimHei" w:eastAsia="SimHei" w:hint="eastAsia"/>
        </w:rPr>
        <w:t>b</w:t>
      </w:r>
      <w:r>
        <w:rPr>
          <w:rFonts w:ascii="SimHei" w:eastAsia="SimHei" w:hint="eastAsia"/>
        </w:rPr>
        <w:t>）（二）</w:t>
      </w:r>
    </w:p>
    <w:p w:rsidR="00000000" w:rsidRDefault="00457650">
      <w:pPr>
        <w:widowControl/>
        <w:tabs>
          <w:tab w:val="left" w:pos="630"/>
        </w:tabs>
        <w:spacing w:after="240" w:line="360" w:lineRule="exact"/>
        <w:rPr>
          <w:rFonts w:hint="eastAsia"/>
        </w:rPr>
      </w:pPr>
      <w:r>
        <w:rPr>
          <w:rFonts w:hint="eastAsia"/>
        </w:rPr>
        <w:t>429.</w:t>
      </w:r>
      <w:r>
        <w:rPr>
          <w:rFonts w:hint="eastAsia"/>
        </w:rPr>
        <w:tab/>
      </w:r>
      <w:r>
        <w:rPr>
          <w:rFonts w:hint="eastAsia"/>
        </w:rPr>
        <w:t>贫穷产生的影响因男女之间的不平等而不同。例如，很大比例的已婚妇女依靠户主，这意味着她们的经济自立和决策能力受到限制。</w:t>
      </w:r>
    </w:p>
    <w:p w:rsidR="00000000" w:rsidRDefault="00457650">
      <w:pPr>
        <w:widowControl/>
        <w:tabs>
          <w:tab w:val="left" w:pos="630"/>
        </w:tabs>
        <w:spacing w:after="240" w:line="360" w:lineRule="exact"/>
        <w:rPr>
          <w:rFonts w:hint="eastAsia"/>
        </w:rPr>
      </w:pPr>
      <w:r>
        <w:rPr>
          <w:rFonts w:hint="eastAsia"/>
        </w:rPr>
        <w:t>430.</w:t>
      </w:r>
      <w:r>
        <w:rPr>
          <w:rFonts w:hint="eastAsia"/>
        </w:rPr>
        <w:tab/>
      </w:r>
      <w:r>
        <w:rPr>
          <w:rFonts w:hint="eastAsia"/>
        </w:rPr>
        <w:t>近年来，妇女在经济、政治和社会活动中发挥了越来越多的作用。但是，尽管这方面有了很大的进展，不平等现象依然存在，歧视妇女的观念也没有消除。</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43</w:t>
      </w:r>
      <w:r>
        <w:rPr>
          <w:rFonts w:ascii="SimHei" w:eastAsia="SimHei" w:hint="eastAsia"/>
        </w:rPr>
        <w:t>段（</w:t>
      </w:r>
      <w:r>
        <w:rPr>
          <w:rFonts w:ascii="SimHei" w:eastAsia="SimHei" w:hint="eastAsia"/>
        </w:rPr>
        <w:t>b</w:t>
      </w:r>
      <w:r>
        <w:rPr>
          <w:rFonts w:ascii="SimHei" w:eastAsia="SimHei" w:hint="eastAsia"/>
        </w:rPr>
        <w:t>）（三）</w:t>
      </w:r>
    </w:p>
    <w:p w:rsidR="00000000" w:rsidRDefault="00457650">
      <w:pPr>
        <w:widowControl/>
        <w:tabs>
          <w:tab w:val="left" w:pos="630"/>
        </w:tabs>
        <w:spacing w:after="240" w:line="360" w:lineRule="exact"/>
        <w:rPr>
          <w:rFonts w:hint="eastAsia"/>
        </w:rPr>
      </w:pPr>
      <w:r>
        <w:rPr>
          <w:rFonts w:hint="eastAsia"/>
        </w:rPr>
        <w:t>431.</w:t>
      </w:r>
      <w:r>
        <w:rPr>
          <w:rFonts w:hint="eastAsia"/>
        </w:rPr>
        <w:tab/>
      </w:r>
      <w:r>
        <w:rPr>
          <w:rFonts w:hint="eastAsia"/>
        </w:rPr>
        <w:t>为保证人们完全能够有机会获得充分的教育、保健和丰富营养，联邦政府开展了许多项目，其中包括</w:t>
      </w:r>
      <w:r>
        <w:rPr>
          <w:rFonts w:hint="eastAsia"/>
        </w:rPr>
        <w:t xml:space="preserve"> </w:t>
      </w:r>
      <w:r>
        <w:rPr>
          <w:rFonts w:hint="eastAsia"/>
        </w:rPr>
        <w:t>“机会项目”，它是政府消除城市和农村赤贫的一种主要手段。</w:t>
      </w:r>
    </w:p>
    <w:p w:rsidR="00000000" w:rsidRDefault="00457650">
      <w:pPr>
        <w:widowControl/>
        <w:tabs>
          <w:tab w:val="left" w:pos="630"/>
        </w:tabs>
        <w:spacing w:after="240" w:line="360" w:lineRule="exact"/>
        <w:rPr>
          <w:rFonts w:hint="eastAsia"/>
        </w:rPr>
      </w:pPr>
      <w:r>
        <w:rPr>
          <w:rFonts w:hint="eastAsia"/>
        </w:rPr>
        <w:t>432.</w:t>
      </w:r>
      <w:r>
        <w:rPr>
          <w:rFonts w:hint="eastAsia"/>
        </w:rPr>
        <w:tab/>
      </w:r>
      <w:r>
        <w:rPr>
          <w:rFonts w:hint="eastAsia"/>
        </w:rPr>
        <w:t>国家家庭综合发展系统根据“社会食品援助综合战略”资助一项旨在满足墨西哥各地区具体需要的全国食品援助计划。这些措施有助于优化那些直接使弱势群体受益的食品项目。</w:t>
      </w:r>
    </w:p>
    <w:p w:rsidR="00000000" w:rsidRDefault="00457650">
      <w:pPr>
        <w:keepNext/>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43</w:t>
      </w:r>
      <w:r>
        <w:rPr>
          <w:rFonts w:ascii="SimHei" w:eastAsia="SimHei" w:hint="eastAsia"/>
        </w:rPr>
        <w:t>段（</w:t>
      </w:r>
      <w:r>
        <w:rPr>
          <w:rFonts w:ascii="SimHei" w:eastAsia="SimHei" w:hint="eastAsia"/>
        </w:rPr>
        <w:t>c</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433.</w:t>
      </w:r>
      <w:r>
        <w:rPr>
          <w:rFonts w:hint="eastAsia"/>
        </w:rPr>
        <w:tab/>
      </w:r>
      <w:r>
        <w:rPr>
          <w:rFonts w:hint="eastAsia"/>
        </w:rPr>
        <w:t>在报告所涉期间，国家的政策、法律和惯例没有任何对贫穷人口或地区获得足够食物产生负面影响的变化。</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43</w:t>
      </w:r>
      <w:r>
        <w:rPr>
          <w:rFonts w:ascii="SimHei" w:eastAsia="SimHei" w:hint="eastAsia"/>
        </w:rPr>
        <w:t>段（</w:t>
      </w:r>
      <w:r>
        <w:rPr>
          <w:rFonts w:ascii="SimHei" w:eastAsia="SimHei" w:hint="eastAsia"/>
        </w:rPr>
        <w:t>d</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434.</w:t>
      </w:r>
      <w:r>
        <w:rPr>
          <w:rFonts w:hint="eastAsia"/>
        </w:rPr>
        <w:tab/>
        <w:t>2003</w:t>
      </w:r>
      <w:r>
        <w:rPr>
          <w:rFonts w:hint="eastAsia"/>
        </w:rPr>
        <w:t>年，家庭综合发展系统发起了“社会食品援助综合战略”，以此作为满足墨西哥各阶层具体需要的全国食品援助运动的一个组成部分。它包括四个</w:t>
      </w:r>
      <w:r>
        <w:rPr>
          <w:rFonts w:hint="eastAsia"/>
        </w:rPr>
        <w:t>项目：校餐、对不满</w:t>
      </w:r>
      <w:r>
        <w:rPr>
          <w:rFonts w:hint="eastAsia"/>
        </w:rPr>
        <w:t>5</w:t>
      </w:r>
      <w:r>
        <w:rPr>
          <w:rFonts w:hint="eastAsia"/>
        </w:rPr>
        <w:t>周岁有危险的儿童的照管、受忽视的家庭和弱势群体的粮食援助。</w:t>
      </w:r>
    </w:p>
    <w:p w:rsidR="00000000" w:rsidRDefault="00457650">
      <w:pPr>
        <w:widowControl/>
        <w:tabs>
          <w:tab w:val="left" w:pos="630"/>
        </w:tabs>
        <w:spacing w:after="240" w:line="360" w:lineRule="exact"/>
        <w:rPr>
          <w:rFonts w:hint="eastAsia"/>
        </w:rPr>
      </w:pPr>
      <w:r>
        <w:rPr>
          <w:rFonts w:hint="eastAsia"/>
        </w:rPr>
        <w:t>435.</w:t>
      </w:r>
      <w:r>
        <w:rPr>
          <w:rFonts w:hint="eastAsia"/>
        </w:rPr>
        <w:tab/>
      </w:r>
      <w:r>
        <w:rPr>
          <w:rFonts w:hint="eastAsia"/>
        </w:rPr>
        <w:t>这一战略在</w:t>
      </w:r>
      <w:r>
        <w:rPr>
          <w:rFonts w:hint="eastAsia"/>
        </w:rPr>
        <w:t>2003</w:t>
      </w:r>
      <w:r>
        <w:rPr>
          <w:rFonts w:hint="eastAsia"/>
        </w:rPr>
        <w:t>年中期启动，它在实施过程中为州和市级的家庭发展系统提供培训和指导，内部重组，重新确定提供给各州的粮食援助，更好地确定各种方案的重点，以便确保最贫穷的人群能获得这些福利。</w:t>
      </w:r>
    </w:p>
    <w:p w:rsidR="00000000" w:rsidRDefault="00457650">
      <w:pPr>
        <w:widowControl/>
        <w:tabs>
          <w:tab w:val="left" w:pos="630"/>
        </w:tabs>
        <w:spacing w:after="240" w:line="360" w:lineRule="exact"/>
        <w:rPr>
          <w:rFonts w:hint="eastAsia"/>
        </w:rPr>
      </w:pPr>
      <w:r>
        <w:rPr>
          <w:rFonts w:hint="eastAsia"/>
        </w:rPr>
        <w:t>436.</w:t>
      </w:r>
      <w:r>
        <w:rPr>
          <w:rFonts w:hint="eastAsia"/>
        </w:rPr>
        <w:tab/>
        <w:t xml:space="preserve"> </w:t>
      </w:r>
      <w:r>
        <w:rPr>
          <w:rFonts w:hint="eastAsia"/>
        </w:rPr>
        <w:t>到目前为止所采取的措施已经优化了各食品项目，直接造福于弱势群体，加强了项目的重点，持续覆盖距离边缘化程度低或很低的城市，同时重点关注边缘化程度高或很高的地区和土著地区，提高营养的摄入量和新项目的覆盖面。</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43</w:t>
      </w:r>
      <w:r>
        <w:rPr>
          <w:rFonts w:ascii="SimHei" w:eastAsia="SimHei" w:hint="eastAsia"/>
        </w:rPr>
        <w:t>段（</w:t>
      </w:r>
      <w:r>
        <w:rPr>
          <w:rFonts w:ascii="SimHei" w:eastAsia="SimHei" w:hint="eastAsia"/>
        </w:rPr>
        <w:t>e</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4</w:t>
      </w:r>
      <w:r>
        <w:rPr>
          <w:rFonts w:hint="eastAsia"/>
        </w:rPr>
        <w:t>37.</w:t>
      </w:r>
      <w:r>
        <w:rPr>
          <w:rFonts w:hint="eastAsia"/>
        </w:rPr>
        <w:tab/>
      </w:r>
      <w:r>
        <w:rPr>
          <w:rFonts w:hint="eastAsia"/>
        </w:rPr>
        <w:t>为实现获得充足食物的权利，墨西哥政府实施了各种战略，以保证生活必需品的分配和供给，在这些战略中，值得一提的是“农村供给方案”，在有效率、有机会、足量、质量和高营养的条件下，按照合理的价格为生活在边缘化程度高或很高的农村人口提供基本产品和补充产品。</w:t>
      </w:r>
    </w:p>
    <w:p w:rsidR="00000000" w:rsidRDefault="00457650">
      <w:pPr>
        <w:widowControl/>
        <w:tabs>
          <w:tab w:val="left" w:pos="630"/>
        </w:tabs>
        <w:spacing w:after="240" w:line="360" w:lineRule="exact"/>
        <w:rPr>
          <w:rFonts w:hint="eastAsia"/>
        </w:rPr>
      </w:pPr>
      <w:r>
        <w:rPr>
          <w:rFonts w:hint="eastAsia"/>
        </w:rPr>
        <w:t>438.</w:t>
      </w:r>
      <w:r>
        <w:rPr>
          <w:rFonts w:hint="eastAsia"/>
        </w:rPr>
        <w:tab/>
      </w:r>
      <w:r>
        <w:rPr>
          <w:rFonts w:hint="eastAsia"/>
        </w:rPr>
        <w:t>该方案还致力于提供其他服务，造福于缺少食物的农村人口，鼓励社会的参与。</w:t>
      </w:r>
    </w:p>
    <w:p w:rsidR="00000000" w:rsidRDefault="00457650">
      <w:pPr>
        <w:widowControl/>
        <w:tabs>
          <w:tab w:val="left" w:pos="630"/>
        </w:tabs>
        <w:spacing w:after="240" w:line="360" w:lineRule="exact"/>
        <w:rPr>
          <w:rFonts w:hint="eastAsia"/>
        </w:rPr>
      </w:pPr>
      <w:r>
        <w:rPr>
          <w:rFonts w:hint="eastAsia"/>
        </w:rPr>
        <w:t>439.</w:t>
      </w:r>
      <w:r>
        <w:rPr>
          <w:rFonts w:hint="eastAsia"/>
        </w:rPr>
        <w:tab/>
      </w:r>
      <w:r>
        <w:rPr>
          <w:rFonts w:hint="eastAsia"/>
        </w:rPr>
        <w:t>目前农村供给方案开办了大约</w:t>
      </w:r>
      <w:r>
        <w:rPr>
          <w:rFonts w:hint="eastAsia"/>
        </w:rPr>
        <w:t>22 000</w:t>
      </w:r>
      <w:r>
        <w:rPr>
          <w:rFonts w:hint="eastAsia"/>
        </w:rPr>
        <w:t>个社区商店，为</w:t>
      </w:r>
      <w:r>
        <w:rPr>
          <w:rFonts w:hint="eastAsia"/>
        </w:rPr>
        <w:t>2 900</w:t>
      </w:r>
      <w:r>
        <w:rPr>
          <w:rFonts w:hint="eastAsia"/>
        </w:rPr>
        <w:t>万墨西哥贫穷人口提供帮助。商店提供的商品是经研究选定的，满足了社区的需要并符合令人满意的食品标准。这些</w:t>
      </w:r>
      <w:r>
        <w:rPr>
          <w:rFonts w:hint="eastAsia"/>
        </w:rPr>
        <w:t>商品按折扣价销售，使消费者大约能节省全价的</w:t>
      </w:r>
      <w:r>
        <w:rPr>
          <w:rFonts w:hint="eastAsia"/>
        </w:rPr>
        <w:t>5.5%</w:t>
      </w:r>
      <w:r>
        <w:rPr>
          <w:rFonts w:hint="eastAsia"/>
        </w:rPr>
        <w:t>。</w:t>
      </w:r>
    </w:p>
    <w:p w:rsidR="00000000" w:rsidRDefault="00457650">
      <w:pPr>
        <w:widowControl/>
        <w:tabs>
          <w:tab w:val="left" w:pos="630"/>
        </w:tabs>
        <w:spacing w:after="240" w:line="360" w:lineRule="exact"/>
        <w:rPr>
          <w:rFonts w:hint="eastAsia"/>
        </w:rPr>
      </w:pPr>
      <w:r>
        <w:rPr>
          <w:rFonts w:hint="eastAsia"/>
        </w:rPr>
        <w:t>440.</w:t>
      </w:r>
      <w:r>
        <w:rPr>
          <w:rFonts w:hint="eastAsia"/>
        </w:rPr>
        <w:tab/>
      </w:r>
      <w:r>
        <w:rPr>
          <w:rFonts w:hint="eastAsia"/>
        </w:rPr>
        <w:t>墨西哥</w:t>
      </w:r>
      <w:r>
        <w:rPr>
          <w:rFonts w:hint="eastAsia"/>
        </w:rPr>
        <w:t>LICONSA</w:t>
      </w:r>
      <w:r>
        <w:rPr>
          <w:rFonts w:hint="eastAsia"/>
        </w:rPr>
        <w:t>还开展了“社会牛奶供应项目”，其目标是向受排斥的城市、郊区和农村地区人口提供低于市场价格的高品质牛奶，其中添加了铁、锌、叶酸、维生素</w:t>
      </w:r>
      <w:r>
        <w:rPr>
          <w:rFonts w:hint="eastAsia"/>
        </w:rPr>
        <w:t>B2</w:t>
      </w:r>
      <w:r>
        <w:rPr>
          <w:rFonts w:hint="eastAsia"/>
        </w:rPr>
        <w:t>、</w:t>
      </w:r>
      <w:r>
        <w:rPr>
          <w:rFonts w:hint="eastAsia"/>
        </w:rPr>
        <w:t>B12</w:t>
      </w:r>
      <w:r>
        <w:rPr>
          <w:rFonts w:hint="eastAsia"/>
        </w:rPr>
        <w:t>、</w:t>
      </w:r>
      <w:r>
        <w:rPr>
          <w:rFonts w:hint="eastAsia"/>
        </w:rPr>
        <w:t>A</w:t>
      </w:r>
      <w:r>
        <w:rPr>
          <w:rFonts w:hint="eastAsia"/>
        </w:rPr>
        <w:t>、</w:t>
      </w:r>
      <w:r>
        <w:rPr>
          <w:rFonts w:hint="eastAsia"/>
        </w:rPr>
        <w:t>C</w:t>
      </w:r>
      <w:r>
        <w:rPr>
          <w:rFonts w:hint="eastAsia"/>
        </w:rPr>
        <w:t>和</w:t>
      </w:r>
      <w:r>
        <w:rPr>
          <w:rFonts w:hint="eastAsia"/>
        </w:rPr>
        <w:t>D</w:t>
      </w:r>
      <w:r>
        <w:rPr>
          <w:rFonts w:hint="eastAsia"/>
        </w:rPr>
        <w:t>。</w:t>
      </w:r>
    </w:p>
    <w:p w:rsidR="00000000" w:rsidRDefault="00457650">
      <w:pPr>
        <w:widowControl/>
        <w:tabs>
          <w:tab w:val="left" w:pos="630"/>
        </w:tabs>
        <w:spacing w:after="240" w:line="360" w:lineRule="exact"/>
        <w:rPr>
          <w:rFonts w:hint="eastAsia"/>
        </w:rPr>
      </w:pPr>
      <w:r>
        <w:rPr>
          <w:rFonts w:hint="eastAsia"/>
        </w:rPr>
        <w:t>441.</w:t>
      </w:r>
      <w:r>
        <w:rPr>
          <w:rFonts w:hint="eastAsia"/>
        </w:rPr>
        <w:tab/>
      </w:r>
      <w:r>
        <w:rPr>
          <w:rFonts w:hint="eastAsia"/>
        </w:rPr>
        <w:t>“社会牛奶供应项目”追求两个目标：第一个目标是通过建设性方法，向抚养未满</w:t>
      </w:r>
      <w:r>
        <w:rPr>
          <w:rFonts w:hint="eastAsia"/>
        </w:rPr>
        <w:t>12</w:t>
      </w:r>
      <w:r>
        <w:rPr>
          <w:rFonts w:hint="eastAsia"/>
        </w:rPr>
        <w:t>周岁儿童的贫穷家庭提供以低于市场价格购买高营养牛奶的权利，以此转移收入，提高营养，促进人力资源的培训和发展；第二个目标是支持多消费牛奶能受益的人群，按照补贴价向处于贫穷状况的</w:t>
      </w:r>
      <w:r>
        <w:rPr>
          <w:rFonts w:hint="eastAsia"/>
        </w:rPr>
        <w:t>60</w:t>
      </w:r>
      <w:r>
        <w:rPr>
          <w:rFonts w:hint="eastAsia"/>
        </w:rPr>
        <w:t>多岁</w:t>
      </w:r>
      <w:r>
        <w:rPr>
          <w:rFonts w:hint="eastAsia"/>
        </w:rPr>
        <w:t>的成年人、</w:t>
      </w:r>
      <w:r>
        <w:rPr>
          <w:rFonts w:hint="eastAsia"/>
        </w:rPr>
        <w:t>12</w:t>
      </w:r>
      <w:r>
        <w:rPr>
          <w:rFonts w:hint="eastAsia"/>
        </w:rPr>
        <w:t>岁以上的病残儿童和孕妇，提供高营养牛奶，以此转移收入。</w:t>
      </w:r>
    </w:p>
    <w:p w:rsidR="00000000" w:rsidRDefault="00457650">
      <w:pPr>
        <w:keepNext/>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43</w:t>
      </w:r>
      <w:r>
        <w:rPr>
          <w:rFonts w:ascii="SimHei" w:eastAsia="SimHei" w:hint="eastAsia"/>
        </w:rPr>
        <w:t>段（</w:t>
      </w:r>
      <w:r>
        <w:rPr>
          <w:rFonts w:ascii="SimHei" w:eastAsia="SimHei" w:hint="eastAsia"/>
        </w:rPr>
        <w:t>f</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442.</w:t>
      </w:r>
      <w:r>
        <w:rPr>
          <w:rFonts w:hint="eastAsia"/>
        </w:rPr>
        <w:tab/>
      </w:r>
      <w:r>
        <w:rPr>
          <w:rFonts w:hint="eastAsia"/>
        </w:rPr>
        <w:t>良好的营养和优质的食品有助于形成积极健康的生活方式，为了广泛宣传这方面的知识和好处，墨西哥政府实施了许多方案，为需要的家庭成员举办营养教育讲座。</w:t>
      </w:r>
    </w:p>
    <w:p w:rsidR="00000000" w:rsidRDefault="00457650">
      <w:pPr>
        <w:widowControl/>
        <w:tabs>
          <w:tab w:val="left" w:pos="630"/>
        </w:tabs>
        <w:spacing w:after="240" w:line="360" w:lineRule="exact"/>
        <w:rPr>
          <w:rFonts w:hint="eastAsia"/>
        </w:rPr>
      </w:pPr>
      <w:r>
        <w:rPr>
          <w:rFonts w:hint="eastAsia"/>
        </w:rPr>
        <w:t>443.</w:t>
      </w:r>
      <w:r>
        <w:rPr>
          <w:rFonts w:hint="eastAsia"/>
        </w:rPr>
        <w:tab/>
      </w:r>
      <w:r>
        <w:rPr>
          <w:rFonts w:hint="eastAsia"/>
        </w:rPr>
        <w:t>以人的发展为本的“机会方案”的总体目标是向极度贫穷的家庭提供帮助，通过改进教育、健康和营养设施，增强其成员的能力，增加他们实现更高生活水平的机会。这些相关家庭成员接受健康、营养和卫生方面的教育，帮助他们自己照顾自己的健康需要。</w:t>
      </w:r>
    </w:p>
    <w:p w:rsidR="00000000" w:rsidRDefault="00457650">
      <w:pPr>
        <w:widowControl/>
        <w:tabs>
          <w:tab w:val="left" w:pos="630"/>
        </w:tabs>
        <w:spacing w:after="240" w:line="360" w:lineRule="exact"/>
        <w:rPr>
          <w:rFonts w:hint="eastAsia"/>
        </w:rPr>
      </w:pPr>
      <w:r>
        <w:rPr>
          <w:rFonts w:hint="eastAsia"/>
        </w:rPr>
        <w:t>444.</w:t>
      </w:r>
      <w:r>
        <w:rPr>
          <w:rFonts w:hint="eastAsia"/>
        </w:rPr>
        <w:tab/>
      </w:r>
      <w:r>
        <w:rPr>
          <w:rFonts w:hint="eastAsia"/>
        </w:rPr>
        <w:t>“机会方案”培养父母和</w:t>
      </w:r>
      <w:r>
        <w:rPr>
          <w:rFonts w:hint="eastAsia"/>
        </w:rPr>
        <w:t>家庭所有成员的责任和积极参与，提高他们的教育、健康和营养水平。同时它认识到人的良好营养水平是其发展和提高学习能力的基础。</w:t>
      </w:r>
    </w:p>
    <w:p w:rsidR="00000000" w:rsidRDefault="00457650">
      <w:pPr>
        <w:widowControl/>
        <w:tabs>
          <w:tab w:val="left" w:pos="630"/>
        </w:tabs>
        <w:spacing w:after="240" w:line="360" w:lineRule="exact"/>
        <w:rPr>
          <w:rFonts w:hint="eastAsia"/>
        </w:rPr>
      </w:pPr>
      <w:r>
        <w:rPr>
          <w:rFonts w:hint="eastAsia"/>
        </w:rPr>
        <w:t>445.</w:t>
      </w:r>
      <w:r>
        <w:rPr>
          <w:rFonts w:hint="eastAsia"/>
        </w:rPr>
        <w:tab/>
      </w:r>
      <w:r>
        <w:rPr>
          <w:rFonts w:hint="eastAsia"/>
        </w:rPr>
        <w:t>此外，作为支持家庭成员满足营养需要的一种形式，所有从</w:t>
      </w:r>
      <w:r>
        <w:rPr>
          <w:rFonts w:hint="eastAsia"/>
        </w:rPr>
        <w:t>4</w:t>
      </w:r>
      <w:r>
        <w:rPr>
          <w:rFonts w:hint="eastAsia"/>
        </w:rPr>
        <w:t>个月大到</w:t>
      </w:r>
      <w:r>
        <w:rPr>
          <w:rFonts w:hint="eastAsia"/>
        </w:rPr>
        <w:t>2</w:t>
      </w:r>
      <w:r>
        <w:rPr>
          <w:rFonts w:hint="eastAsia"/>
        </w:rPr>
        <w:t>周岁大的儿童，所有</w:t>
      </w:r>
      <w:r>
        <w:rPr>
          <w:rFonts w:hint="eastAsia"/>
        </w:rPr>
        <w:t>2</w:t>
      </w:r>
      <w:r>
        <w:rPr>
          <w:rFonts w:hint="eastAsia"/>
        </w:rPr>
        <w:t>周岁到</w:t>
      </w:r>
      <w:r>
        <w:rPr>
          <w:rFonts w:hint="eastAsia"/>
        </w:rPr>
        <w:t>5</w:t>
      </w:r>
      <w:r>
        <w:rPr>
          <w:rFonts w:hint="eastAsia"/>
        </w:rPr>
        <w:t>周岁大的营养不良儿童和所有孕妇和哺乳妇女，都将得到食物补助。</w:t>
      </w:r>
    </w:p>
    <w:p w:rsidR="00000000" w:rsidRDefault="00457650">
      <w:pPr>
        <w:widowControl/>
        <w:tabs>
          <w:tab w:val="left" w:pos="630"/>
        </w:tabs>
        <w:spacing w:after="240" w:line="360" w:lineRule="exact"/>
        <w:rPr>
          <w:rFonts w:hint="eastAsia"/>
        </w:rPr>
      </w:pPr>
      <w:r>
        <w:rPr>
          <w:rFonts w:hint="eastAsia"/>
        </w:rPr>
        <w:t>446.</w:t>
      </w:r>
      <w:r>
        <w:rPr>
          <w:rFonts w:hint="eastAsia"/>
        </w:rPr>
        <w:tab/>
      </w:r>
      <w:r>
        <w:rPr>
          <w:rFonts w:hint="eastAsia"/>
        </w:rPr>
        <w:t>墨西哥还开展了“粮食援助项目”，其目标和目的包括通过营养和健康教育向相关家庭提供援助。该机会提供的福利包括营养、卫生和健康方面的教育课程，专门人员对此加以协调和监督。</w:t>
      </w:r>
    </w:p>
    <w:p w:rsidR="00000000" w:rsidRDefault="00457650">
      <w:pPr>
        <w:widowControl/>
        <w:tabs>
          <w:tab w:val="left" w:pos="630"/>
        </w:tabs>
        <w:spacing w:after="240" w:line="360" w:lineRule="exact"/>
        <w:rPr>
          <w:rFonts w:hint="eastAsia"/>
        </w:rPr>
      </w:pPr>
      <w:r>
        <w:rPr>
          <w:rFonts w:hint="eastAsia"/>
        </w:rPr>
        <w:t>447.</w:t>
      </w:r>
      <w:r>
        <w:rPr>
          <w:rFonts w:hint="eastAsia"/>
        </w:rPr>
        <w:tab/>
      </w:r>
      <w:r>
        <w:rPr>
          <w:rFonts w:hint="eastAsia"/>
        </w:rPr>
        <w:t>作为本项目共同承担责任的一种方式，受资</w:t>
      </w:r>
      <w:r>
        <w:rPr>
          <w:rFonts w:hint="eastAsia"/>
        </w:rPr>
        <w:t>助家庭的户主和其他任何有兴趣的成员必须参加有关营养、卫生和健康问题的讨论。</w:t>
      </w:r>
    </w:p>
    <w:p w:rsidR="00000000" w:rsidRDefault="00457650">
      <w:pPr>
        <w:widowControl/>
        <w:tabs>
          <w:tab w:val="left" w:pos="630"/>
        </w:tabs>
        <w:spacing w:after="240" w:line="360" w:lineRule="exact"/>
        <w:rPr>
          <w:rFonts w:hint="eastAsia"/>
        </w:rPr>
      </w:pPr>
      <w:r>
        <w:rPr>
          <w:rFonts w:hint="eastAsia"/>
        </w:rPr>
        <w:t>448.</w:t>
      </w:r>
      <w:r>
        <w:rPr>
          <w:rFonts w:hint="eastAsia"/>
        </w:rPr>
        <w:tab/>
      </w:r>
      <w:r>
        <w:rPr>
          <w:rFonts w:hint="eastAsia"/>
        </w:rPr>
        <w:t>该方案的基本目标是提高贫穷家庭和生活在边缘农村地区家庭的生活水平，这些家庭没有得到联邦政府其他食品方案带来的福利。这个方案旨在通过其他社会发展方案实现同步和互补。</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43</w:t>
      </w:r>
      <w:r>
        <w:rPr>
          <w:rFonts w:ascii="SimHei" w:eastAsia="SimHei" w:hint="eastAsia"/>
        </w:rPr>
        <w:t>段（</w:t>
      </w:r>
      <w:r>
        <w:rPr>
          <w:rFonts w:ascii="SimHei" w:eastAsia="SimHei" w:hint="eastAsia"/>
        </w:rPr>
        <w:t>g</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449.</w:t>
      </w:r>
      <w:r>
        <w:rPr>
          <w:rFonts w:hint="eastAsia"/>
        </w:rPr>
        <w:tab/>
      </w:r>
      <w:r>
        <w:rPr>
          <w:rFonts w:hint="eastAsia"/>
        </w:rPr>
        <w:t>土地改革部的目标是落实《宪法》第</w:t>
      </w:r>
      <w:r>
        <w:rPr>
          <w:rFonts w:hint="eastAsia"/>
        </w:rPr>
        <w:t>27</w:t>
      </w:r>
      <w:r>
        <w:rPr>
          <w:rFonts w:hint="eastAsia"/>
        </w:rPr>
        <w:t>条，该条规定对土地所有权实行管制，并建立新的农业人口中心，以此为基础促进墨西哥农村地区的发展，保证为农村资产提供法律保护，以创造利润和收入并开展生产活动，进而保证全体人民获得足够的营养。</w:t>
      </w:r>
    </w:p>
    <w:p w:rsidR="00000000" w:rsidRDefault="00457650">
      <w:pPr>
        <w:widowControl/>
        <w:tabs>
          <w:tab w:val="left" w:pos="630"/>
        </w:tabs>
        <w:spacing w:after="240" w:line="360" w:lineRule="exact"/>
        <w:rPr>
          <w:rFonts w:hint="eastAsia"/>
        </w:rPr>
      </w:pPr>
      <w:r>
        <w:rPr>
          <w:rFonts w:hint="eastAsia"/>
        </w:rPr>
        <w:t>450.</w:t>
      </w:r>
      <w:r>
        <w:rPr>
          <w:rFonts w:hint="eastAsia"/>
        </w:rPr>
        <w:tab/>
      </w:r>
      <w:r>
        <w:rPr>
          <w:rFonts w:hint="eastAsia"/>
        </w:rPr>
        <w:t>这</w:t>
      </w:r>
      <w:r>
        <w:rPr>
          <w:rFonts w:hint="eastAsia"/>
        </w:rPr>
        <w:t>些目标根据以下方案和法律实现：</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w:t>
      </w:r>
      <w:r>
        <w:rPr>
          <w:rFonts w:ascii="SimHei" w:eastAsia="SimHei" w:hint="eastAsia"/>
        </w:rPr>
        <w:t>2001-2006</w:t>
      </w:r>
      <w:r>
        <w:rPr>
          <w:rFonts w:ascii="SimHei" w:eastAsia="SimHei" w:hint="eastAsia"/>
        </w:rPr>
        <w:t>年国家发展计划</w:t>
      </w:r>
      <w:r>
        <w:rPr>
          <w:rFonts w:hint="eastAsia"/>
        </w:rPr>
        <w:t>》，</w:t>
      </w:r>
      <w:r>
        <w:rPr>
          <w:rFonts w:hint="eastAsia"/>
        </w:rPr>
        <w:t>2001</w:t>
      </w:r>
      <w:r>
        <w:rPr>
          <w:rFonts w:hint="eastAsia"/>
        </w:rPr>
        <w:t>年</w:t>
      </w:r>
      <w:r>
        <w:rPr>
          <w:rFonts w:hint="eastAsia"/>
        </w:rPr>
        <w:t>5</w:t>
      </w:r>
      <w:r>
        <w:rPr>
          <w:rFonts w:hint="eastAsia"/>
        </w:rPr>
        <w:t>月</w:t>
      </w:r>
      <w:r>
        <w:rPr>
          <w:rFonts w:hint="eastAsia"/>
        </w:rPr>
        <w:t>30</w:t>
      </w:r>
      <w:r>
        <w:rPr>
          <w:rFonts w:hint="eastAsia"/>
        </w:rPr>
        <w:t>日在《联邦政府公报》上公布。</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w:t>
      </w:r>
      <w:r>
        <w:rPr>
          <w:rFonts w:ascii="SimHei" w:eastAsia="SimHei" w:hint="eastAsia"/>
        </w:rPr>
        <w:t>农村可持续发展法</w:t>
      </w:r>
      <w:r>
        <w:rPr>
          <w:rFonts w:hint="eastAsia"/>
        </w:rPr>
        <w:t>》，</w:t>
      </w:r>
      <w:r>
        <w:rPr>
          <w:rFonts w:hint="eastAsia"/>
        </w:rPr>
        <w:t>2001</w:t>
      </w:r>
      <w:r>
        <w:rPr>
          <w:rFonts w:hint="eastAsia"/>
        </w:rPr>
        <w:t>年</w:t>
      </w:r>
      <w:r>
        <w:rPr>
          <w:rFonts w:hint="eastAsia"/>
        </w:rPr>
        <w:t>12</w:t>
      </w:r>
      <w:r>
        <w:rPr>
          <w:rFonts w:hint="eastAsia"/>
        </w:rPr>
        <w:t>月</w:t>
      </w:r>
      <w:r>
        <w:rPr>
          <w:rFonts w:hint="eastAsia"/>
        </w:rPr>
        <w:t>7</w:t>
      </w:r>
      <w:r>
        <w:rPr>
          <w:rFonts w:hint="eastAsia"/>
        </w:rPr>
        <w:t>日在《联邦政府公报》上公布。</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w:t>
      </w:r>
      <w:r>
        <w:rPr>
          <w:rFonts w:ascii="SimHei" w:eastAsia="SimHei" w:hint="eastAsia"/>
        </w:rPr>
        <w:t>2001-2006</w:t>
      </w:r>
      <w:r>
        <w:rPr>
          <w:rFonts w:ascii="SimHei" w:eastAsia="SimHei" w:hint="eastAsia"/>
        </w:rPr>
        <w:t>年部门土地方案</w:t>
      </w:r>
      <w:r>
        <w:rPr>
          <w:rFonts w:hint="eastAsia"/>
        </w:rPr>
        <w:t>》，</w:t>
      </w:r>
      <w:r>
        <w:rPr>
          <w:rFonts w:hint="eastAsia"/>
        </w:rPr>
        <w:t>2002</w:t>
      </w:r>
      <w:r>
        <w:rPr>
          <w:rFonts w:hint="eastAsia"/>
        </w:rPr>
        <w:t>年</w:t>
      </w:r>
      <w:r>
        <w:rPr>
          <w:rFonts w:hint="eastAsia"/>
        </w:rPr>
        <w:t>2</w:t>
      </w:r>
      <w:r>
        <w:rPr>
          <w:rFonts w:hint="eastAsia"/>
        </w:rPr>
        <w:t>月</w:t>
      </w:r>
      <w:r>
        <w:rPr>
          <w:rFonts w:hint="eastAsia"/>
        </w:rPr>
        <w:t>4</w:t>
      </w:r>
      <w:r>
        <w:rPr>
          <w:rFonts w:hint="eastAsia"/>
        </w:rPr>
        <w:t>日在《联邦政府公报》上公布。值得一提的是，该方案措施包括对农业工人组织提供支持以提出新的生产计划，并利用这些组织的影响，为能够摆脱边缘地位的工人提供培训，并使这些组织成为实现农村发展的农业代言人。</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w:t>
      </w:r>
      <w:r>
        <w:rPr>
          <w:rFonts w:ascii="SimHei" w:eastAsia="SimHei" w:hint="eastAsia"/>
        </w:rPr>
        <w:t>国家农村地区协议</w:t>
      </w:r>
      <w:r>
        <w:rPr>
          <w:rFonts w:hint="eastAsia"/>
        </w:rPr>
        <w:t>》，</w:t>
      </w:r>
      <w:r>
        <w:rPr>
          <w:rFonts w:hint="eastAsia"/>
        </w:rPr>
        <w:t>2003</w:t>
      </w:r>
      <w:r>
        <w:rPr>
          <w:rFonts w:hint="eastAsia"/>
        </w:rPr>
        <w:t>年</w:t>
      </w:r>
      <w:r>
        <w:rPr>
          <w:rFonts w:hint="eastAsia"/>
        </w:rPr>
        <w:t>4</w:t>
      </w:r>
      <w:r>
        <w:rPr>
          <w:rFonts w:hint="eastAsia"/>
        </w:rPr>
        <w:t>月</w:t>
      </w:r>
      <w:r>
        <w:rPr>
          <w:rFonts w:hint="eastAsia"/>
        </w:rPr>
        <w:t>28</w:t>
      </w:r>
      <w:r>
        <w:rPr>
          <w:rFonts w:hint="eastAsia"/>
        </w:rPr>
        <w:t>日在《联邦政府公报》上公布。该协</w:t>
      </w:r>
      <w:r>
        <w:rPr>
          <w:rFonts w:hint="eastAsia"/>
        </w:rPr>
        <w:t>议从一开始就承认粮食主权和安全是不可或缺的，其宗旨是详细阐述最终产生《联邦农业规划及粮食主权和安全法》的法律改革。它包括了计划、规划和中期预算的适当措施，在粮食主权和安全概念的基础上为生产商提供安全和保护。改革的目标是确定营养权利的可行性；同时承认城市和农村地区的平等原则，通过宪法改革、二级法律、公共政策、制度、规划和行动加以体现。新法案应该为开支计划确定明确的标准，规定具体的农业、林业、水产、渔业和农村发展目标，至少覆盖以下方面：（</w:t>
      </w:r>
      <w:r>
        <w:rPr>
          <w:rFonts w:hint="eastAsia"/>
        </w:rPr>
        <w:t>a</w:t>
      </w:r>
      <w:r>
        <w:rPr>
          <w:rFonts w:hint="eastAsia"/>
        </w:rPr>
        <w:t>）落后州和地区的生产和社会结构投资；（</w:t>
      </w:r>
      <w:r>
        <w:rPr>
          <w:rFonts w:hint="eastAsia"/>
        </w:rPr>
        <w:t>b</w:t>
      </w:r>
      <w:r>
        <w:rPr>
          <w:rFonts w:hint="eastAsia"/>
        </w:rPr>
        <w:t>）在《农村可持续发展法》中被视为</w:t>
      </w:r>
      <w:r>
        <w:rPr>
          <w:rFonts w:hint="eastAsia"/>
        </w:rPr>
        <w:t>基本战略举措的产品目标收入系统，它根据地区不同而加以区别；（</w:t>
      </w:r>
      <w:r>
        <w:rPr>
          <w:rFonts w:hint="eastAsia"/>
        </w:rPr>
        <w:t>c</w:t>
      </w:r>
      <w:r>
        <w:rPr>
          <w:rFonts w:hint="eastAsia"/>
        </w:rPr>
        <w:t>）战略计划。</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w:t>
      </w:r>
      <w:r>
        <w:rPr>
          <w:rFonts w:ascii="SimHei" w:eastAsia="SimHei" w:hint="eastAsia"/>
        </w:rPr>
        <w:t>2004</w:t>
      </w:r>
      <w:r>
        <w:rPr>
          <w:rFonts w:ascii="SimHei" w:eastAsia="SimHei" w:hint="eastAsia"/>
        </w:rPr>
        <w:t>年财政年度联邦预算</w:t>
      </w:r>
      <w:r>
        <w:rPr>
          <w:rFonts w:hint="eastAsia"/>
        </w:rPr>
        <w:t>》，</w:t>
      </w:r>
      <w:r>
        <w:rPr>
          <w:rFonts w:hint="eastAsia"/>
        </w:rPr>
        <w:t>2003</w:t>
      </w:r>
      <w:r>
        <w:rPr>
          <w:rFonts w:hint="eastAsia"/>
        </w:rPr>
        <w:t>年</w:t>
      </w:r>
      <w:r>
        <w:rPr>
          <w:rFonts w:hint="eastAsia"/>
        </w:rPr>
        <w:t>12</w:t>
      </w:r>
      <w:r>
        <w:rPr>
          <w:rFonts w:hint="eastAsia"/>
        </w:rPr>
        <w:t>月</w:t>
      </w:r>
      <w:r>
        <w:rPr>
          <w:rFonts w:hint="eastAsia"/>
        </w:rPr>
        <w:t>31</w:t>
      </w:r>
      <w:r>
        <w:rPr>
          <w:rFonts w:hint="eastAsia"/>
        </w:rPr>
        <w:t>日在《联邦政府公报》上公布。</w:t>
      </w:r>
    </w:p>
    <w:p w:rsidR="00000000" w:rsidRDefault="00457650">
      <w:pPr>
        <w:widowControl/>
        <w:tabs>
          <w:tab w:val="left" w:pos="630"/>
        </w:tabs>
        <w:spacing w:after="240" w:line="340" w:lineRule="exact"/>
        <w:rPr>
          <w:rFonts w:hint="eastAsia"/>
        </w:rPr>
      </w:pPr>
      <w:r>
        <w:rPr>
          <w:rFonts w:hint="eastAsia"/>
        </w:rPr>
        <w:t>451.</w:t>
      </w:r>
      <w:r>
        <w:rPr>
          <w:rFonts w:hint="eastAsia"/>
        </w:rPr>
        <w:tab/>
      </w:r>
      <w:r>
        <w:rPr>
          <w:rFonts w:hint="eastAsia"/>
        </w:rPr>
        <w:t>该领域所有现行法律仍然有效。</w:t>
      </w:r>
    </w:p>
    <w:p w:rsidR="00000000" w:rsidRDefault="00457650">
      <w:pPr>
        <w:widowControl/>
        <w:tabs>
          <w:tab w:val="left" w:pos="630"/>
        </w:tabs>
        <w:spacing w:after="240" w:line="340" w:lineRule="exact"/>
        <w:rPr>
          <w:rFonts w:hint="eastAsia"/>
        </w:rPr>
      </w:pPr>
      <w:r>
        <w:rPr>
          <w:rFonts w:hint="eastAsia"/>
        </w:rPr>
        <w:t>452.</w:t>
      </w:r>
      <w:r>
        <w:rPr>
          <w:rFonts w:hint="eastAsia"/>
        </w:rPr>
        <w:tab/>
      </w:r>
      <w:r>
        <w:rPr>
          <w:rFonts w:hint="eastAsia"/>
        </w:rPr>
        <w:t>自</w:t>
      </w:r>
      <w:r>
        <w:rPr>
          <w:rFonts w:hint="eastAsia"/>
        </w:rPr>
        <w:t>1992</w:t>
      </w:r>
      <w:r>
        <w:rPr>
          <w:rFonts w:hint="eastAsia"/>
        </w:rPr>
        <w:t>年</w:t>
      </w:r>
      <w:r>
        <w:rPr>
          <w:rFonts w:hint="eastAsia"/>
        </w:rPr>
        <w:t>2</w:t>
      </w:r>
      <w:r>
        <w:rPr>
          <w:rFonts w:hint="eastAsia"/>
        </w:rPr>
        <w:t>月</w:t>
      </w:r>
      <w:r>
        <w:rPr>
          <w:rFonts w:hint="eastAsia"/>
        </w:rPr>
        <w:t xml:space="preserve">14 </w:t>
      </w:r>
      <w:r>
        <w:rPr>
          <w:rFonts w:hint="eastAsia"/>
        </w:rPr>
        <w:t>日在《联邦政府公报》上公布《土地法》以来，所有规范土地所有制的措施都是依照墨西哥法律体系的要求实施的，从而加强了墨西哥农村地区发展方案的规范化。</w:t>
      </w:r>
    </w:p>
    <w:p w:rsidR="00000000" w:rsidRDefault="00457650">
      <w:pPr>
        <w:widowControl/>
        <w:tabs>
          <w:tab w:val="left" w:pos="630"/>
        </w:tabs>
        <w:spacing w:after="240" w:line="340" w:lineRule="exact"/>
        <w:rPr>
          <w:rFonts w:hint="eastAsia"/>
        </w:rPr>
      </w:pPr>
      <w:r>
        <w:rPr>
          <w:rFonts w:hint="eastAsia"/>
        </w:rPr>
        <w:t>453.</w:t>
      </w:r>
      <w:r>
        <w:rPr>
          <w:rFonts w:hint="eastAsia"/>
        </w:rPr>
        <w:tab/>
      </w:r>
      <w:r>
        <w:rPr>
          <w:rFonts w:hint="eastAsia"/>
        </w:rPr>
        <w:t>根据《农村可持续发展法》，粮食主权和安全是《国家农村地区协议》的根本基础。它希望通过此类政策保证农村地区、农村社会、农民和土著</w:t>
      </w:r>
      <w:r>
        <w:rPr>
          <w:rFonts w:hint="eastAsia"/>
        </w:rPr>
        <w:t>农业及其积累的财产能成为国家优先考虑的事项，把它们当作墨西哥现在和未来不可或缺的基础，以此确保国家的粮食主权和安全，并提高其长期的发展和生存能力，以及在粮食生产和全民粮食供应方面的自主能力。该法还以本国生产为基础，及时充分地满足人民包括食品在内的各种需要。</w:t>
      </w:r>
    </w:p>
    <w:p w:rsidR="00000000" w:rsidRDefault="00457650">
      <w:pPr>
        <w:widowControl/>
        <w:tabs>
          <w:tab w:val="left" w:pos="630"/>
        </w:tabs>
        <w:spacing w:after="240" w:line="340" w:lineRule="exact"/>
        <w:rPr>
          <w:rFonts w:hint="eastAsia"/>
        </w:rPr>
      </w:pPr>
      <w:r>
        <w:rPr>
          <w:rFonts w:hint="eastAsia"/>
        </w:rPr>
        <w:t>454.</w:t>
      </w:r>
      <w:r>
        <w:rPr>
          <w:rFonts w:hint="eastAsia"/>
        </w:rPr>
        <w:tab/>
      </w:r>
      <w:r>
        <w:rPr>
          <w:rFonts w:hint="eastAsia"/>
        </w:rPr>
        <w:t>关于</w:t>
      </w:r>
      <w:r>
        <w:rPr>
          <w:rFonts w:hint="eastAsia"/>
        </w:rPr>
        <w:t>1993</w:t>
      </w:r>
      <w:r>
        <w:rPr>
          <w:rFonts w:hint="eastAsia"/>
        </w:rPr>
        <w:t>年至</w:t>
      </w:r>
      <w:r>
        <w:rPr>
          <w:rFonts w:hint="eastAsia"/>
        </w:rPr>
        <w:t>2004</w:t>
      </w:r>
      <w:r>
        <w:rPr>
          <w:rFonts w:hint="eastAsia"/>
        </w:rPr>
        <w:t>年</w:t>
      </w:r>
      <w:r>
        <w:rPr>
          <w:rFonts w:hint="eastAsia"/>
        </w:rPr>
        <w:t>3</w:t>
      </w:r>
      <w:r>
        <w:rPr>
          <w:rFonts w:hint="eastAsia"/>
        </w:rPr>
        <w:t>月合作农场和土地所有权证书方案土地改革部为农业区社会财产权立法的方案所实现的目标，</w:t>
      </w:r>
      <w:r>
        <w:rPr>
          <w:rFonts w:hint="eastAsia"/>
        </w:rPr>
        <w:t>2001-2003</w:t>
      </w:r>
      <w:r>
        <w:rPr>
          <w:rFonts w:hint="eastAsia"/>
        </w:rPr>
        <w:t>年活动报告，预算申请，行政单位的形式、目标和指标，“方案目标和指标初始时间表”，土地改革部的权力，上述相关信息可以通</w:t>
      </w:r>
      <w:r>
        <w:rPr>
          <w:rFonts w:hint="eastAsia"/>
        </w:rPr>
        <w:t>过以下因特网网页查询：</w:t>
      </w:r>
      <w:r>
        <w:rPr>
          <w:rFonts w:hint="eastAsia"/>
          <w:szCs w:val="21"/>
        </w:rPr>
        <w:t>www.sra.gob.mx</w:t>
      </w:r>
      <w:r>
        <w:rPr>
          <w:rFonts w:hint="eastAsia"/>
        </w:rPr>
        <w:t>。</w:t>
      </w:r>
    </w:p>
    <w:p w:rsidR="00000000" w:rsidRDefault="00457650">
      <w:pPr>
        <w:widowControl/>
        <w:tabs>
          <w:tab w:val="left" w:pos="630"/>
        </w:tabs>
        <w:spacing w:after="240" w:line="340" w:lineRule="exact"/>
        <w:rPr>
          <w:rFonts w:hint="eastAsia"/>
        </w:rPr>
      </w:pPr>
      <w:r>
        <w:rPr>
          <w:rFonts w:hint="eastAsia"/>
        </w:rPr>
        <w:t>455.</w:t>
      </w:r>
      <w:r>
        <w:rPr>
          <w:rFonts w:hint="eastAsia"/>
        </w:rPr>
        <w:tab/>
      </w:r>
      <w:r>
        <w:rPr>
          <w:rFonts w:hint="eastAsia"/>
        </w:rPr>
        <w:t>关于政府组织，内部审计处负责监测各组织履行职责，在完成目标和指标的情况，并，为其履行职责提供必要的支助。它规划、命令并实施各种审计、调查、检查或查访。</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44</w:t>
      </w:r>
      <w:r>
        <w:rPr>
          <w:rFonts w:ascii="SimHei" w:eastAsia="SimHei" w:hint="eastAsia"/>
        </w:rPr>
        <w:t>段（</w:t>
      </w:r>
      <w:r>
        <w:rPr>
          <w:rFonts w:ascii="SimHei" w:eastAsia="SimHei" w:hint="eastAsia"/>
        </w:rPr>
        <w:t>a</w:t>
      </w:r>
      <w:r>
        <w:rPr>
          <w:rFonts w:ascii="SimHei" w:eastAsia="SimHei" w:hint="eastAsia"/>
        </w:rPr>
        <w:t>）</w:t>
      </w:r>
      <w:r>
        <w:rPr>
          <w:rStyle w:val="FootnoteReference"/>
          <w:rFonts w:ascii="SimHei" w:eastAsia="SimHei"/>
          <w:color w:val="000000"/>
          <w:szCs w:val="21"/>
        </w:rPr>
        <w:footnoteReference w:id="20"/>
      </w:r>
    </w:p>
    <w:p w:rsidR="00000000" w:rsidRDefault="00457650">
      <w:pPr>
        <w:widowControl/>
        <w:tabs>
          <w:tab w:val="left" w:pos="630"/>
        </w:tabs>
        <w:spacing w:after="240" w:line="360" w:lineRule="exact"/>
        <w:rPr>
          <w:rFonts w:hint="eastAsia"/>
        </w:rPr>
      </w:pPr>
      <w:r>
        <w:rPr>
          <w:rFonts w:hint="eastAsia"/>
        </w:rPr>
        <w:t>456.</w:t>
      </w:r>
      <w:r>
        <w:rPr>
          <w:rFonts w:hint="eastAsia"/>
        </w:rPr>
        <w:tab/>
        <w:t>2003</w:t>
      </w:r>
      <w:r>
        <w:rPr>
          <w:rFonts w:hint="eastAsia"/>
        </w:rPr>
        <w:t>年</w:t>
      </w:r>
      <w:r>
        <w:rPr>
          <w:rFonts w:hint="eastAsia"/>
        </w:rPr>
        <w:t>12</w:t>
      </w:r>
      <w:r>
        <w:rPr>
          <w:rFonts w:hint="eastAsia"/>
        </w:rPr>
        <w:t>月，国家、州和市级住房部门报告进行了</w:t>
      </w:r>
      <w:r>
        <w:rPr>
          <w:rFonts w:hint="eastAsia"/>
        </w:rPr>
        <w:t>627 694</w:t>
      </w:r>
      <w:r>
        <w:rPr>
          <w:rFonts w:hint="eastAsia"/>
        </w:rPr>
        <w:t>次贷款，其中</w:t>
      </w:r>
      <w:r>
        <w:rPr>
          <w:rFonts w:hint="eastAsia"/>
        </w:rPr>
        <w:t>72.2%</w:t>
      </w:r>
      <w:r>
        <w:rPr>
          <w:rFonts w:hint="eastAsia"/>
        </w:rPr>
        <w:t>用于购买住房，</w:t>
      </w:r>
      <w:r>
        <w:rPr>
          <w:rFonts w:hint="eastAsia"/>
        </w:rPr>
        <w:t>27.8%</w:t>
      </w:r>
      <w:r>
        <w:rPr>
          <w:rFonts w:hint="eastAsia"/>
        </w:rPr>
        <w:t>用于改善住房和其他用途。贷款总额</w:t>
      </w:r>
      <w:r>
        <w:rPr>
          <w:rFonts w:hint="eastAsia"/>
        </w:rPr>
        <w:t>1 188</w:t>
      </w:r>
      <w:r>
        <w:t>.</w:t>
      </w:r>
      <w:r>
        <w:rPr>
          <w:rFonts w:hint="eastAsia"/>
        </w:rPr>
        <w:t>28</w:t>
      </w:r>
      <w:r>
        <w:rPr>
          <w:rFonts w:hint="eastAsia"/>
        </w:rPr>
        <w:t>亿比索。</w:t>
      </w:r>
    </w:p>
    <w:p w:rsidR="00000000" w:rsidRDefault="00457650">
      <w:pPr>
        <w:widowControl/>
        <w:tabs>
          <w:tab w:val="left" w:pos="630"/>
        </w:tabs>
        <w:spacing w:after="240" w:line="360" w:lineRule="exact"/>
        <w:rPr>
          <w:rFonts w:hint="eastAsia"/>
        </w:rPr>
      </w:pPr>
      <w:r>
        <w:rPr>
          <w:rFonts w:hint="eastAsia"/>
        </w:rPr>
        <w:t>457.</w:t>
      </w:r>
      <w:r>
        <w:rPr>
          <w:rFonts w:hint="eastAsia"/>
        </w:rPr>
        <w:tab/>
      </w:r>
      <w:r>
        <w:rPr>
          <w:rFonts w:hint="eastAsia"/>
        </w:rPr>
        <w:t>下表显示了联邦各地区的住房需求。</w:t>
      </w:r>
    </w:p>
    <w:p w:rsidR="00000000" w:rsidRDefault="00457650">
      <w:pPr>
        <w:keepNext/>
        <w:widowControl/>
        <w:tabs>
          <w:tab w:val="left" w:pos="720"/>
        </w:tabs>
        <w:spacing w:after="240" w:line="360" w:lineRule="exact"/>
        <w:jc w:val="center"/>
        <w:rPr>
          <w:rFonts w:eastAsia="SimHei" w:hint="eastAsia"/>
        </w:rPr>
      </w:pPr>
      <w:r>
        <w:rPr>
          <w:rFonts w:eastAsia="SimHei" w:hint="eastAsia"/>
        </w:rPr>
        <w:t>各地区的住房需求</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9"/>
        <w:gridCol w:w="2478"/>
        <w:gridCol w:w="2478"/>
        <w:gridCol w:w="2476"/>
      </w:tblGrid>
      <w:tr w:rsidR="00000000">
        <w:trPr>
          <w:cantSplit/>
          <w:tblHeader/>
        </w:trPr>
        <w:tc>
          <w:tcPr>
            <w:tcW w:w="1224" w:type="pct"/>
            <w:vMerge w:val="restart"/>
            <w:vAlign w:val="center"/>
          </w:tcPr>
          <w:p w:rsidR="00000000" w:rsidRDefault="00457650">
            <w:pPr>
              <w:pStyle w:val="Header"/>
              <w:keepNext/>
              <w:widowControl/>
              <w:pBdr>
                <w:bottom w:val="none" w:sz="0" w:space="0" w:color="auto"/>
              </w:pBdr>
              <w:tabs>
                <w:tab w:val="clear" w:pos="4320"/>
                <w:tab w:val="clear" w:pos="8640"/>
                <w:tab w:val="left" w:pos="720"/>
              </w:tabs>
              <w:spacing w:after="240" w:line="360" w:lineRule="exact"/>
              <w:rPr>
                <w:rFonts w:ascii="KaiTi_GB2312" w:eastAsia="KaiTi_GB2312" w:hint="eastAsia"/>
                <w:iCs/>
              </w:rPr>
            </w:pPr>
            <w:r>
              <w:rPr>
                <w:rFonts w:ascii="KaiTi_GB2312" w:eastAsia="KaiTi_GB2312" w:hint="eastAsia"/>
                <w:iCs/>
              </w:rPr>
              <w:t>地区</w:t>
            </w:r>
          </w:p>
        </w:tc>
        <w:tc>
          <w:tcPr>
            <w:tcW w:w="3776" w:type="pct"/>
            <w:gridSpan w:val="3"/>
            <w:vAlign w:val="center"/>
          </w:tcPr>
          <w:p w:rsidR="00000000" w:rsidRDefault="00457650">
            <w:pPr>
              <w:keepNext/>
              <w:widowControl/>
              <w:tabs>
                <w:tab w:val="left" w:pos="720"/>
              </w:tabs>
              <w:spacing w:after="240" w:line="360" w:lineRule="exact"/>
              <w:jc w:val="center"/>
              <w:rPr>
                <w:rFonts w:ascii="KaiTi_GB2312" w:eastAsia="KaiTi_GB2312" w:hint="eastAsia"/>
                <w:iCs/>
                <w:sz w:val="18"/>
              </w:rPr>
            </w:pPr>
            <w:r>
              <w:rPr>
                <w:rFonts w:ascii="KaiTi_GB2312" w:eastAsia="KaiTi_GB2312" w:hint="eastAsia"/>
                <w:iCs/>
                <w:sz w:val="18"/>
              </w:rPr>
              <w:t>2004</w:t>
            </w:r>
            <w:r>
              <w:rPr>
                <w:rFonts w:ascii="KaiTi_GB2312" w:eastAsia="KaiTi_GB2312" w:hint="eastAsia"/>
                <w:iCs/>
                <w:sz w:val="18"/>
              </w:rPr>
              <w:t>年</w:t>
            </w:r>
          </w:p>
        </w:tc>
      </w:tr>
      <w:tr w:rsidR="00000000">
        <w:trPr>
          <w:cantSplit/>
          <w:tblHeader/>
        </w:trPr>
        <w:tc>
          <w:tcPr>
            <w:tcW w:w="1224" w:type="pct"/>
            <w:vMerge/>
            <w:vAlign w:val="center"/>
          </w:tcPr>
          <w:p w:rsidR="00000000" w:rsidRDefault="00457650">
            <w:pPr>
              <w:keepNext/>
              <w:widowControl/>
              <w:tabs>
                <w:tab w:val="left" w:pos="720"/>
              </w:tabs>
              <w:spacing w:after="240" w:line="360" w:lineRule="exact"/>
              <w:rPr>
                <w:rFonts w:ascii="KaiTi_GB2312" w:eastAsia="KaiTi_GB2312" w:hint="eastAsia"/>
                <w:iCs/>
                <w:sz w:val="18"/>
              </w:rPr>
            </w:pPr>
          </w:p>
        </w:tc>
        <w:tc>
          <w:tcPr>
            <w:tcW w:w="1259" w:type="pct"/>
            <w:vAlign w:val="center"/>
          </w:tcPr>
          <w:p w:rsidR="00000000" w:rsidRDefault="00457650">
            <w:pPr>
              <w:keepNext/>
              <w:widowControl/>
              <w:tabs>
                <w:tab w:val="left" w:pos="720"/>
              </w:tabs>
              <w:spacing w:after="240" w:line="360" w:lineRule="exact"/>
              <w:jc w:val="center"/>
              <w:rPr>
                <w:rFonts w:ascii="KaiTi_GB2312" w:eastAsia="KaiTi_GB2312" w:hint="eastAsia"/>
                <w:iCs/>
                <w:sz w:val="18"/>
              </w:rPr>
            </w:pPr>
            <w:r>
              <w:rPr>
                <w:rFonts w:ascii="KaiTi_GB2312" w:eastAsia="KaiTi_GB2312" w:hint="eastAsia"/>
                <w:iCs/>
                <w:sz w:val="18"/>
              </w:rPr>
              <w:t>新住房</w:t>
            </w:r>
          </w:p>
        </w:tc>
        <w:tc>
          <w:tcPr>
            <w:tcW w:w="1259" w:type="pct"/>
            <w:vAlign w:val="center"/>
          </w:tcPr>
          <w:p w:rsidR="00000000" w:rsidRDefault="00457650">
            <w:pPr>
              <w:keepNext/>
              <w:widowControl/>
              <w:tabs>
                <w:tab w:val="left" w:pos="720"/>
              </w:tabs>
              <w:spacing w:after="240" w:line="360" w:lineRule="exact"/>
              <w:jc w:val="center"/>
              <w:rPr>
                <w:rFonts w:ascii="KaiTi_GB2312" w:eastAsia="KaiTi_GB2312" w:hint="eastAsia"/>
                <w:iCs/>
                <w:sz w:val="18"/>
              </w:rPr>
            </w:pPr>
            <w:r>
              <w:rPr>
                <w:rFonts w:ascii="KaiTi_GB2312" w:eastAsia="KaiTi_GB2312" w:hint="eastAsia"/>
                <w:iCs/>
                <w:sz w:val="18"/>
              </w:rPr>
              <w:t>改善住房</w:t>
            </w:r>
          </w:p>
        </w:tc>
        <w:tc>
          <w:tcPr>
            <w:tcW w:w="1259" w:type="pct"/>
            <w:vAlign w:val="center"/>
          </w:tcPr>
          <w:p w:rsidR="00000000" w:rsidRDefault="00457650">
            <w:pPr>
              <w:keepNext/>
              <w:widowControl/>
              <w:tabs>
                <w:tab w:val="left" w:pos="720"/>
              </w:tabs>
              <w:spacing w:after="240" w:line="360" w:lineRule="exact"/>
              <w:jc w:val="center"/>
              <w:rPr>
                <w:rFonts w:ascii="KaiTi_GB2312" w:eastAsia="KaiTi_GB2312" w:hint="eastAsia"/>
                <w:iCs/>
                <w:sz w:val="18"/>
              </w:rPr>
            </w:pPr>
            <w:r>
              <w:rPr>
                <w:rFonts w:ascii="KaiTi_GB2312" w:eastAsia="KaiTi_GB2312" w:hint="eastAsia"/>
                <w:iCs/>
                <w:sz w:val="18"/>
              </w:rPr>
              <w:t>共计</w:t>
            </w:r>
          </w:p>
        </w:tc>
      </w:tr>
      <w:tr w:rsidR="00000000">
        <w:tc>
          <w:tcPr>
            <w:tcW w:w="1224" w:type="pct"/>
          </w:tcPr>
          <w:p w:rsidR="00000000" w:rsidRDefault="00457650">
            <w:pPr>
              <w:widowControl/>
              <w:tabs>
                <w:tab w:val="left" w:pos="720"/>
              </w:tabs>
              <w:spacing w:after="120" w:line="340" w:lineRule="exact"/>
              <w:rPr>
                <w:rFonts w:hint="eastAsia"/>
                <w:sz w:val="18"/>
              </w:rPr>
            </w:pPr>
            <w:r>
              <w:rPr>
                <w:rFonts w:hint="eastAsia"/>
                <w:sz w:val="18"/>
              </w:rPr>
              <w:t>全国</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707 273</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380 941</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1 088 214</w:t>
            </w:r>
          </w:p>
        </w:tc>
      </w:tr>
      <w:tr w:rsidR="00000000">
        <w:tc>
          <w:tcPr>
            <w:tcW w:w="1224" w:type="pct"/>
          </w:tcPr>
          <w:p w:rsidR="00000000" w:rsidRDefault="00457650">
            <w:pPr>
              <w:widowControl/>
              <w:tabs>
                <w:tab w:val="left" w:pos="720"/>
              </w:tabs>
              <w:spacing w:after="120" w:line="340" w:lineRule="exact"/>
              <w:rPr>
                <w:rFonts w:hint="eastAsia"/>
                <w:sz w:val="18"/>
              </w:rPr>
            </w:pPr>
            <w:r>
              <w:rPr>
                <w:rFonts w:hint="eastAsia"/>
                <w:sz w:val="18"/>
              </w:rPr>
              <w:t>阿瓜斯卡连特斯</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8 387</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3 324</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11 711</w:t>
            </w:r>
          </w:p>
        </w:tc>
      </w:tr>
      <w:tr w:rsidR="00000000">
        <w:tc>
          <w:tcPr>
            <w:tcW w:w="1224" w:type="pct"/>
          </w:tcPr>
          <w:p w:rsidR="00000000" w:rsidRDefault="00457650">
            <w:pPr>
              <w:widowControl/>
              <w:tabs>
                <w:tab w:val="left" w:pos="720"/>
              </w:tabs>
              <w:spacing w:after="120" w:line="340" w:lineRule="exact"/>
              <w:rPr>
                <w:rFonts w:hint="eastAsia"/>
                <w:sz w:val="18"/>
              </w:rPr>
            </w:pPr>
            <w:r>
              <w:rPr>
                <w:rFonts w:hint="eastAsia"/>
                <w:sz w:val="18"/>
              </w:rPr>
              <w:t>下加利福尼亚</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48 021</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10 245</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58 266</w:t>
            </w:r>
          </w:p>
        </w:tc>
      </w:tr>
      <w:tr w:rsidR="00000000">
        <w:tc>
          <w:tcPr>
            <w:tcW w:w="1224" w:type="pct"/>
          </w:tcPr>
          <w:p w:rsidR="00000000" w:rsidRDefault="00457650">
            <w:pPr>
              <w:widowControl/>
              <w:tabs>
                <w:tab w:val="left" w:pos="720"/>
              </w:tabs>
              <w:spacing w:after="120" w:line="340" w:lineRule="exact"/>
              <w:rPr>
                <w:rFonts w:hint="eastAsia"/>
                <w:sz w:val="18"/>
              </w:rPr>
            </w:pPr>
            <w:r>
              <w:rPr>
                <w:sz w:val="18"/>
              </w:rPr>
              <w:t>南下加</w:t>
            </w:r>
            <w:r>
              <w:rPr>
                <w:rFonts w:hint="eastAsia"/>
                <w:sz w:val="18"/>
              </w:rPr>
              <w:t>利</w:t>
            </w:r>
            <w:r>
              <w:rPr>
                <w:sz w:val="18"/>
              </w:rPr>
              <w:t>福尼亚</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6 874</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1 556</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8 430</w:t>
            </w:r>
          </w:p>
        </w:tc>
      </w:tr>
      <w:tr w:rsidR="00000000">
        <w:tc>
          <w:tcPr>
            <w:tcW w:w="1224" w:type="pct"/>
          </w:tcPr>
          <w:p w:rsidR="00000000" w:rsidRDefault="00457650">
            <w:pPr>
              <w:widowControl/>
              <w:tabs>
                <w:tab w:val="left" w:pos="720"/>
              </w:tabs>
              <w:spacing w:after="120" w:line="340" w:lineRule="exact"/>
              <w:rPr>
                <w:rFonts w:hint="eastAsia"/>
                <w:sz w:val="18"/>
              </w:rPr>
            </w:pPr>
            <w:r>
              <w:rPr>
                <w:rFonts w:hint="eastAsia"/>
                <w:sz w:val="18"/>
              </w:rPr>
              <w:t>坎佩切</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7 879</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2 852</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10 731</w:t>
            </w:r>
          </w:p>
        </w:tc>
      </w:tr>
      <w:tr w:rsidR="00000000">
        <w:tc>
          <w:tcPr>
            <w:tcW w:w="1224" w:type="pct"/>
          </w:tcPr>
          <w:p w:rsidR="00000000" w:rsidRDefault="00457650">
            <w:pPr>
              <w:widowControl/>
              <w:tabs>
                <w:tab w:val="left" w:pos="720"/>
              </w:tabs>
              <w:spacing w:after="120" w:line="340" w:lineRule="exact"/>
              <w:rPr>
                <w:rFonts w:hint="eastAsia"/>
                <w:sz w:val="18"/>
              </w:rPr>
            </w:pPr>
            <w:r>
              <w:rPr>
                <w:sz w:val="18"/>
              </w:rPr>
              <w:t>科阿韦拉</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14 820</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9 518</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24 338</w:t>
            </w:r>
          </w:p>
        </w:tc>
      </w:tr>
      <w:tr w:rsidR="00000000">
        <w:tc>
          <w:tcPr>
            <w:tcW w:w="1224" w:type="pct"/>
          </w:tcPr>
          <w:p w:rsidR="00000000" w:rsidRDefault="00457650">
            <w:pPr>
              <w:widowControl/>
              <w:tabs>
                <w:tab w:val="left" w:pos="720"/>
              </w:tabs>
              <w:spacing w:after="120" w:line="340" w:lineRule="exact"/>
              <w:rPr>
                <w:rFonts w:hint="eastAsia"/>
                <w:sz w:val="18"/>
              </w:rPr>
            </w:pPr>
            <w:r>
              <w:rPr>
                <w:sz w:val="18"/>
              </w:rPr>
              <w:t>科利马</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3 393</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1 814</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5 207</w:t>
            </w:r>
          </w:p>
        </w:tc>
      </w:tr>
      <w:tr w:rsidR="00000000">
        <w:tc>
          <w:tcPr>
            <w:tcW w:w="1224" w:type="pct"/>
          </w:tcPr>
          <w:p w:rsidR="00000000" w:rsidRDefault="00457650">
            <w:pPr>
              <w:widowControl/>
              <w:tabs>
                <w:tab w:val="left" w:pos="720"/>
              </w:tabs>
              <w:spacing w:after="120" w:line="340" w:lineRule="exact"/>
              <w:rPr>
                <w:rFonts w:hint="eastAsia"/>
                <w:sz w:val="18"/>
              </w:rPr>
            </w:pPr>
            <w:r>
              <w:rPr>
                <w:rFonts w:hint="eastAsia"/>
                <w:sz w:val="18"/>
              </w:rPr>
              <w:t>恰帕斯</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34 612</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15 445</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50 057</w:t>
            </w:r>
          </w:p>
        </w:tc>
      </w:tr>
      <w:tr w:rsidR="00000000">
        <w:tc>
          <w:tcPr>
            <w:tcW w:w="1224" w:type="pct"/>
          </w:tcPr>
          <w:p w:rsidR="00000000" w:rsidRDefault="00457650">
            <w:pPr>
              <w:widowControl/>
              <w:tabs>
                <w:tab w:val="left" w:pos="720"/>
              </w:tabs>
              <w:spacing w:after="120" w:line="340" w:lineRule="exact"/>
              <w:rPr>
                <w:rFonts w:hint="eastAsia"/>
                <w:sz w:val="18"/>
              </w:rPr>
            </w:pPr>
            <w:r>
              <w:rPr>
                <w:rFonts w:hint="eastAsia"/>
                <w:sz w:val="18"/>
              </w:rPr>
              <w:t>奇瓦瓦</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31 040</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14 226</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45 266</w:t>
            </w:r>
          </w:p>
        </w:tc>
      </w:tr>
      <w:tr w:rsidR="00000000">
        <w:tc>
          <w:tcPr>
            <w:tcW w:w="1224" w:type="pct"/>
          </w:tcPr>
          <w:p w:rsidR="00000000" w:rsidRDefault="00457650">
            <w:pPr>
              <w:widowControl/>
              <w:tabs>
                <w:tab w:val="left" w:pos="720"/>
              </w:tabs>
              <w:spacing w:after="120" w:line="340" w:lineRule="exact"/>
              <w:rPr>
                <w:rFonts w:hint="eastAsia"/>
                <w:sz w:val="18"/>
              </w:rPr>
            </w:pPr>
            <w:r>
              <w:rPr>
                <w:rFonts w:hint="eastAsia"/>
                <w:sz w:val="18"/>
              </w:rPr>
              <w:t>联邦区</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37 179</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4</w:t>
            </w:r>
            <w:r>
              <w:rPr>
                <w:sz w:val="18"/>
              </w:rPr>
              <w:t>5 040</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82 219</w:t>
            </w:r>
          </w:p>
        </w:tc>
      </w:tr>
      <w:tr w:rsidR="00000000">
        <w:tc>
          <w:tcPr>
            <w:tcW w:w="1224" w:type="pct"/>
          </w:tcPr>
          <w:p w:rsidR="00000000" w:rsidRDefault="00457650">
            <w:pPr>
              <w:widowControl/>
              <w:tabs>
                <w:tab w:val="left" w:pos="720"/>
              </w:tabs>
              <w:spacing w:after="120" w:line="340" w:lineRule="exact"/>
              <w:rPr>
                <w:rFonts w:hint="eastAsia"/>
                <w:sz w:val="18"/>
              </w:rPr>
            </w:pPr>
            <w:r>
              <w:rPr>
                <w:rFonts w:hint="eastAsia"/>
                <w:sz w:val="18"/>
              </w:rPr>
              <w:t>杜兰戈</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824</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2 578</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3 402</w:t>
            </w:r>
          </w:p>
        </w:tc>
      </w:tr>
      <w:tr w:rsidR="00000000">
        <w:tc>
          <w:tcPr>
            <w:tcW w:w="1224" w:type="pct"/>
          </w:tcPr>
          <w:p w:rsidR="00000000" w:rsidRDefault="00457650">
            <w:pPr>
              <w:widowControl/>
              <w:tabs>
                <w:tab w:val="left" w:pos="720"/>
              </w:tabs>
              <w:spacing w:after="120" w:line="340" w:lineRule="exact"/>
              <w:rPr>
                <w:rFonts w:hint="eastAsia"/>
                <w:sz w:val="18"/>
              </w:rPr>
            </w:pPr>
            <w:r>
              <w:rPr>
                <w:sz w:val="18"/>
              </w:rPr>
              <w:t>瓜纳华托</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21 681</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16 596</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38 277</w:t>
            </w:r>
          </w:p>
        </w:tc>
      </w:tr>
      <w:tr w:rsidR="00000000">
        <w:tc>
          <w:tcPr>
            <w:tcW w:w="1224" w:type="pct"/>
          </w:tcPr>
          <w:p w:rsidR="00000000" w:rsidRDefault="00457650">
            <w:pPr>
              <w:widowControl/>
              <w:tabs>
                <w:tab w:val="left" w:pos="720"/>
              </w:tabs>
              <w:spacing w:after="120" w:line="340" w:lineRule="exact"/>
              <w:rPr>
                <w:rFonts w:hint="eastAsia"/>
                <w:sz w:val="18"/>
              </w:rPr>
            </w:pPr>
            <w:r>
              <w:rPr>
                <w:sz w:val="18"/>
              </w:rPr>
              <w:t>格雷罗</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5 099</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8 257</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13 356</w:t>
            </w:r>
          </w:p>
        </w:tc>
      </w:tr>
      <w:tr w:rsidR="00000000">
        <w:tc>
          <w:tcPr>
            <w:tcW w:w="1224" w:type="pct"/>
          </w:tcPr>
          <w:p w:rsidR="00000000" w:rsidRDefault="00457650">
            <w:pPr>
              <w:widowControl/>
              <w:tabs>
                <w:tab w:val="left" w:pos="720"/>
              </w:tabs>
              <w:spacing w:after="120" w:line="340" w:lineRule="exact"/>
              <w:rPr>
                <w:rFonts w:hint="eastAsia"/>
                <w:sz w:val="18"/>
              </w:rPr>
            </w:pPr>
            <w:r>
              <w:rPr>
                <w:rFonts w:hint="eastAsia"/>
                <w:sz w:val="18"/>
              </w:rPr>
              <w:t>伊达尔戈</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11 753</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8 821</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20 574</w:t>
            </w:r>
          </w:p>
        </w:tc>
      </w:tr>
      <w:tr w:rsidR="00000000">
        <w:tc>
          <w:tcPr>
            <w:tcW w:w="1224" w:type="pct"/>
          </w:tcPr>
          <w:p w:rsidR="00000000" w:rsidRDefault="00457650">
            <w:pPr>
              <w:widowControl/>
              <w:tabs>
                <w:tab w:val="left" w:pos="720"/>
              </w:tabs>
              <w:spacing w:after="120" w:line="340" w:lineRule="exact"/>
              <w:rPr>
                <w:rFonts w:hint="eastAsia"/>
                <w:sz w:val="18"/>
              </w:rPr>
            </w:pPr>
            <w:r>
              <w:rPr>
                <w:sz w:val="18"/>
              </w:rPr>
              <w:t>哈利斯科</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46 723</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25 585</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72 308</w:t>
            </w:r>
          </w:p>
        </w:tc>
      </w:tr>
      <w:tr w:rsidR="00000000">
        <w:tc>
          <w:tcPr>
            <w:tcW w:w="1224" w:type="pct"/>
          </w:tcPr>
          <w:p w:rsidR="00000000" w:rsidRDefault="00457650">
            <w:pPr>
              <w:widowControl/>
              <w:tabs>
                <w:tab w:val="left" w:pos="720"/>
              </w:tabs>
              <w:spacing w:after="120" w:line="340" w:lineRule="exact"/>
              <w:rPr>
                <w:rFonts w:hint="eastAsia"/>
                <w:sz w:val="18"/>
              </w:rPr>
            </w:pPr>
            <w:r>
              <w:rPr>
                <w:rFonts w:hint="eastAsia"/>
                <w:sz w:val="18"/>
              </w:rPr>
              <w:t>墨西哥</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148 777</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46 193</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194 970</w:t>
            </w:r>
          </w:p>
        </w:tc>
      </w:tr>
      <w:tr w:rsidR="00000000">
        <w:tc>
          <w:tcPr>
            <w:tcW w:w="1224" w:type="pct"/>
          </w:tcPr>
          <w:p w:rsidR="00000000" w:rsidRDefault="00457650">
            <w:pPr>
              <w:widowControl/>
              <w:tabs>
                <w:tab w:val="left" w:pos="720"/>
              </w:tabs>
              <w:spacing w:after="120" w:line="340" w:lineRule="exact"/>
              <w:rPr>
                <w:rFonts w:hint="eastAsia"/>
                <w:sz w:val="18"/>
              </w:rPr>
            </w:pPr>
            <w:r>
              <w:rPr>
                <w:rFonts w:hint="eastAsia"/>
                <w:sz w:val="18"/>
              </w:rPr>
              <w:t>米却肯</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2 650</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6 301</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8 951</w:t>
            </w:r>
          </w:p>
        </w:tc>
      </w:tr>
      <w:tr w:rsidR="00000000">
        <w:tc>
          <w:tcPr>
            <w:tcW w:w="1224" w:type="pct"/>
          </w:tcPr>
          <w:p w:rsidR="00000000" w:rsidRDefault="00457650">
            <w:pPr>
              <w:widowControl/>
              <w:tabs>
                <w:tab w:val="left" w:pos="720"/>
              </w:tabs>
              <w:spacing w:after="120" w:line="340" w:lineRule="exact"/>
              <w:rPr>
                <w:rFonts w:hint="eastAsia"/>
                <w:sz w:val="18"/>
              </w:rPr>
            </w:pPr>
            <w:r>
              <w:rPr>
                <w:sz w:val="18"/>
              </w:rPr>
              <w:t>莫雷洛斯</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13 211</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6 248</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19 459</w:t>
            </w:r>
          </w:p>
        </w:tc>
      </w:tr>
      <w:tr w:rsidR="00000000">
        <w:tc>
          <w:tcPr>
            <w:tcW w:w="1224" w:type="pct"/>
          </w:tcPr>
          <w:p w:rsidR="00000000" w:rsidRDefault="00457650">
            <w:pPr>
              <w:widowControl/>
              <w:tabs>
                <w:tab w:val="left" w:pos="720"/>
              </w:tabs>
              <w:spacing w:after="120" w:line="340" w:lineRule="exact"/>
              <w:rPr>
                <w:rFonts w:hint="eastAsia"/>
                <w:sz w:val="18"/>
              </w:rPr>
            </w:pPr>
            <w:r>
              <w:rPr>
                <w:sz w:val="18"/>
              </w:rPr>
              <w:t>纳亚里特</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2 788</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3 607</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6 395</w:t>
            </w:r>
          </w:p>
        </w:tc>
      </w:tr>
      <w:tr w:rsidR="00000000">
        <w:tc>
          <w:tcPr>
            <w:tcW w:w="1224" w:type="pct"/>
          </w:tcPr>
          <w:p w:rsidR="00000000" w:rsidRDefault="00457650">
            <w:pPr>
              <w:widowControl/>
              <w:tabs>
                <w:tab w:val="left" w:pos="720"/>
              </w:tabs>
              <w:spacing w:after="120" w:line="340" w:lineRule="exact"/>
              <w:rPr>
                <w:rFonts w:hint="eastAsia"/>
                <w:sz w:val="18"/>
              </w:rPr>
            </w:pPr>
            <w:r>
              <w:rPr>
                <w:sz w:val="18"/>
              </w:rPr>
              <w:t>新莱昂</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30 752</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15 87</w:t>
            </w:r>
            <w:r>
              <w:rPr>
                <w:sz w:val="18"/>
              </w:rPr>
              <w:t>3</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46 625</w:t>
            </w:r>
          </w:p>
        </w:tc>
      </w:tr>
      <w:tr w:rsidR="00000000">
        <w:tc>
          <w:tcPr>
            <w:tcW w:w="1224" w:type="pct"/>
          </w:tcPr>
          <w:p w:rsidR="00000000" w:rsidRDefault="00457650">
            <w:pPr>
              <w:widowControl/>
              <w:tabs>
                <w:tab w:val="left" w:pos="720"/>
              </w:tabs>
              <w:spacing w:after="120" w:line="340" w:lineRule="exact"/>
              <w:rPr>
                <w:rFonts w:hint="eastAsia"/>
                <w:sz w:val="18"/>
              </w:rPr>
            </w:pPr>
            <w:r>
              <w:rPr>
                <w:rFonts w:hint="eastAsia"/>
                <w:sz w:val="18"/>
              </w:rPr>
              <w:t>瓦哈卡</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14 864</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13 883</w:t>
            </w:r>
          </w:p>
        </w:tc>
        <w:tc>
          <w:tcPr>
            <w:tcW w:w="1259" w:type="pct"/>
          </w:tcPr>
          <w:p w:rsidR="00000000" w:rsidRDefault="00457650" w:rsidP="00457650">
            <w:pPr>
              <w:widowControl/>
              <w:tabs>
                <w:tab w:val="left" w:pos="720"/>
              </w:tabs>
              <w:spacing w:after="120" w:line="340" w:lineRule="exact"/>
              <w:ind w:rightChars="390" w:right="31680"/>
              <w:jc w:val="right"/>
              <w:rPr>
                <w:sz w:val="18"/>
              </w:rPr>
            </w:pPr>
            <w:r>
              <w:rPr>
                <w:sz w:val="18"/>
              </w:rPr>
              <w:t>28 747</w:t>
            </w:r>
          </w:p>
        </w:tc>
      </w:tr>
      <w:tr w:rsidR="00000000">
        <w:tc>
          <w:tcPr>
            <w:tcW w:w="1224" w:type="pct"/>
          </w:tcPr>
          <w:p w:rsidR="00000000" w:rsidRDefault="00457650">
            <w:pPr>
              <w:widowControl/>
              <w:tabs>
                <w:tab w:val="left" w:pos="720"/>
              </w:tabs>
              <w:spacing w:after="120" w:line="320" w:lineRule="exact"/>
              <w:rPr>
                <w:rFonts w:hint="eastAsia"/>
                <w:sz w:val="18"/>
              </w:rPr>
            </w:pPr>
            <w:r>
              <w:rPr>
                <w:sz w:val="18"/>
              </w:rPr>
              <w:t>普埃布拉</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35 063</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19 926</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54 989</w:t>
            </w:r>
          </w:p>
        </w:tc>
      </w:tr>
      <w:tr w:rsidR="00000000">
        <w:tc>
          <w:tcPr>
            <w:tcW w:w="1224" w:type="pct"/>
          </w:tcPr>
          <w:p w:rsidR="00000000" w:rsidRDefault="00457650">
            <w:pPr>
              <w:widowControl/>
              <w:tabs>
                <w:tab w:val="left" w:pos="720"/>
              </w:tabs>
              <w:spacing w:after="120" w:line="320" w:lineRule="exact"/>
              <w:rPr>
                <w:rFonts w:hint="eastAsia"/>
                <w:sz w:val="18"/>
              </w:rPr>
            </w:pPr>
            <w:r>
              <w:rPr>
                <w:sz w:val="18"/>
              </w:rPr>
              <w:t>克雷塔罗</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12 375</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5 028</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17 403</w:t>
            </w:r>
          </w:p>
        </w:tc>
      </w:tr>
      <w:tr w:rsidR="00000000">
        <w:tc>
          <w:tcPr>
            <w:tcW w:w="1224" w:type="pct"/>
          </w:tcPr>
          <w:p w:rsidR="00000000" w:rsidRDefault="00457650">
            <w:pPr>
              <w:widowControl/>
              <w:tabs>
                <w:tab w:val="left" w:pos="720"/>
              </w:tabs>
              <w:spacing w:after="120" w:line="320" w:lineRule="exact"/>
              <w:rPr>
                <w:rFonts w:hint="eastAsia"/>
                <w:sz w:val="18"/>
              </w:rPr>
            </w:pPr>
            <w:r>
              <w:rPr>
                <w:sz w:val="18"/>
              </w:rPr>
              <w:t>金塔纳罗奥</w:t>
            </w:r>
            <w:r>
              <w:rPr>
                <w:sz w:val="18"/>
              </w:rPr>
              <w:t> </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19 953</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3 007</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22 960</w:t>
            </w:r>
          </w:p>
        </w:tc>
      </w:tr>
      <w:tr w:rsidR="00000000">
        <w:tc>
          <w:tcPr>
            <w:tcW w:w="1224" w:type="pct"/>
          </w:tcPr>
          <w:p w:rsidR="00000000" w:rsidRDefault="00457650">
            <w:pPr>
              <w:pStyle w:val="a3"/>
              <w:widowControl/>
              <w:tabs>
                <w:tab w:val="left" w:pos="720"/>
              </w:tabs>
              <w:adjustRightInd w:val="0"/>
              <w:spacing w:after="120" w:line="320" w:lineRule="exact"/>
              <w:textAlignment w:val="baseline"/>
              <w:rPr>
                <w:rFonts w:hint="eastAsia"/>
                <w:kern w:val="0"/>
                <w:szCs w:val="20"/>
              </w:rPr>
            </w:pPr>
            <w:r>
              <w:rPr>
                <w:rFonts w:hint="eastAsia"/>
                <w:kern w:val="0"/>
                <w:szCs w:val="20"/>
              </w:rPr>
              <w:t>圣路易斯波托亚</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11 177</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9 068</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20 245</w:t>
            </w:r>
          </w:p>
        </w:tc>
      </w:tr>
      <w:tr w:rsidR="00000000">
        <w:tc>
          <w:tcPr>
            <w:tcW w:w="1224" w:type="pct"/>
          </w:tcPr>
          <w:p w:rsidR="00000000" w:rsidRDefault="00457650">
            <w:pPr>
              <w:widowControl/>
              <w:tabs>
                <w:tab w:val="left" w:pos="720"/>
              </w:tabs>
              <w:spacing w:after="120" w:line="320" w:lineRule="exact"/>
              <w:rPr>
                <w:rFonts w:hint="eastAsia"/>
                <w:sz w:val="18"/>
              </w:rPr>
            </w:pPr>
            <w:r>
              <w:rPr>
                <w:rFonts w:hint="eastAsia"/>
                <w:sz w:val="18"/>
              </w:rPr>
              <w:t>锡那罗亚</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10 919</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9 964</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20 883</w:t>
            </w:r>
          </w:p>
        </w:tc>
      </w:tr>
      <w:tr w:rsidR="00000000">
        <w:tc>
          <w:tcPr>
            <w:tcW w:w="1224" w:type="pct"/>
          </w:tcPr>
          <w:p w:rsidR="00000000" w:rsidRDefault="00457650">
            <w:pPr>
              <w:widowControl/>
              <w:tabs>
                <w:tab w:val="left" w:pos="720"/>
              </w:tabs>
              <w:spacing w:after="120" w:line="320" w:lineRule="exact"/>
              <w:rPr>
                <w:rFonts w:hint="eastAsia"/>
                <w:sz w:val="18"/>
              </w:rPr>
            </w:pPr>
            <w:r>
              <w:rPr>
                <w:rFonts w:hint="eastAsia"/>
                <w:sz w:val="18"/>
              </w:rPr>
              <w:t>索诺拉</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18 753</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9 867</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28 620</w:t>
            </w:r>
          </w:p>
        </w:tc>
      </w:tr>
      <w:tr w:rsidR="00000000">
        <w:tc>
          <w:tcPr>
            <w:tcW w:w="1224" w:type="pct"/>
          </w:tcPr>
          <w:p w:rsidR="00000000" w:rsidRDefault="00457650">
            <w:pPr>
              <w:widowControl/>
              <w:tabs>
                <w:tab w:val="left" w:pos="720"/>
              </w:tabs>
              <w:spacing w:after="120" w:line="320" w:lineRule="exact"/>
              <w:rPr>
                <w:rFonts w:hint="eastAsia"/>
                <w:sz w:val="18"/>
              </w:rPr>
            </w:pPr>
            <w:r>
              <w:rPr>
                <w:rFonts w:hint="eastAsia"/>
                <w:sz w:val="18"/>
              </w:rPr>
              <w:t>塔巴斯科</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14 667</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7 485</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22 152</w:t>
            </w:r>
          </w:p>
        </w:tc>
      </w:tr>
      <w:tr w:rsidR="00000000">
        <w:tc>
          <w:tcPr>
            <w:tcW w:w="1224" w:type="pct"/>
          </w:tcPr>
          <w:p w:rsidR="00000000" w:rsidRDefault="00457650">
            <w:pPr>
              <w:widowControl/>
              <w:tabs>
                <w:tab w:val="left" w:pos="720"/>
              </w:tabs>
              <w:spacing w:after="120" w:line="320" w:lineRule="exact"/>
              <w:rPr>
                <w:rFonts w:hint="eastAsia"/>
                <w:sz w:val="18"/>
              </w:rPr>
            </w:pPr>
            <w:r>
              <w:rPr>
                <w:sz w:val="18"/>
              </w:rPr>
              <w:t>塔毛利帕斯</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23 253</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12 881</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36 134</w:t>
            </w:r>
          </w:p>
        </w:tc>
      </w:tr>
      <w:tr w:rsidR="00000000">
        <w:tc>
          <w:tcPr>
            <w:tcW w:w="1224" w:type="pct"/>
          </w:tcPr>
          <w:p w:rsidR="00000000" w:rsidRDefault="00457650">
            <w:pPr>
              <w:widowControl/>
              <w:tabs>
                <w:tab w:val="left" w:pos="720"/>
              </w:tabs>
              <w:spacing w:after="120" w:line="320" w:lineRule="exact"/>
              <w:rPr>
                <w:rFonts w:hint="eastAsia"/>
                <w:sz w:val="18"/>
              </w:rPr>
            </w:pPr>
            <w:r>
              <w:rPr>
                <w:rFonts w:hint="eastAsia"/>
                <w:sz w:val="18"/>
              </w:rPr>
              <w:t>特拉斯卡拉</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8 411</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3 777</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12 188</w:t>
            </w:r>
          </w:p>
        </w:tc>
      </w:tr>
      <w:tr w:rsidR="00000000">
        <w:tc>
          <w:tcPr>
            <w:tcW w:w="1224" w:type="pct"/>
          </w:tcPr>
          <w:p w:rsidR="00000000" w:rsidRDefault="00457650">
            <w:pPr>
              <w:widowControl/>
              <w:tabs>
                <w:tab w:val="left" w:pos="720"/>
              </w:tabs>
              <w:spacing w:after="120" w:line="320" w:lineRule="exact"/>
              <w:rPr>
                <w:rFonts w:hint="eastAsia"/>
                <w:sz w:val="18"/>
              </w:rPr>
            </w:pPr>
            <w:r>
              <w:rPr>
                <w:rFonts w:hint="eastAsia"/>
                <w:sz w:val="18"/>
              </w:rPr>
              <w:t>韦拉克鲁斯</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49 336</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32 823</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82 159</w:t>
            </w:r>
          </w:p>
        </w:tc>
      </w:tr>
      <w:tr w:rsidR="00000000">
        <w:tc>
          <w:tcPr>
            <w:tcW w:w="1224" w:type="pct"/>
          </w:tcPr>
          <w:p w:rsidR="00000000" w:rsidRDefault="00457650">
            <w:pPr>
              <w:widowControl/>
              <w:tabs>
                <w:tab w:val="left" w:pos="720"/>
              </w:tabs>
              <w:spacing w:after="120" w:line="320" w:lineRule="exact"/>
              <w:rPr>
                <w:rFonts w:hint="eastAsia"/>
                <w:sz w:val="18"/>
              </w:rPr>
            </w:pPr>
            <w:r>
              <w:rPr>
                <w:rFonts w:hint="eastAsia"/>
                <w:sz w:val="18"/>
              </w:rPr>
              <w:t>尤卡坦</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11 489</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7 106</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18 595</w:t>
            </w:r>
          </w:p>
        </w:tc>
      </w:tr>
      <w:tr w:rsidR="00000000">
        <w:tc>
          <w:tcPr>
            <w:tcW w:w="1224" w:type="pct"/>
          </w:tcPr>
          <w:p w:rsidR="00000000" w:rsidRDefault="00457650">
            <w:pPr>
              <w:widowControl/>
              <w:tabs>
                <w:tab w:val="left" w:pos="720"/>
              </w:tabs>
              <w:spacing w:after="120" w:line="320" w:lineRule="exact"/>
              <w:rPr>
                <w:rFonts w:hint="eastAsia"/>
                <w:sz w:val="18"/>
              </w:rPr>
            </w:pPr>
            <w:r>
              <w:rPr>
                <w:sz w:val="18"/>
              </w:rPr>
              <w:t>萨卡特卡斯</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550</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2 047</w:t>
            </w:r>
          </w:p>
        </w:tc>
        <w:tc>
          <w:tcPr>
            <w:tcW w:w="1259" w:type="pct"/>
          </w:tcPr>
          <w:p w:rsidR="00000000" w:rsidRDefault="00457650" w:rsidP="00457650">
            <w:pPr>
              <w:widowControl/>
              <w:tabs>
                <w:tab w:val="left" w:pos="720"/>
              </w:tabs>
              <w:spacing w:after="120" w:line="320" w:lineRule="exact"/>
              <w:ind w:rightChars="390" w:right="31680"/>
              <w:jc w:val="right"/>
              <w:rPr>
                <w:sz w:val="18"/>
              </w:rPr>
            </w:pPr>
            <w:r>
              <w:rPr>
                <w:sz w:val="18"/>
              </w:rPr>
              <w:t>2 597</w:t>
            </w:r>
          </w:p>
        </w:tc>
      </w:tr>
    </w:tbl>
    <w:p w:rsidR="00000000" w:rsidRDefault="00457650">
      <w:pPr>
        <w:widowControl/>
        <w:tabs>
          <w:tab w:val="left" w:pos="720"/>
        </w:tabs>
        <w:spacing w:after="240" w:line="360" w:lineRule="exact"/>
        <w:rPr>
          <w:rFonts w:hint="eastAsia"/>
          <w:sz w:val="18"/>
        </w:rPr>
      </w:pPr>
      <w:r>
        <w:rPr>
          <w:rFonts w:eastAsia="KaiTi_GB2312" w:hint="eastAsia"/>
          <w:sz w:val="18"/>
        </w:rPr>
        <w:t>资料来源</w:t>
      </w:r>
      <w:r>
        <w:rPr>
          <w:rFonts w:hint="eastAsia"/>
          <w:sz w:val="18"/>
        </w:rPr>
        <w:t>：国家住房发展委员会。</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44</w:t>
      </w:r>
      <w:r>
        <w:rPr>
          <w:rFonts w:ascii="SimHei" w:eastAsia="SimHei" w:hint="eastAsia"/>
        </w:rPr>
        <w:t>段（</w:t>
      </w:r>
      <w:r>
        <w:rPr>
          <w:rFonts w:ascii="SimHei" w:eastAsia="SimHei" w:hint="eastAsia"/>
        </w:rPr>
        <w:t>b</w:t>
      </w:r>
      <w:r>
        <w:rPr>
          <w:rFonts w:ascii="SimHei" w:eastAsia="SimHei" w:hint="eastAsia"/>
        </w:rPr>
        <w:t>）（一）</w:t>
      </w:r>
    </w:p>
    <w:p w:rsidR="00000000" w:rsidRDefault="00457650">
      <w:pPr>
        <w:widowControl/>
        <w:tabs>
          <w:tab w:val="left" w:pos="630"/>
        </w:tabs>
        <w:spacing w:after="240" w:line="360" w:lineRule="exact"/>
        <w:rPr>
          <w:rFonts w:hint="eastAsia"/>
        </w:rPr>
      </w:pPr>
      <w:r>
        <w:rPr>
          <w:rFonts w:hint="eastAsia"/>
        </w:rPr>
        <w:t>458.</w:t>
      </w:r>
      <w:r>
        <w:rPr>
          <w:rFonts w:hint="eastAsia"/>
        </w:rPr>
        <w:tab/>
      </w:r>
      <w:r>
        <w:rPr>
          <w:rFonts w:hint="eastAsia"/>
        </w:rPr>
        <w:t>根据</w:t>
      </w:r>
      <w:r>
        <w:rPr>
          <w:rFonts w:hint="eastAsia"/>
        </w:rPr>
        <w:t>2000</w:t>
      </w:r>
      <w:r>
        <w:rPr>
          <w:rFonts w:hint="eastAsia"/>
        </w:rPr>
        <w:t>年的数据，所需要的住房供给不足达到</w:t>
      </w:r>
      <w:r>
        <w:rPr>
          <w:rFonts w:hint="eastAsia"/>
        </w:rPr>
        <w:t>4 000 291</w:t>
      </w:r>
      <w:r>
        <w:rPr>
          <w:rFonts w:hint="eastAsia"/>
        </w:rPr>
        <w:t>个，其中包括：</w:t>
      </w:r>
      <w:r>
        <w:rPr>
          <w:rFonts w:hint="eastAsia"/>
        </w:rPr>
        <w:t>181</w:t>
      </w:r>
      <w:r>
        <w:t>.</w:t>
      </w:r>
      <w:r>
        <w:rPr>
          <w:rFonts w:hint="eastAsia"/>
        </w:rPr>
        <w:t>1</w:t>
      </w:r>
      <w:r>
        <w:rPr>
          <w:rFonts w:hint="eastAsia"/>
        </w:rPr>
        <w:t>万个新住房，</w:t>
      </w:r>
      <w:r>
        <w:rPr>
          <w:rFonts w:hint="eastAsia"/>
        </w:rPr>
        <w:t>248</w:t>
      </w:r>
      <w:r>
        <w:rPr>
          <w:rFonts w:hint="eastAsia"/>
        </w:rPr>
        <w:t>万个需修缮、维护或扩大的住房。</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44</w:t>
      </w:r>
      <w:r>
        <w:rPr>
          <w:rFonts w:ascii="SimHei" w:eastAsia="SimHei" w:hint="eastAsia"/>
        </w:rPr>
        <w:t>段（</w:t>
      </w:r>
      <w:r>
        <w:rPr>
          <w:rFonts w:ascii="SimHei" w:eastAsia="SimHei" w:hint="eastAsia"/>
        </w:rPr>
        <w:t>b</w:t>
      </w:r>
      <w:r>
        <w:rPr>
          <w:rFonts w:ascii="SimHei" w:eastAsia="SimHei" w:hint="eastAsia"/>
        </w:rPr>
        <w:t>）（二）</w:t>
      </w:r>
    </w:p>
    <w:p w:rsidR="00000000" w:rsidRDefault="00457650">
      <w:pPr>
        <w:widowControl/>
        <w:tabs>
          <w:tab w:val="left" w:pos="630"/>
        </w:tabs>
        <w:spacing w:after="240" w:line="360" w:lineRule="exact"/>
        <w:rPr>
          <w:rFonts w:hint="eastAsia"/>
        </w:rPr>
      </w:pPr>
      <w:r>
        <w:rPr>
          <w:rFonts w:hint="eastAsia"/>
        </w:rPr>
        <w:t>459.</w:t>
      </w:r>
      <w:r>
        <w:rPr>
          <w:rFonts w:hint="eastAsia"/>
        </w:rPr>
        <w:tab/>
      </w:r>
      <w:r>
        <w:rPr>
          <w:rFonts w:hint="eastAsia"/>
        </w:rPr>
        <w:t>关于基本生活福利设施的供给情况，过去</w:t>
      </w:r>
      <w:r>
        <w:rPr>
          <w:rFonts w:hint="eastAsia"/>
        </w:rPr>
        <w:t>20</w:t>
      </w:r>
      <w:r>
        <w:rPr>
          <w:rFonts w:hint="eastAsia"/>
        </w:rPr>
        <w:t>年来住房设施有了明显的改善。</w:t>
      </w:r>
      <w:r>
        <w:rPr>
          <w:rFonts w:hint="eastAsia"/>
        </w:rPr>
        <w:t>1980</w:t>
      </w:r>
      <w:r>
        <w:rPr>
          <w:rFonts w:hint="eastAsia"/>
        </w:rPr>
        <w:t>年，只有</w:t>
      </w:r>
      <w:r>
        <w:rPr>
          <w:rFonts w:hint="eastAsia"/>
        </w:rPr>
        <w:t>71%</w:t>
      </w:r>
      <w:r>
        <w:rPr>
          <w:rFonts w:hint="eastAsia"/>
        </w:rPr>
        <w:t>的住房有饮用水，</w:t>
      </w:r>
      <w:r>
        <w:rPr>
          <w:rFonts w:hint="eastAsia"/>
        </w:rPr>
        <w:t>51%</w:t>
      </w:r>
      <w:r>
        <w:rPr>
          <w:rFonts w:hint="eastAsia"/>
        </w:rPr>
        <w:t>的有排水设施，</w:t>
      </w:r>
      <w:r>
        <w:rPr>
          <w:rFonts w:hint="eastAsia"/>
        </w:rPr>
        <w:t>75%</w:t>
      </w:r>
      <w:r>
        <w:rPr>
          <w:rFonts w:hint="eastAsia"/>
        </w:rPr>
        <w:t>的有电力供应。到</w:t>
      </w:r>
      <w:r>
        <w:rPr>
          <w:rFonts w:hint="eastAsia"/>
        </w:rPr>
        <w:t>2000</w:t>
      </w:r>
      <w:r>
        <w:rPr>
          <w:rFonts w:hint="eastAsia"/>
        </w:rPr>
        <w:t>年，由于这些基本生活福利设施的改善，</w:t>
      </w:r>
      <w:r>
        <w:rPr>
          <w:rFonts w:hint="eastAsia"/>
        </w:rPr>
        <w:t>89%</w:t>
      </w:r>
      <w:r>
        <w:rPr>
          <w:rFonts w:hint="eastAsia"/>
        </w:rPr>
        <w:t>的住房配备了饮用水，</w:t>
      </w:r>
      <w:r>
        <w:rPr>
          <w:rFonts w:hint="eastAsia"/>
        </w:rPr>
        <w:t>78%</w:t>
      </w:r>
      <w:r>
        <w:rPr>
          <w:rFonts w:hint="eastAsia"/>
        </w:rPr>
        <w:t>配备的下水设施，</w:t>
      </w:r>
      <w:r>
        <w:rPr>
          <w:rFonts w:hint="eastAsia"/>
        </w:rPr>
        <w:t>95%</w:t>
      </w:r>
      <w:r>
        <w:rPr>
          <w:rFonts w:hint="eastAsia"/>
        </w:rPr>
        <w:t>通了电。</w:t>
      </w:r>
    </w:p>
    <w:p w:rsidR="00000000" w:rsidRDefault="00457650">
      <w:pPr>
        <w:widowControl/>
        <w:tabs>
          <w:tab w:val="left" w:pos="630"/>
        </w:tabs>
        <w:spacing w:after="240" w:line="360" w:lineRule="exact"/>
        <w:rPr>
          <w:rFonts w:hint="eastAsia"/>
        </w:rPr>
      </w:pPr>
      <w:r>
        <w:rPr>
          <w:rFonts w:hint="eastAsia"/>
        </w:rPr>
        <w:t>460.</w:t>
      </w:r>
      <w:r>
        <w:rPr>
          <w:rFonts w:hint="eastAsia"/>
        </w:rPr>
        <w:tab/>
      </w:r>
      <w:r>
        <w:rPr>
          <w:rFonts w:hint="eastAsia"/>
        </w:rPr>
        <w:t>但是，这一领域总体上仍然有很多不足，甚至新住房缺少这些配套设施，特别是缺少下水系统，尽管过去</w:t>
      </w:r>
      <w:r>
        <w:rPr>
          <w:rFonts w:hint="eastAsia"/>
        </w:rPr>
        <w:t>20</w:t>
      </w:r>
      <w:r>
        <w:rPr>
          <w:rFonts w:hint="eastAsia"/>
        </w:rPr>
        <w:t>年来缺少该项基本生活福利设施的私人住宅减少了一半，从</w:t>
      </w:r>
      <w:r>
        <w:rPr>
          <w:rFonts w:hint="eastAsia"/>
        </w:rPr>
        <w:t>1980</w:t>
      </w:r>
      <w:r>
        <w:rPr>
          <w:rFonts w:hint="eastAsia"/>
        </w:rPr>
        <w:t>年的</w:t>
      </w:r>
      <w:r>
        <w:rPr>
          <w:rFonts w:hint="eastAsia"/>
        </w:rPr>
        <w:t>42.8%</w:t>
      </w:r>
      <w:r>
        <w:rPr>
          <w:rFonts w:hint="eastAsia"/>
        </w:rPr>
        <w:t>下降到</w:t>
      </w:r>
      <w:r>
        <w:rPr>
          <w:rFonts w:hint="eastAsia"/>
        </w:rPr>
        <w:t>2000</w:t>
      </w:r>
      <w:r>
        <w:rPr>
          <w:rFonts w:hint="eastAsia"/>
        </w:rPr>
        <w:t>年的</w:t>
      </w:r>
      <w:r>
        <w:rPr>
          <w:rFonts w:hint="eastAsia"/>
        </w:rPr>
        <w:t>20.9%</w:t>
      </w:r>
      <w:r>
        <w:rPr>
          <w:rFonts w:hint="eastAsia"/>
        </w:rPr>
        <w:t>。同期缺少管道水的家庭从</w:t>
      </w:r>
      <w:r>
        <w:rPr>
          <w:rFonts w:hint="eastAsia"/>
        </w:rPr>
        <w:t>28.4%</w:t>
      </w:r>
      <w:r>
        <w:rPr>
          <w:rFonts w:hint="eastAsia"/>
        </w:rPr>
        <w:t>下降到</w:t>
      </w:r>
      <w:r>
        <w:rPr>
          <w:rFonts w:hint="eastAsia"/>
        </w:rPr>
        <w:t>10%</w:t>
      </w:r>
      <w:r>
        <w:rPr>
          <w:rFonts w:hint="eastAsia"/>
        </w:rPr>
        <w:t>，而没有电力供应的家庭下降得更多，从</w:t>
      </w:r>
      <w:r>
        <w:rPr>
          <w:rFonts w:hint="eastAsia"/>
        </w:rPr>
        <w:t>21.8%</w:t>
      </w:r>
      <w:r>
        <w:rPr>
          <w:rFonts w:hint="eastAsia"/>
        </w:rPr>
        <w:t>下降到</w:t>
      </w:r>
      <w:r>
        <w:rPr>
          <w:rFonts w:hint="eastAsia"/>
        </w:rPr>
        <w:t>4.5%</w:t>
      </w:r>
      <w:r>
        <w:rPr>
          <w:rFonts w:hint="eastAsia"/>
        </w:rPr>
        <w:t>。</w:t>
      </w:r>
    </w:p>
    <w:p w:rsidR="00000000" w:rsidRDefault="00457650">
      <w:pPr>
        <w:widowControl/>
        <w:tabs>
          <w:tab w:val="left" w:pos="630"/>
        </w:tabs>
        <w:spacing w:after="240" w:line="380" w:lineRule="exact"/>
        <w:rPr>
          <w:rFonts w:hint="eastAsia"/>
        </w:rPr>
      </w:pPr>
      <w:r>
        <w:rPr>
          <w:rFonts w:hint="eastAsia"/>
        </w:rPr>
        <w:t>461.</w:t>
      </w:r>
      <w:r>
        <w:rPr>
          <w:rFonts w:hint="eastAsia"/>
        </w:rPr>
        <w:tab/>
      </w:r>
      <w:r>
        <w:rPr>
          <w:rFonts w:hint="eastAsia"/>
        </w:rPr>
        <w:t>改善住房条件</w:t>
      </w:r>
      <w:r>
        <w:rPr>
          <w:rFonts w:hint="eastAsia"/>
        </w:rPr>
        <w:t>的工作没有在全国各地同步进行，地区和区域之间存在很大差异。中部地区住户增长较明显，而东南部则比较缓慢。同时，非城市地区（居民少于</w:t>
      </w:r>
      <w:r>
        <w:rPr>
          <w:rFonts w:hint="eastAsia"/>
        </w:rPr>
        <w:t>5 000</w:t>
      </w:r>
      <w:r>
        <w:rPr>
          <w:rFonts w:hint="eastAsia"/>
        </w:rPr>
        <w:t>个的地区）仍然相对低于全国平均水平。</w:t>
      </w:r>
    </w:p>
    <w:p w:rsidR="00000000" w:rsidRDefault="00457650">
      <w:pPr>
        <w:keepNext/>
        <w:widowControl/>
        <w:tabs>
          <w:tab w:val="left" w:pos="720"/>
        </w:tabs>
        <w:spacing w:after="240" w:line="380" w:lineRule="exact"/>
        <w:rPr>
          <w:rFonts w:ascii="SimHei" w:eastAsia="SimHei" w:hint="eastAsia"/>
        </w:rPr>
      </w:pPr>
      <w:r>
        <w:rPr>
          <w:rFonts w:ascii="SimHei" w:eastAsia="SimHei" w:hint="eastAsia"/>
        </w:rPr>
        <w:t>第</w:t>
      </w:r>
      <w:r>
        <w:rPr>
          <w:rFonts w:ascii="SimHei" w:eastAsia="SimHei" w:hint="eastAsia"/>
        </w:rPr>
        <w:t>44</w:t>
      </w:r>
      <w:r>
        <w:rPr>
          <w:rFonts w:ascii="SimHei" w:eastAsia="SimHei" w:hint="eastAsia"/>
        </w:rPr>
        <w:t>段（</w:t>
      </w:r>
      <w:r>
        <w:rPr>
          <w:rFonts w:ascii="SimHei" w:eastAsia="SimHei" w:hint="eastAsia"/>
        </w:rPr>
        <w:t>b</w:t>
      </w:r>
      <w:r>
        <w:rPr>
          <w:rFonts w:ascii="SimHei" w:eastAsia="SimHei" w:hint="eastAsia"/>
        </w:rPr>
        <w:t>）（三）</w:t>
      </w:r>
    </w:p>
    <w:p w:rsidR="00000000" w:rsidRDefault="00457650">
      <w:pPr>
        <w:keepNext/>
        <w:widowControl/>
        <w:tabs>
          <w:tab w:val="left" w:pos="630"/>
        </w:tabs>
        <w:spacing w:after="240" w:line="380" w:lineRule="exact"/>
        <w:rPr>
          <w:rFonts w:hint="eastAsia"/>
        </w:rPr>
      </w:pPr>
      <w:r>
        <w:rPr>
          <w:rFonts w:hint="eastAsia"/>
        </w:rPr>
        <w:t>462.</w:t>
      </w:r>
      <w:r>
        <w:rPr>
          <w:rFonts w:hint="eastAsia"/>
        </w:rPr>
        <w:tab/>
      </w:r>
      <w:r>
        <w:rPr>
          <w:rFonts w:hint="eastAsia"/>
        </w:rPr>
        <w:t>房屋建造用地明显影响了住房的供应。这一因素仍然是该部门发展的一大障碍，缺少具有竞争价格的住房供应直接导致了非法占用土地。这反过来导致失去控制的城市扩张，常常延伸到高危险地区或环境保护地区，这些地区的城市化和基本生活福利供应成本极大，且经常导致不可挽回的生态损失。</w:t>
      </w:r>
    </w:p>
    <w:p w:rsidR="00000000" w:rsidRDefault="00457650">
      <w:pPr>
        <w:widowControl/>
        <w:tabs>
          <w:tab w:val="left" w:pos="720"/>
        </w:tabs>
        <w:spacing w:after="240" w:line="380" w:lineRule="exact"/>
        <w:rPr>
          <w:rFonts w:ascii="SimHei" w:eastAsia="SimHei" w:hint="eastAsia"/>
        </w:rPr>
      </w:pPr>
      <w:r>
        <w:rPr>
          <w:rFonts w:ascii="SimHei" w:eastAsia="SimHei" w:hint="eastAsia"/>
        </w:rPr>
        <w:t>第</w:t>
      </w:r>
      <w:r>
        <w:rPr>
          <w:rFonts w:ascii="SimHei" w:eastAsia="SimHei" w:hint="eastAsia"/>
        </w:rPr>
        <w:t>44</w:t>
      </w:r>
      <w:r>
        <w:rPr>
          <w:rFonts w:ascii="SimHei" w:eastAsia="SimHei" w:hint="eastAsia"/>
        </w:rPr>
        <w:t>段（</w:t>
      </w:r>
      <w:r>
        <w:rPr>
          <w:rFonts w:ascii="SimHei" w:eastAsia="SimHei" w:hint="eastAsia"/>
        </w:rPr>
        <w:t>b</w:t>
      </w:r>
      <w:r>
        <w:rPr>
          <w:rFonts w:ascii="SimHei" w:eastAsia="SimHei" w:hint="eastAsia"/>
        </w:rPr>
        <w:t>）（四）</w:t>
      </w:r>
    </w:p>
    <w:p w:rsidR="00000000" w:rsidRDefault="00457650">
      <w:pPr>
        <w:widowControl/>
        <w:tabs>
          <w:tab w:val="left" w:pos="630"/>
        </w:tabs>
        <w:spacing w:after="240" w:line="380" w:lineRule="exact"/>
        <w:rPr>
          <w:rFonts w:hint="eastAsia"/>
        </w:rPr>
      </w:pPr>
      <w:r>
        <w:rPr>
          <w:rFonts w:hint="eastAsia"/>
        </w:rPr>
        <w:t>463.</w:t>
      </w:r>
      <w:r>
        <w:rPr>
          <w:rFonts w:hint="eastAsia"/>
        </w:rPr>
        <w:tab/>
      </w:r>
      <w:r>
        <w:rPr>
          <w:rFonts w:hint="eastAsia"/>
        </w:rPr>
        <w:t>在建筑用</w:t>
      </w:r>
      <w:r>
        <w:rPr>
          <w:rFonts w:hint="eastAsia"/>
        </w:rPr>
        <w:t>地上修建必要的基础设施和基本生活福利设施代表了住房的主要投入。城市土地的问题是无法足够满足当前的需要。城市扩张在很大程度上以侵占合作农场或公共来源地为代价，其次是以私人土地或三大政府部门的土地资源为代价，这些土地的地形特点一般不适合城市发展使用。</w:t>
      </w:r>
    </w:p>
    <w:p w:rsidR="00000000" w:rsidRDefault="00457650">
      <w:pPr>
        <w:widowControl/>
        <w:tabs>
          <w:tab w:val="left" w:pos="720"/>
        </w:tabs>
        <w:spacing w:after="240" w:line="380" w:lineRule="exact"/>
        <w:rPr>
          <w:rFonts w:hint="eastAsia"/>
        </w:rPr>
      </w:pPr>
      <w:r>
        <w:rPr>
          <w:rFonts w:hint="eastAsia"/>
        </w:rPr>
        <w:t>464.</w:t>
      </w:r>
      <w:r>
        <w:rPr>
          <w:rFonts w:hint="eastAsia"/>
        </w:rPr>
        <w:tab/>
      </w:r>
      <w:r>
        <w:rPr>
          <w:rFonts w:hint="eastAsia"/>
        </w:rPr>
        <w:t>另外一个问题是，在国家财产市场中很多操作不符合现行法律的要求，从而损害了人口中的最低收入群体。</w:t>
      </w:r>
    </w:p>
    <w:p w:rsidR="00000000" w:rsidRDefault="00457650">
      <w:pPr>
        <w:widowControl/>
        <w:tabs>
          <w:tab w:val="left" w:pos="630"/>
        </w:tabs>
        <w:spacing w:after="240" w:line="380" w:lineRule="exact"/>
        <w:rPr>
          <w:rFonts w:hint="eastAsia"/>
        </w:rPr>
      </w:pPr>
      <w:r>
        <w:rPr>
          <w:rFonts w:hint="eastAsia"/>
        </w:rPr>
        <w:t>465.</w:t>
      </w:r>
      <w:r>
        <w:rPr>
          <w:rFonts w:hint="eastAsia"/>
        </w:rPr>
        <w:tab/>
      </w:r>
      <w:r>
        <w:rPr>
          <w:rFonts w:hint="eastAsia"/>
        </w:rPr>
        <w:t>城市土地价格高昂的两个主要原因是囤积住宅和资产投机。此外，合作农场和公共用地依然是城市发展的主要用地，到目前为止还不可能建立一个土地供应体系，来定期</w:t>
      </w:r>
      <w:r>
        <w:rPr>
          <w:rFonts w:hint="eastAsia"/>
        </w:rPr>
        <w:t>合法有序地提供城市用地。</w:t>
      </w:r>
    </w:p>
    <w:p w:rsidR="00000000" w:rsidRDefault="00457650">
      <w:pPr>
        <w:widowControl/>
        <w:tabs>
          <w:tab w:val="left" w:pos="720"/>
        </w:tabs>
        <w:spacing w:after="240" w:line="380" w:lineRule="exact"/>
        <w:rPr>
          <w:rFonts w:ascii="SimHei" w:eastAsia="SimHei" w:hint="eastAsia"/>
        </w:rPr>
      </w:pPr>
      <w:r>
        <w:rPr>
          <w:rFonts w:ascii="SimHei" w:eastAsia="SimHei" w:hint="eastAsia"/>
        </w:rPr>
        <w:t>第</w:t>
      </w:r>
      <w:r>
        <w:rPr>
          <w:rFonts w:ascii="SimHei" w:eastAsia="SimHei" w:hint="eastAsia"/>
        </w:rPr>
        <w:t>44</w:t>
      </w:r>
      <w:r>
        <w:rPr>
          <w:rFonts w:ascii="SimHei" w:eastAsia="SimHei" w:hint="eastAsia"/>
        </w:rPr>
        <w:t>段（</w:t>
      </w:r>
      <w:r>
        <w:rPr>
          <w:rFonts w:ascii="SimHei" w:eastAsia="SimHei" w:hint="eastAsia"/>
        </w:rPr>
        <w:t>b</w:t>
      </w:r>
      <w:r>
        <w:rPr>
          <w:rFonts w:ascii="SimHei" w:eastAsia="SimHei" w:hint="eastAsia"/>
        </w:rPr>
        <w:t>）（五）</w:t>
      </w:r>
    </w:p>
    <w:p w:rsidR="00000000" w:rsidRDefault="00457650">
      <w:pPr>
        <w:widowControl/>
        <w:tabs>
          <w:tab w:val="left" w:pos="630"/>
        </w:tabs>
        <w:spacing w:after="240" w:line="380" w:lineRule="exact"/>
        <w:rPr>
          <w:rFonts w:hint="eastAsia"/>
        </w:rPr>
      </w:pPr>
      <w:r>
        <w:rPr>
          <w:rFonts w:hint="eastAsia"/>
        </w:rPr>
        <w:t>466.</w:t>
      </w:r>
      <w:r>
        <w:rPr>
          <w:rFonts w:hint="eastAsia"/>
        </w:rPr>
        <w:tab/>
      </w:r>
      <w:r>
        <w:rPr>
          <w:rFonts w:hint="eastAsia"/>
        </w:rPr>
        <w:t>尽管在墨西哥职业和工资的流动性很大，但几乎</w:t>
      </w:r>
      <w:r>
        <w:rPr>
          <w:rFonts w:hint="eastAsia"/>
        </w:rPr>
        <w:t>70%</w:t>
      </w:r>
      <w:r>
        <w:rPr>
          <w:rFonts w:hint="eastAsia"/>
        </w:rPr>
        <w:t>的工作人口赖以生活的收入不到最低工资的三倍（</w:t>
      </w:r>
      <w:r>
        <w:rPr>
          <w:rFonts w:hint="eastAsia"/>
        </w:rPr>
        <w:t>23 152 506</w:t>
      </w:r>
      <w:r>
        <w:rPr>
          <w:rFonts w:hint="eastAsia"/>
        </w:rPr>
        <w:t>），他们仅凭自己的收入无法在住房市场购买住宅，通过银行贷款，他们被先入为主地认为不适合作为抵押贷款客户。然而，这一代表工作人口</w:t>
      </w:r>
      <w:r>
        <w:rPr>
          <w:rFonts w:hint="eastAsia"/>
        </w:rPr>
        <w:t>68.6%</w:t>
      </w:r>
      <w:r>
        <w:rPr>
          <w:rFonts w:hint="eastAsia"/>
        </w:rPr>
        <w:t>的群体是住房需求最大的群体。</w:t>
      </w:r>
    </w:p>
    <w:p w:rsidR="00000000" w:rsidRDefault="00457650">
      <w:pPr>
        <w:widowControl/>
        <w:tabs>
          <w:tab w:val="left" w:pos="720"/>
        </w:tabs>
        <w:spacing w:after="240" w:line="380" w:lineRule="exact"/>
        <w:rPr>
          <w:rFonts w:ascii="SimHei" w:eastAsia="SimHei" w:hint="eastAsia"/>
        </w:rPr>
      </w:pPr>
      <w:r>
        <w:rPr>
          <w:rFonts w:ascii="SimHei" w:eastAsia="SimHei" w:hint="eastAsia"/>
        </w:rPr>
        <w:t>第</w:t>
      </w:r>
      <w:r>
        <w:rPr>
          <w:rFonts w:ascii="SimHei" w:eastAsia="SimHei" w:hint="eastAsia"/>
        </w:rPr>
        <w:t>44</w:t>
      </w:r>
      <w:r>
        <w:rPr>
          <w:rFonts w:ascii="SimHei" w:eastAsia="SimHei" w:hint="eastAsia"/>
        </w:rPr>
        <w:t>段（</w:t>
      </w:r>
      <w:r>
        <w:rPr>
          <w:rFonts w:ascii="SimHei" w:eastAsia="SimHei" w:hint="eastAsia"/>
        </w:rPr>
        <w:t>b</w:t>
      </w:r>
      <w:r>
        <w:rPr>
          <w:rFonts w:ascii="SimHei" w:eastAsia="SimHei" w:hint="eastAsia"/>
        </w:rPr>
        <w:t>）（六）</w:t>
      </w:r>
    </w:p>
    <w:p w:rsidR="00000000" w:rsidRDefault="00457650">
      <w:pPr>
        <w:widowControl/>
        <w:tabs>
          <w:tab w:val="left" w:pos="630"/>
        </w:tabs>
        <w:spacing w:after="240" w:line="380" w:lineRule="exact"/>
        <w:rPr>
          <w:rFonts w:hint="eastAsia"/>
        </w:rPr>
      </w:pPr>
      <w:r>
        <w:rPr>
          <w:rFonts w:hint="eastAsia"/>
        </w:rPr>
        <w:t>467.</w:t>
      </w:r>
      <w:r>
        <w:rPr>
          <w:rFonts w:hint="eastAsia"/>
        </w:rPr>
        <w:tab/>
      </w:r>
      <w:r>
        <w:rPr>
          <w:rFonts w:hint="eastAsia"/>
        </w:rPr>
        <w:t>关于“居住地方案”，如能满足以下大部分条件，边缘化的城区可以适用此方案，这些条件包括：它们是否在提供饮用水、排水、电力、公共照明和铺设路面方面存</w:t>
      </w:r>
      <w:r>
        <w:rPr>
          <w:rFonts w:hint="eastAsia"/>
        </w:rPr>
        <w:t>在严重不足；它们的人口密度是否太高，至少包括了</w:t>
      </w:r>
      <w:r>
        <w:rPr>
          <w:rFonts w:hint="eastAsia"/>
        </w:rPr>
        <w:t>500</w:t>
      </w:r>
      <w:r>
        <w:rPr>
          <w:rFonts w:hint="eastAsia"/>
        </w:rPr>
        <w:t>户家庭；它们是否面临很大的自然威胁；它们以前是否参加过任何“居住地方案”计划；它们的位置是否更接近城市基础设施网络。</w:t>
      </w:r>
    </w:p>
    <w:p w:rsidR="00000000" w:rsidRDefault="00457650">
      <w:pPr>
        <w:widowControl/>
        <w:tabs>
          <w:tab w:val="left" w:pos="630"/>
        </w:tabs>
        <w:spacing w:after="240" w:line="380" w:lineRule="exact"/>
        <w:rPr>
          <w:rFonts w:hint="eastAsia"/>
        </w:rPr>
      </w:pPr>
      <w:r>
        <w:rPr>
          <w:rFonts w:hint="eastAsia"/>
        </w:rPr>
        <w:t>468.</w:t>
      </w:r>
      <w:r>
        <w:rPr>
          <w:rFonts w:hint="eastAsia"/>
        </w:rPr>
        <w:tab/>
      </w:r>
      <w:r>
        <w:rPr>
          <w:rFonts w:hint="eastAsia"/>
        </w:rPr>
        <w:t>应当指出的是，国家住房机构根据自己的业务规则使用不同的或灵活的系统发放贷款。</w:t>
      </w:r>
    </w:p>
    <w:p w:rsidR="00000000" w:rsidRDefault="00457650">
      <w:pPr>
        <w:keepNext/>
        <w:widowControl/>
        <w:tabs>
          <w:tab w:val="left" w:pos="720"/>
        </w:tabs>
        <w:spacing w:after="240" w:line="380" w:lineRule="exact"/>
        <w:rPr>
          <w:rFonts w:ascii="SimHei" w:eastAsia="SimHei" w:hint="eastAsia"/>
        </w:rPr>
      </w:pPr>
      <w:r>
        <w:rPr>
          <w:rFonts w:ascii="SimHei" w:eastAsia="SimHei" w:hint="eastAsia"/>
        </w:rPr>
        <w:t>第</w:t>
      </w:r>
      <w:r>
        <w:rPr>
          <w:rFonts w:ascii="SimHei" w:eastAsia="SimHei" w:hint="eastAsia"/>
        </w:rPr>
        <w:t>44</w:t>
      </w:r>
      <w:r>
        <w:rPr>
          <w:rFonts w:ascii="SimHei" w:eastAsia="SimHei" w:hint="eastAsia"/>
        </w:rPr>
        <w:t>段（</w:t>
      </w:r>
      <w:r>
        <w:rPr>
          <w:rFonts w:ascii="SimHei" w:eastAsia="SimHei" w:hint="eastAsia"/>
        </w:rPr>
        <w:t>b</w:t>
      </w:r>
      <w:r>
        <w:rPr>
          <w:rFonts w:ascii="SimHei" w:eastAsia="SimHei" w:hint="eastAsia"/>
        </w:rPr>
        <w:t>）（七）</w:t>
      </w:r>
    </w:p>
    <w:p w:rsidR="00000000" w:rsidRDefault="00457650">
      <w:pPr>
        <w:keepNext/>
        <w:widowControl/>
        <w:tabs>
          <w:tab w:val="left" w:pos="630"/>
        </w:tabs>
        <w:spacing w:after="240" w:line="380" w:lineRule="exact"/>
        <w:rPr>
          <w:rFonts w:hint="eastAsia"/>
        </w:rPr>
      </w:pPr>
      <w:r>
        <w:rPr>
          <w:rFonts w:hint="eastAsia"/>
        </w:rPr>
        <w:t>469.</w:t>
      </w:r>
      <w:r>
        <w:rPr>
          <w:rFonts w:hint="eastAsia"/>
        </w:rPr>
        <w:tab/>
      </w:r>
      <w:r>
        <w:rPr>
          <w:rFonts w:hint="eastAsia"/>
        </w:rPr>
        <w:t>现有私人住宅单元约</w:t>
      </w:r>
      <w:r>
        <w:rPr>
          <w:rFonts w:hint="eastAsia"/>
        </w:rPr>
        <w:t>2 190</w:t>
      </w:r>
      <w:r>
        <w:rPr>
          <w:rFonts w:hint="eastAsia"/>
        </w:rPr>
        <w:t>万个，其中</w:t>
      </w:r>
      <w:r>
        <w:rPr>
          <w:rFonts w:hint="eastAsia"/>
        </w:rPr>
        <w:t>85.3%</w:t>
      </w:r>
      <w:r>
        <w:rPr>
          <w:rFonts w:hint="eastAsia"/>
        </w:rPr>
        <w:t>是独立住房，</w:t>
      </w:r>
      <w:r>
        <w:rPr>
          <w:rFonts w:hint="eastAsia"/>
        </w:rPr>
        <w:t>5.8%</w:t>
      </w:r>
      <w:r>
        <w:rPr>
          <w:rFonts w:hint="eastAsia"/>
        </w:rPr>
        <w:t>是公寓，其余的是共有住宅、屋顶住宅、非居住用房屋、移动住宅和其他种类住宅。目前的趋势是住房面积增加，这是指房间数量增加，不包括厨房在内。</w:t>
      </w:r>
      <w:r>
        <w:rPr>
          <w:rFonts w:hint="eastAsia"/>
        </w:rPr>
        <w:t>20</w:t>
      </w:r>
      <w:r>
        <w:rPr>
          <w:rFonts w:hint="eastAsia"/>
        </w:rPr>
        <w:t>年前，只有</w:t>
      </w:r>
      <w:r>
        <w:rPr>
          <w:rFonts w:hint="eastAsia"/>
        </w:rPr>
        <w:t>30</w:t>
      </w:r>
      <w:r>
        <w:rPr>
          <w:rFonts w:hint="eastAsia"/>
        </w:rPr>
        <w:t>%</w:t>
      </w:r>
      <w:r>
        <w:rPr>
          <w:rFonts w:hint="eastAsia"/>
        </w:rPr>
        <w:t>的住房房间达到或超过</w:t>
      </w:r>
      <w:r>
        <w:rPr>
          <w:rFonts w:hint="eastAsia"/>
        </w:rPr>
        <w:t>3</w:t>
      </w:r>
      <w:r>
        <w:rPr>
          <w:rFonts w:hint="eastAsia"/>
        </w:rPr>
        <w:t>个，而在</w:t>
      </w:r>
      <w:r>
        <w:rPr>
          <w:rFonts w:hint="eastAsia"/>
        </w:rPr>
        <w:t>2000</w:t>
      </w:r>
      <w:r>
        <w:rPr>
          <w:rFonts w:hint="eastAsia"/>
        </w:rPr>
        <w:t>年，</w:t>
      </w:r>
      <w:r>
        <w:rPr>
          <w:rFonts w:hint="eastAsia"/>
        </w:rPr>
        <w:t>52%</w:t>
      </w:r>
      <w:r>
        <w:rPr>
          <w:rFonts w:hint="eastAsia"/>
        </w:rPr>
        <w:t>的住房达到了这一标准。</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44</w:t>
      </w:r>
      <w:r>
        <w:rPr>
          <w:rFonts w:ascii="SimHei" w:eastAsia="SimHei" w:hint="eastAsia"/>
        </w:rPr>
        <w:t>段（</w:t>
      </w:r>
      <w:r>
        <w:rPr>
          <w:rFonts w:ascii="SimHei" w:eastAsia="SimHei" w:hint="eastAsia"/>
        </w:rPr>
        <w:t>c</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470.</w:t>
      </w:r>
      <w:r>
        <w:rPr>
          <w:rFonts w:hint="eastAsia"/>
        </w:rPr>
        <w:tab/>
      </w:r>
      <w:r>
        <w:rPr>
          <w:rFonts w:hint="eastAsia"/>
        </w:rPr>
        <w:t>在墨西哥最重要的住房管理法中，以下法律值得一提，现按其重要程度依次排列：</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联邦立法</w:t>
      </w:r>
    </w:p>
    <w:p w:rsidR="00000000" w:rsidRDefault="00457650">
      <w:pPr>
        <w:widowControl/>
        <w:tabs>
          <w:tab w:val="left" w:pos="630"/>
        </w:tabs>
        <w:spacing w:after="240" w:line="360" w:lineRule="exact"/>
        <w:rPr>
          <w:rFonts w:hint="eastAsia"/>
        </w:rPr>
      </w:pPr>
      <w:r>
        <w:rPr>
          <w:rFonts w:hint="eastAsia"/>
        </w:rPr>
        <w:t>471.</w:t>
      </w:r>
      <w:r>
        <w:rPr>
          <w:rFonts w:hint="eastAsia"/>
        </w:rPr>
        <w:tab/>
      </w:r>
      <w:r>
        <w:rPr>
          <w:rFonts w:hint="eastAsia"/>
        </w:rPr>
        <w:t>在墨西哥最重要的联邦、州和市住房管理法中，以下法律值得一提，现按其重要程度依次排列：</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联邦立法</w:t>
      </w:r>
    </w:p>
    <w:p w:rsidR="00000000" w:rsidRDefault="00457650">
      <w:pPr>
        <w:widowControl/>
        <w:tabs>
          <w:tab w:val="left" w:pos="630"/>
        </w:tabs>
        <w:spacing w:after="240" w:line="360" w:lineRule="exact"/>
        <w:rPr>
          <w:rFonts w:hint="eastAsia"/>
        </w:rPr>
      </w:pPr>
      <w:r>
        <w:rPr>
          <w:rFonts w:hint="eastAsia"/>
        </w:rPr>
        <w:t>472.</w:t>
      </w:r>
      <w:r>
        <w:rPr>
          <w:rFonts w:hint="eastAsia"/>
        </w:rPr>
        <w:tab/>
      </w:r>
      <w:r>
        <w:rPr>
          <w:rFonts w:hint="eastAsia"/>
        </w:rPr>
        <w:t>《墨西哥合众国宪法》。《宪法》第</w:t>
      </w:r>
      <w:r>
        <w:rPr>
          <w:rFonts w:hint="eastAsia"/>
        </w:rPr>
        <w:t>4</w:t>
      </w:r>
      <w:r>
        <w:rPr>
          <w:rFonts w:hint="eastAsia"/>
        </w:rPr>
        <w:t>条规定“每个家庭都有权享有适当且体面的住房”，以此确定了住房的权利。</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《联邦住房法》。本法根据《宪法》第</w:t>
      </w:r>
      <w:r>
        <w:rPr>
          <w:rFonts w:hint="eastAsia"/>
        </w:rPr>
        <w:t>4</w:t>
      </w:r>
      <w:r>
        <w:rPr>
          <w:rFonts w:hint="eastAsia"/>
        </w:rPr>
        <w:t>条而规定了一些管理办法，并更加具体地介绍了国家住房政策的标准和机制。</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《规划法》。</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《关于人类住区问题的普遍法案》。</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《关于生态平衡和环境保护问题的普通法案》。</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《关于社会发展问题的普通法案》。</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州立法</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《州规划法》。</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《州住房法》或类似法律。</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《州人类住区法》或类似法律。</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《州土地分界法》或类似法律。</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《州税收法》。</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《州经济法》。</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《州民法典》。</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《州民事诉讼法》。</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《共有财产法》。</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《州土地注册法》。</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《州公证法》。</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《州饮用水和污水处理法》或类似法律。</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市立法</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《市经济法》。</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《市税收法》。</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《市公共管理基本法》。</w:t>
      </w:r>
    </w:p>
    <w:p w:rsidR="00000000" w:rsidRDefault="00457650" w:rsidP="00457650">
      <w:pPr>
        <w:widowControl/>
        <w:tabs>
          <w:tab w:val="left" w:pos="720"/>
        </w:tabs>
        <w:spacing w:after="240" w:line="360" w:lineRule="exact"/>
        <w:ind w:leftChars="300" w:left="31680" w:firstLineChars="200" w:firstLine="31680"/>
        <w:rPr>
          <w:rFonts w:hint="eastAsia"/>
        </w:rPr>
      </w:pPr>
      <w:r>
        <w:rPr>
          <w:rFonts w:hint="eastAsia"/>
        </w:rPr>
        <w:t>《建筑物条例》。</w:t>
      </w:r>
    </w:p>
    <w:p w:rsidR="00000000" w:rsidRDefault="00457650">
      <w:pPr>
        <w:widowControl/>
        <w:tabs>
          <w:tab w:val="left" w:pos="630"/>
        </w:tabs>
        <w:spacing w:after="240" w:line="360" w:lineRule="exact"/>
        <w:rPr>
          <w:rFonts w:hint="eastAsia"/>
        </w:rPr>
      </w:pPr>
      <w:r>
        <w:rPr>
          <w:rFonts w:hint="eastAsia"/>
        </w:rPr>
        <w:t>473.</w:t>
      </w:r>
      <w:r>
        <w:rPr>
          <w:rFonts w:hint="eastAsia"/>
        </w:rPr>
        <w:tab/>
      </w:r>
      <w:r>
        <w:rPr>
          <w:rFonts w:hint="eastAsia"/>
        </w:rPr>
        <w:t>根据《墨西哥宪法》</w:t>
      </w:r>
      <w:r>
        <w:rPr>
          <w:rFonts w:hint="eastAsia"/>
        </w:rPr>
        <w:t>第</w:t>
      </w:r>
      <w:r>
        <w:rPr>
          <w:rFonts w:hint="eastAsia"/>
        </w:rPr>
        <w:t>4</w:t>
      </w:r>
      <w:r>
        <w:rPr>
          <w:rFonts w:hint="eastAsia"/>
        </w:rPr>
        <w:t>条的规定，住房权利不受歧视，因为“每个家庭都有权享有适当且体面的住房”。</w:t>
      </w:r>
    </w:p>
    <w:p w:rsidR="00000000" w:rsidRDefault="00457650">
      <w:pPr>
        <w:widowControl/>
        <w:tabs>
          <w:tab w:val="left" w:pos="630"/>
        </w:tabs>
        <w:spacing w:after="240" w:line="360" w:lineRule="exact"/>
        <w:rPr>
          <w:rFonts w:hint="eastAsia"/>
        </w:rPr>
      </w:pPr>
      <w:r>
        <w:rPr>
          <w:rFonts w:hint="eastAsia"/>
        </w:rPr>
        <w:t>474.</w:t>
      </w:r>
      <w:r>
        <w:rPr>
          <w:rFonts w:hint="eastAsia"/>
        </w:rPr>
        <w:tab/>
      </w:r>
      <w:r>
        <w:rPr>
          <w:rFonts w:hint="eastAsia"/>
        </w:rPr>
        <w:t>国家住房机构的规章中不得有任何关于贷款问题的条款和条件对住房权利加以限制。</w:t>
      </w:r>
    </w:p>
    <w:p w:rsidR="00000000" w:rsidRDefault="00457650">
      <w:pPr>
        <w:widowControl/>
        <w:tabs>
          <w:tab w:val="left" w:pos="630"/>
        </w:tabs>
        <w:spacing w:after="240" w:line="360" w:lineRule="exact"/>
        <w:rPr>
          <w:rFonts w:hint="eastAsia"/>
        </w:rPr>
      </w:pPr>
      <w:r>
        <w:rPr>
          <w:rFonts w:hint="eastAsia"/>
        </w:rPr>
        <w:t>475.</w:t>
      </w:r>
      <w:r>
        <w:rPr>
          <w:rFonts w:hint="eastAsia"/>
        </w:rPr>
        <w:tab/>
      </w:r>
      <w:r>
        <w:rPr>
          <w:rFonts w:hint="eastAsia"/>
        </w:rPr>
        <w:t>应该补充的是，根据《宪法》，不得有任何法律阻碍住房权利的实现。</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44</w:t>
      </w:r>
      <w:r>
        <w:rPr>
          <w:rFonts w:ascii="SimHei" w:eastAsia="SimHei" w:hint="eastAsia"/>
        </w:rPr>
        <w:t>段（</w:t>
      </w:r>
      <w:r>
        <w:rPr>
          <w:rFonts w:ascii="SimHei" w:eastAsia="SimHei" w:hint="eastAsia"/>
        </w:rPr>
        <w:t>d</w:t>
      </w:r>
      <w:r>
        <w:rPr>
          <w:rFonts w:ascii="SimHei" w:eastAsia="SimHei" w:hint="eastAsia"/>
        </w:rPr>
        <w:t>）（一）</w:t>
      </w:r>
    </w:p>
    <w:p w:rsidR="00000000" w:rsidRDefault="00457650">
      <w:pPr>
        <w:widowControl/>
        <w:tabs>
          <w:tab w:val="left" w:pos="630"/>
        </w:tabs>
        <w:spacing w:after="240" w:line="360" w:lineRule="exact"/>
        <w:rPr>
          <w:rFonts w:hint="eastAsia"/>
        </w:rPr>
      </w:pPr>
      <w:r>
        <w:rPr>
          <w:rFonts w:hint="eastAsia"/>
        </w:rPr>
        <w:t>476.</w:t>
      </w:r>
      <w:r>
        <w:rPr>
          <w:rFonts w:hint="eastAsia"/>
        </w:rPr>
        <w:tab/>
        <w:t>2003</w:t>
      </w:r>
      <w:r>
        <w:rPr>
          <w:rFonts w:hint="eastAsia"/>
        </w:rPr>
        <w:t>年，墨西哥社会发展部开展了“居住地方案”，其目标是应对贫穷和城市发展的挑战，通过实施一系列措施，改进基础设施、为边缘城区提供基本生活福利和预防灾害，同时在这些地区提供社会服务并实现社区发展。</w:t>
      </w:r>
    </w:p>
    <w:p w:rsidR="00000000" w:rsidRDefault="00457650">
      <w:pPr>
        <w:widowControl/>
        <w:tabs>
          <w:tab w:val="left" w:pos="630"/>
        </w:tabs>
        <w:spacing w:after="240" w:line="380" w:lineRule="exact"/>
        <w:rPr>
          <w:rFonts w:hint="eastAsia"/>
        </w:rPr>
      </w:pPr>
      <w:r>
        <w:rPr>
          <w:rFonts w:hint="eastAsia"/>
        </w:rPr>
        <w:t>477.</w:t>
      </w:r>
      <w:r>
        <w:rPr>
          <w:rFonts w:hint="eastAsia"/>
        </w:rPr>
        <w:tab/>
      </w:r>
      <w:r>
        <w:rPr>
          <w:rFonts w:hint="eastAsia"/>
        </w:rPr>
        <w:t>墨西哥政府利用各州和各市的捐款，</w:t>
      </w:r>
      <w:r>
        <w:rPr>
          <w:rFonts w:hint="eastAsia"/>
        </w:rPr>
        <w:t>并在可能的情况下，利用受益人自己和</w:t>
      </w:r>
      <w:r>
        <w:rPr>
          <w:rFonts w:hint="eastAsia"/>
        </w:rPr>
        <w:t>/</w:t>
      </w:r>
      <w:r>
        <w:rPr>
          <w:rFonts w:hint="eastAsia"/>
        </w:rPr>
        <w:t>或社会组织的缴费捐赠，补充联邦的补贴，以此协助城市发展，并将边缘化的城区包括在城市范围内，这是一项鼓励社区参与和规划总体政策的组成部分。在该项目中，地方政府必须提供相应的资源，这类资源或来自其本身的资金，或来自相关州或市的帮助。</w:t>
      </w:r>
    </w:p>
    <w:p w:rsidR="00000000" w:rsidRDefault="00457650">
      <w:pPr>
        <w:widowControl/>
        <w:tabs>
          <w:tab w:val="left" w:pos="630"/>
        </w:tabs>
        <w:spacing w:after="240" w:line="380" w:lineRule="exact"/>
        <w:rPr>
          <w:rFonts w:hint="eastAsia"/>
        </w:rPr>
      </w:pPr>
      <w:r>
        <w:rPr>
          <w:rFonts w:hint="eastAsia"/>
        </w:rPr>
        <w:t>478.</w:t>
      </w:r>
      <w:r>
        <w:rPr>
          <w:rFonts w:hint="eastAsia"/>
        </w:rPr>
        <w:tab/>
      </w:r>
      <w:r>
        <w:rPr>
          <w:rFonts w:hint="eastAsia"/>
        </w:rPr>
        <w:t>居住地方案还建立了协调机构和机制，以便同社会发展部、相关的地方机构及联邦公共管理机构各办事处和机构的其他方案合作，保证所开展的活动相互补充。</w:t>
      </w:r>
    </w:p>
    <w:p w:rsidR="00000000" w:rsidRDefault="00457650">
      <w:pPr>
        <w:widowControl/>
        <w:tabs>
          <w:tab w:val="left" w:pos="720"/>
        </w:tabs>
        <w:spacing w:after="240" w:line="380" w:lineRule="exact"/>
        <w:rPr>
          <w:rFonts w:ascii="SimHei" w:eastAsia="SimHei" w:hint="eastAsia"/>
        </w:rPr>
      </w:pPr>
      <w:r>
        <w:rPr>
          <w:rFonts w:ascii="SimHei" w:eastAsia="SimHei" w:hint="eastAsia"/>
        </w:rPr>
        <w:t>第</w:t>
      </w:r>
      <w:r>
        <w:rPr>
          <w:rFonts w:ascii="SimHei" w:eastAsia="SimHei" w:hint="eastAsia"/>
        </w:rPr>
        <w:t>44</w:t>
      </w:r>
      <w:r>
        <w:rPr>
          <w:rFonts w:ascii="SimHei" w:eastAsia="SimHei" w:hint="eastAsia"/>
        </w:rPr>
        <w:t>段（</w:t>
      </w:r>
      <w:r>
        <w:rPr>
          <w:rFonts w:ascii="SimHei" w:eastAsia="SimHei" w:hint="eastAsia"/>
        </w:rPr>
        <w:t>d</w:t>
      </w:r>
      <w:r>
        <w:rPr>
          <w:rFonts w:ascii="SimHei" w:eastAsia="SimHei" w:hint="eastAsia"/>
        </w:rPr>
        <w:t>）（二）</w:t>
      </w:r>
    </w:p>
    <w:p w:rsidR="00000000" w:rsidRDefault="00457650">
      <w:pPr>
        <w:widowControl/>
        <w:tabs>
          <w:tab w:val="left" w:pos="630"/>
        </w:tabs>
        <w:spacing w:after="240" w:line="380" w:lineRule="exact"/>
        <w:rPr>
          <w:rFonts w:hint="eastAsia"/>
        </w:rPr>
      </w:pPr>
      <w:r>
        <w:rPr>
          <w:rFonts w:hint="eastAsia"/>
        </w:rPr>
        <w:t>479.</w:t>
      </w:r>
      <w:r>
        <w:rPr>
          <w:rFonts w:hint="eastAsia"/>
        </w:rPr>
        <w:tab/>
      </w:r>
      <w:r>
        <w:rPr>
          <w:rFonts w:hint="eastAsia"/>
        </w:rPr>
        <w:t>联邦政府社会发展部开展了居住地方案，通过联合实施社会方案和城市</w:t>
      </w:r>
      <w:r>
        <w:rPr>
          <w:rFonts w:hint="eastAsia"/>
        </w:rPr>
        <w:t>发展规划，帮助生活在城镇和大城市的贫穷人口。</w:t>
      </w:r>
    </w:p>
    <w:p w:rsidR="00000000" w:rsidRDefault="00457650">
      <w:pPr>
        <w:widowControl/>
        <w:tabs>
          <w:tab w:val="left" w:pos="630"/>
        </w:tabs>
        <w:spacing w:after="240" w:line="380" w:lineRule="exact"/>
        <w:rPr>
          <w:rFonts w:hint="eastAsia"/>
        </w:rPr>
      </w:pPr>
      <w:r>
        <w:rPr>
          <w:rFonts w:hint="eastAsia"/>
        </w:rPr>
        <w:t>480.</w:t>
      </w:r>
      <w:r>
        <w:rPr>
          <w:rFonts w:hint="eastAsia"/>
        </w:rPr>
        <w:tab/>
      </w:r>
      <w:r>
        <w:rPr>
          <w:rFonts w:hint="eastAsia"/>
        </w:rPr>
        <w:t>居住地方案将改善边缘化城区的基础设施、提高基本生活福利水平和预防灾难的各项措施与提供服务和社区发展结合起来。关于社会住房和城市发展方面的土地供应，这些活动共同致力于提高城市和土地规划。</w:t>
      </w:r>
    </w:p>
    <w:p w:rsidR="00000000" w:rsidRDefault="00457650">
      <w:pPr>
        <w:widowControl/>
        <w:tabs>
          <w:tab w:val="left" w:pos="720"/>
        </w:tabs>
        <w:spacing w:after="240" w:line="380" w:lineRule="exact"/>
        <w:rPr>
          <w:rFonts w:ascii="SimHei" w:eastAsia="SimHei" w:hint="eastAsia"/>
        </w:rPr>
      </w:pPr>
      <w:r>
        <w:rPr>
          <w:rFonts w:ascii="SimHei" w:eastAsia="SimHei" w:hint="eastAsia"/>
        </w:rPr>
        <w:t>第</w:t>
      </w:r>
      <w:r>
        <w:rPr>
          <w:rFonts w:ascii="SimHei" w:eastAsia="SimHei" w:hint="eastAsia"/>
        </w:rPr>
        <w:t>44</w:t>
      </w:r>
      <w:r>
        <w:rPr>
          <w:rFonts w:ascii="SimHei" w:eastAsia="SimHei" w:hint="eastAsia"/>
        </w:rPr>
        <w:t>段（</w:t>
      </w:r>
      <w:r>
        <w:rPr>
          <w:rFonts w:ascii="SimHei" w:eastAsia="SimHei" w:hint="eastAsia"/>
        </w:rPr>
        <w:t>d</w:t>
      </w:r>
      <w:r>
        <w:rPr>
          <w:rFonts w:ascii="SimHei" w:eastAsia="SimHei" w:hint="eastAsia"/>
        </w:rPr>
        <w:t>）（三）</w:t>
      </w:r>
    </w:p>
    <w:p w:rsidR="00000000" w:rsidRDefault="00457650">
      <w:pPr>
        <w:widowControl/>
        <w:tabs>
          <w:tab w:val="left" w:pos="630"/>
        </w:tabs>
        <w:spacing w:after="240" w:line="380" w:lineRule="exact"/>
        <w:rPr>
          <w:rFonts w:hint="eastAsia"/>
        </w:rPr>
      </w:pPr>
      <w:r>
        <w:rPr>
          <w:rFonts w:hint="eastAsia"/>
        </w:rPr>
        <w:t>481.</w:t>
      </w:r>
      <w:r>
        <w:rPr>
          <w:rFonts w:hint="eastAsia"/>
        </w:rPr>
        <w:tab/>
      </w:r>
      <w:r>
        <w:rPr>
          <w:rFonts w:hint="eastAsia"/>
        </w:rPr>
        <w:t>居住地方案旨在与城市贫穷作斗争，改善低收入群体的住房条件，并使城镇和邻近地区更加安全、有序、适于居住。为实现这一目标，它开展了许多活动，例如：通过预防灾害和改善环境来减少建设集中地区应对自然威胁的脆弱性；帮助州和市购置土地，增加土地储备，</w:t>
      </w:r>
      <w:r>
        <w:rPr>
          <w:rFonts w:hint="eastAsia"/>
        </w:rPr>
        <w:t>以这种方式实现城市有序发展；并寻找其他低成本的家庭住房解决方案。</w:t>
      </w:r>
    </w:p>
    <w:p w:rsidR="00000000" w:rsidRDefault="00457650">
      <w:pPr>
        <w:widowControl/>
        <w:tabs>
          <w:tab w:val="left" w:pos="720"/>
        </w:tabs>
        <w:spacing w:after="240" w:line="380" w:lineRule="exact"/>
        <w:rPr>
          <w:rFonts w:ascii="SimHei" w:eastAsia="SimHei" w:hint="eastAsia"/>
        </w:rPr>
      </w:pPr>
      <w:r>
        <w:rPr>
          <w:rFonts w:ascii="SimHei" w:eastAsia="SimHei" w:hint="eastAsia"/>
        </w:rPr>
        <w:t>第</w:t>
      </w:r>
      <w:r>
        <w:rPr>
          <w:rFonts w:ascii="SimHei" w:eastAsia="SimHei" w:hint="eastAsia"/>
        </w:rPr>
        <w:t>44</w:t>
      </w:r>
      <w:r>
        <w:rPr>
          <w:rFonts w:ascii="SimHei" w:eastAsia="SimHei" w:hint="eastAsia"/>
        </w:rPr>
        <w:t>段（</w:t>
      </w:r>
      <w:r>
        <w:rPr>
          <w:rFonts w:ascii="SimHei" w:eastAsia="SimHei" w:hint="eastAsia"/>
        </w:rPr>
        <w:t>d</w:t>
      </w:r>
      <w:r>
        <w:rPr>
          <w:rFonts w:ascii="SimHei" w:eastAsia="SimHei" w:hint="eastAsia"/>
        </w:rPr>
        <w:t>）（四）</w:t>
      </w:r>
    </w:p>
    <w:p w:rsidR="00000000" w:rsidRDefault="00457650">
      <w:pPr>
        <w:widowControl/>
        <w:tabs>
          <w:tab w:val="left" w:pos="630"/>
        </w:tabs>
        <w:spacing w:after="240" w:line="380" w:lineRule="exact"/>
        <w:rPr>
          <w:rFonts w:hint="eastAsia"/>
        </w:rPr>
      </w:pPr>
      <w:r>
        <w:rPr>
          <w:rFonts w:hint="eastAsia"/>
        </w:rPr>
        <w:t>482.</w:t>
      </w:r>
      <w:r>
        <w:rPr>
          <w:rFonts w:hint="eastAsia"/>
        </w:rPr>
        <w:tab/>
      </w:r>
      <w:r>
        <w:rPr>
          <w:rFonts w:hint="eastAsia"/>
        </w:rPr>
        <w:t>联邦政府通过社会发展部协调各个项目，尤其是国家社会住房基金和国家住房发展委员会。</w:t>
      </w:r>
    </w:p>
    <w:p w:rsidR="00000000" w:rsidRDefault="00457650">
      <w:pPr>
        <w:widowControl/>
        <w:tabs>
          <w:tab w:val="left" w:pos="630"/>
        </w:tabs>
        <w:spacing w:after="240" w:line="380" w:lineRule="exact"/>
        <w:rPr>
          <w:rFonts w:hint="eastAsia"/>
        </w:rPr>
      </w:pPr>
      <w:r>
        <w:rPr>
          <w:rFonts w:hint="eastAsia"/>
        </w:rPr>
        <w:t>483.</w:t>
      </w:r>
      <w:r>
        <w:rPr>
          <w:rFonts w:hint="eastAsia"/>
        </w:rPr>
        <w:tab/>
        <w:t>2003</w:t>
      </w:r>
      <w:r>
        <w:rPr>
          <w:rFonts w:hint="eastAsia"/>
        </w:rPr>
        <w:t>年，墨西哥政府设立了国家基金，它作为惟一集中管理、监测和评估联邦项目的机构，在国家社会住房基金信托基金范围内为住房提供经济支助，并负责为建造、改善和购置低成本家庭住房发放补贴。在</w:t>
      </w:r>
      <w:r>
        <w:rPr>
          <w:rFonts w:hint="eastAsia"/>
        </w:rPr>
        <w:t>2003</w:t>
      </w:r>
      <w:r>
        <w:rPr>
          <w:rFonts w:hint="eastAsia"/>
        </w:rPr>
        <w:t>财政年度，它共为农村住房提供了</w:t>
      </w:r>
      <w:r>
        <w:rPr>
          <w:rFonts w:hint="eastAsia"/>
        </w:rPr>
        <w:t>32 182</w:t>
      </w:r>
      <w:r>
        <w:rPr>
          <w:rFonts w:hint="eastAsia"/>
        </w:rPr>
        <w:t>份补贴。</w:t>
      </w:r>
      <w:r>
        <w:rPr>
          <w:rFonts w:hint="eastAsia"/>
        </w:rPr>
        <w:t>2004</w:t>
      </w:r>
      <w:r>
        <w:rPr>
          <w:rFonts w:hint="eastAsia"/>
        </w:rPr>
        <w:t>年该项目的最初目标是提供</w:t>
      </w:r>
      <w:r>
        <w:rPr>
          <w:rFonts w:hint="eastAsia"/>
        </w:rPr>
        <w:t>50 928</w:t>
      </w:r>
      <w:r>
        <w:rPr>
          <w:rFonts w:hint="eastAsia"/>
        </w:rPr>
        <w:t>份补贴，为低收入人口提供资金建造新</w:t>
      </w:r>
      <w:r>
        <w:rPr>
          <w:rFonts w:hint="eastAsia"/>
        </w:rPr>
        <w:t>房或改善现有住房条件。</w:t>
      </w:r>
    </w:p>
    <w:p w:rsidR="00000000" w:rsidRDefault="00457650">
      <w:pPr>
        <w:widowControl/>
        <w:tabs>
          <w:tab w:val="left" w:pos="630"/>
        </w:tabs>
        <w:spacing w:after="240" w:line="380" w:lineRule="exact"/>
        <w:rPr>
          <w:rFonts w:hint="eastAsia"/>
        </w:rPr>
      </w:pPr>
      <w:r>
        <w:rPr>
          <w:rFonts w:hint="eastAsia"/>
        </w:rPr>
        <w:t>484.</w:t>
      </w:r>
      <w:r>
        <w:rPr>
          <w:rFonts w:hint="eastAsia"/>
        </w:rPr>
        <w:tab/>
        <w:t>2004</w:t>
      </w:r>
      <w:r>
        <w:rPr>
          <w:rFonts w:hint="eastAsia"/>
        </w:rPr>
        <w:t>财政年度，核准的住房补贴项目资金达到</w:t>
      </w:r>
      <w:r>
        <w:rPr>
          <w:rFonts w:hint="eastAsia"/>
        </w:rPr>
        <w:t>18</w:t>
      </w:r>
      <w:r>
        <w:t>.</w:t>
      </w:r>
      <w:r>
        <w:rPr>
          <w:rFonts w:hint="eastAsia"/>
        </w:rPr>
        <w:t>67</w:t>
      </w:r>
      <w:r>
        <w:rPr>
          <w:rFonts w:hint="eastAsia"/>
        </w:rPr>
        <w:t>亿比索；其中</w:t>
      </w:r>
      <w:r>
        <w:rPr>
          <w:rFonts w:hint="eastAsia"/>
        </w:rPr>
        <w:t>16</w:t>
      </w:r>
      <w:r>
        <w:t>.</w:t>
      </w:r>
      <w:r>
        <w:rPr>
          <w:rFonts w:hint="eastAsia"/>
        </w:rPr>
        <w:t>07</w:t>
      </w:r>
      <w:r>
        <w:rPr>
          <w:rFonts w:hint="eastAsia"/>
        </w:rPr>
        <w:t>亿比索投入到“你的住房”方案，</w:t>
      </w:r>
      <w:r>
        <w:rPr>
          <w:rFonts w:hint="eastAsia"/>
        </w:rPr>
        <w:t>2</w:t>
      </w:r>
      <w:r>
        <w:t>.</w:t>
      </w:r>
      <w:r>
        <w:rPr>
          <w:rFonts w:hint="eastAsia"/>
        </w:rPr>
        <w:t>6</w:t>
      </w:r>
      <w:r>
        <w:rPr>
          <w:rFonts w:hint="eastAsia"/>
        </w:rPr>
        <w:t>亿比索投入到“农村住房”方案。此外，国家社会住房基金受权捐赠</w:t>
      </w:r>
      <w:r>
        <w:rPr>
          <w:rFonts w:hint="eastAsia"/>
        </w:rPr>
        <w:t>8</w:t>
      </w:r>
      <w:r>
        <w:t>.</w:t>
      </w:r>
      <w:r>
        <w:rPr>
          <w:rFonts w:hint="eastAsia"/>
        </w:rPr>
        <w:t>223</w:t>
      </w:r>
      <w:r>
        <w:rPr>
          <w:rFonts w:hint="eastAsia"/>
        </w:rPr>
        <w:t>亿比索的自有资金，为“完成住房”方案提供贷款。</w:t>
      </w:r>
    </w:p>
    <w:p w:rsidR="00000000" w:rsidRDefault="00457650">
      <w:pPr>
        <w:keepNext/>
        <w:widowControl/>
        <w:tabs>
          <w:tab w:val="left" w:pos="720"/>
        </w:tabs>
        <w:spacing w:after="240" w:line="380" w:lineRule="exact"/>
        <w:rPr>
          <w:rFonts w:ascii="SimHei" w:eastAsia="SimHei" w:hint="eastAsia"/>
        </w:rPr>
      </w:pPr>
      <w:r>
        <w:rPr>
          <w:rFonts w:ascii="SimHei" w:eastAsia="SimHei" w:hint="eastAsia"/>
        </w:rPr>
        <w:t>第</w:t>
      </w:r>
      <w:r>
        <w:rPr>
          <w:rFonts w:ascii="SimHei" w:eastAsia="SimHei" w:hint="eastAsia"/>
        </w:rPr>
        <w:t>44</w:t>
      </w:r>
      <w:r>
        <w:rPr>
          <w:rFonts w:ascii="SimHei" w:eastAsia="SimHei" w:hint="eastAsia"/>
        </w:rPr>
        <w:t>段（</w:t>
      </w:r>
      <w:r>
        <w:rPr>
          <w:rFonts w:ascii="SimHei" w:eastAsia="SimHei" w:hint="eastAsia"/>
        </w:rPr>
        <w:t>d</w:t>
      </w:r>
      <w:r>
        <w:rPr>
          <w:rFonts w:ascii="SimHei" w:eastAsia="SimHei" w:hint="eastAsia"/>
        </w:rPr>
        <w:t>）（五）</w:t>
      </w:r>
    </w:p>
    <w:p w:rsidR="00000000" w:rsidRDefault="00457650">
      <w:pPr>
        <w:keepNext/>
        <w:widowControl/>
        <w:tabs>
          <w:tab w:val="left" w:pos="630"/>
        </w:tabs>
        <w:spacing w:after="240" w:line="380" w:lineRule="exact"/>
        <w:rPr>
          <w:rFonts w:hint="eastAsia"/>
        </w:rPr>
      </w:pPr>
      <w:r>
        <w:rPr>
          <w:rFonts w:hint="eastAsia"/>
        </w:rPr>
        <w:t>485.</w:t>
      </w:r>
      <w:r>
        <w:rPr>
          <w:rFonts w:hint="eastAsia"/>
        </w:rPr>
        <w:tab/>
      </w:r>
      <w:r>
        <w:rPr>
          <w:rFonts w:hint="eastAsia"/>
        </w:rPr>
        <w:t>墨西哥继续保持技术和财政方面的合作关系。扩大合作关系为它带来了其他种类的经验。</w:t>
      </w:r>
    </w:p>
    <w:p w:rsidR="00000000" w:rsidRDefault="00457650">
      <w:pPr>
        <w:widowControl/>
        <w:tabs>
          <w:tab w:val="left" w:pos="630"/>
        </w:tabs>
        <w:spacing w:after="240" w:line="360" w:lineRule="exact"/>
        <w:rPr>
          <w:rFonts w:hint="eastAsia"/>
        </w:rPr>
      </w:pPr>
      <w:r>
        <w:rPr>
          <w:rFonts w:hint="eastAsia"/>
        </w:rPr>
        <w:t>486.</w:t>
      </w:r>
      <w:r>
        <w:rPr>
          <w:rFonts w:hint="eastAsia"/>
        </w:rPr>
        <w:tab/>
      </w:r>
      <w:r>
        <w:rPr>
          <w:rFonts w:hint="eastAsia"/>
        </w:rPr>
        <w:t>有权受益的人包括指定城镇和</w:t>
      </w:r>
      <w:r>
        <w:rPr>
          <w:rFonts w:hint="eastAsia"/>
        </w:rPr>
        <w:t>/</w:t>
      </w:r>
      <w:r>
        <w:rPr>
          <w:rFonts w:hint="eastAsia"/>
        </w:rPr>
        <w:t>或城市区域中无积累财富的贫穷家庭。这些受益人中，特别应当关注的是处于不利境况的人群和弱势群体，例如</w:t>
      </w:r>
      <w:r>
        <w:rPr>
          <w:rFonts w:hint="eastAsia"/>
        </w:rPr>
        <w:t>能力受损人群，老年人和高风险建筑或地区的居民。</w:t>
      </w:r>
    </w:p>
    <w:p w:rsidR="00000000" w:rsidRDefault="00457650">
      <w:pPr>
        <w:widowControl/>
        <w:tabs>
          <w:tab w:val="left" w:pos="630"/>
        </w:tabs>
        <w:spacing w:after="240" w:line="360" w:lineRule="exact"/>
        <w:rPr>
          <w:rFonts w:hint="eastAsia"/>
        </w:rPr>
      </w:pPr>
      <w:r>
        <w:rPr>
          <w:rFonts w:hint="eastAsia"/>
        </w:rPr>
        <w:t>487.</w:t>
      </w:r>
      <w:r>
        <w:rPr>
          <w:rFonts w:hint="eastAsia"/>
        </w:rPr>
        <w:tab/>
      </w:r>
      <w:r>
        <w:rPr>
          <w:rFonts w:hint="eastAsia"/>
        </w:rPr>
        <w:t>在每个指定城镇，根据提供的基金，有可能确定或指定一个或多个重点关注区域实施项目。</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44</w:t>
      </w:r>
      <w:r>
        <w:rPr>
          <w:rFonts w:ascii="SimHei" w:eastAsia="SimHei" w:hint="eastAsia"/>
        </w:rPr>
        <w:t>段（</w:t>
      </w:r>
      <w:r>
        <w:rPr>
          <w:rFonts w:ascii="SimHei" w:eastAsia="SimHei" w:hint="eastAsia"/>
        </w:rPr>
        <w:t>d</w:t>
      </w:r>
      <w:r>
        <w:rPr>
          <w:rFonts w:ascii="SimHei" w:eastAsia="SimHei" w:hint="eastAsia"/>
        </w:rPr>
        <w:t>）（六）</w:t>
      </w:r>
    </w:p>
    <w:p w:rsidR="00000000" w:rsidRDefault="00457650">
      <w:pPr>
        <w:widowControl/>
        <w:tabs>
          <w:tab w:val="left" w:pos="630"/>
        </w:tabs>
        <w:spacing w:after="240" w:line="360" w:lineRule="exact"/>
        <w:rPr>
          <w:rFonts w:hint="eastAsia"/>
        </w:rPr>
      </w:pPr>
      <w:r>
        <w:rPr>
          <w:rFonts w:hint="eastAsia"/>
        </w:rPr>
        <w:t>488.</w:t>
      </w:r>
      <w:r>
        <w:rPr>
          <w:rFonts w:hint="eastAsia"/>
        </w:rPr>
        <w:tab/>
      </w:r>
      <w:r>
        <w:rPr>
          <w:rFonts w:hint="eastAsia"/>
        </w:rPr>
        <w:t>上面提到的居住地方案中包括了“城市规划和居住地发展机构”计划，它支持促进城市的发展和管理，并培训负责鼓励地方发展建议和实践的民间管理机构，以便改善城市环境，建设有序、安全、可持续、舒适和具有竞争力的城镇。</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44</w:t>
      </w:r>
      <w:r>
        <w:rPr>
          <w:rFonts w:ascii="SimHei" w:eastAsia="SimHei" w:hint="eastAsia"/>
        </w:rPr>
        <w:t>段（</w:t>
      </w:r>
      <w:r>
        <w:rPr>
          <w:rFonts w:ascii="SimHei" w:eastAsia="SimHei" w:hint="eastAsia"/>
        </w:rPr>
        <w:t>d</w:t>
      </w:r>
      <w:r>
        <w:rPr>
          <w:rFonts w:ascii="SimHei" w:eastAsia="SimHei" w:hint="eastAsia"/>
        </w:rPr>
        <w:t>）（七）</w:t>
      </w:r>
    </w:p>
    <w:p w:rsidR="00000000" w:rsidRDefault="00457650">
      <w:pPr>
        <w:widowControl/>
        <w:tabs>
          <w:tab w:val="left" w:pos="630"/>
        </w:tabs>
        <w:spacing w:after="240" w:line="360" w:lineRule="exact"/>
        <w:rPr>
          <w:rFonts w:hint="eastAsia"/>
        </w:rPr>
      </w:pPr>
      <w:r>
        <w:rPr>
          <w:rFonts w:hint="eastAsia"/>
        </w:rPr>
        <w:t>489.</w:t>
      </w:r>
      <w:r>
        <w:rPr>
          <w:rFonts w:hint="eastAsia"/>
        </w:rPr>
        <w:tab/>
      </w:r>
      <w:r>
        <w:rPr>
          <w:rFonts w:hint="eastAsia"/>
        </w:rPr>
        <w:t>居住地方案向贫穷人口提供福利，并帮助他们脱贫，该方案开展的活动包括：在地方社区的参与下，改善城市附近和</w:t>
      </w:r>
      <w:r>
        <w:rPr>
          <w:rFonts w:hint="eastAsia"/>
        </w:rPr>
        <w:t>地区贫穷人口集中的居住地；鼓励城市规划和管理以及地方发展，促进对各类公共、私人和社会协会进行协调；通过保存和保护历史中心的活动，加强人口的认同、安置和自尊。</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44</w:t>
      </w:r>
      <w:r>
        <w:rPr>
          <w:rFonts w:ascii="SimHei" w:eastAsia="SimHei" w:hint="eastAsia"/>
        </w:rPr>
        <w:t>段（</w:t>
      </w:r>
      <w:r>
        <w:rPr>
          <w:rFonts w:ascii="SimHei" w:eastAsia="SimHei" w:hint="eastAsia"/>
        </w:rPr>
        <w:t>e</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490.</w:t>
      </w:r>
      <w:r>
        <w:rPr>
          <w:rFonts w:hint="eastAsia"/>
        </w:rPr>
        <w:tab/>
      </w:r>
      <w:r>
        <w:rPr>
          <w:rFonts w:hint="eastAsia"/>
        </w:rPr>
        <w:t>在报告所涉期间，国家政策、法律和实践的变化没有对充分居住权产生任何负面影响。</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45</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491.</w:t>
      </w:r>
      <w:r>
        <w:rPr>
          <w:rFonts w:hint="eastAsia"/>
        </w:rPr>
        <w:tab/>
      </w:r>
      <w:r>
        <w:rPr>
          <w:rFonts w:hint="eastAsia"/>
        </w:rPr>
        <w:t>本文件全文回答此问题。</w:t>
      </w:r>
    </w:p>
    <w:p w:rsidR="00000000" w:rsidRDefault="00457650">
      <w:pPr>
        <w:widowControl/>
        <w:tabs>
          <w:tab w:val="left" w:pos="720"/>
        </w:tabs>
        <w:spacing w:after="240" w:line="360" w:lineRule="exact"/>
        <w:rPr>
          <w:rFonts w:ascii="SimHei" w:eastAsia="SimHei" w:hint="eastAsia"/>
        </w:rPr>
      </w:pPr>
      <w:r>
        <w:rPr>
          <w:rFonts w:ascii="SimHei" w:eastAsia="SimHei" w:hint="eastAsia"/>
        </w:rPr>
        <w:t>第</w:t>
      </w:r>
      <w:r>
        <w:rPr>
          <w:rFonts w:ascii="SimHei" w:eastAsia="SimHei" w:hint="eastAsia"/>
        </w:rPr>
        <w:t>46</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492.</w:t>
      </w:r>
      <w:r>
        <w:rPr>
          <w:rFonts w:hint="eastAsia"/>
        </w:rPr>
        <w:tab/>
      </w:r>
      <w:r>
        <w:rPr>
          <w:rFonts w:hint="eastAsia"/>
        </w:rPr>
        <w:t>墨西哥政府做出了巨大努力，利用国家资源，实施各种方案确保充分实现第</w:t>
      </w:r>
      <w:r>
        <w:rPr>
          <w:rFonts w:hint="eastAsia"/>
        </w:rPr>
        <w:t>11</w:t>
      </w:r>
      <w:r>
        <w:rPr>
          <w:rFonts w:hint="eastAsia"/>
        </w:rPr>
        <w:t>条所规定的权利。它开展国际合作以补充这些努力，特别是促进认识各种不同的经验。</w:t>
      </w:r>
    </w:p>
    <w:p w:rsidR="00000000" w:rsidRDefault="00457650">
      <w:pPr>
        <w:widowControl/>
        <w:tabs>
          <w:tab w:val="left" w:pos="720"/>
        </w:tabs>
        <w:spacing w:after="240" w:line="360" w:lineRule="exact"/>
        <w:jc w:val="center"/>
        <w:rPr>
          <w:rFonts w:ascii="SimHei" w:eastAsia="SimHei" w:hint="eastAsia"/>
          <w:sz w:val="24"/>
        </w:rPr>
      </w:pPr>
      <w:r>
        <w:rPr>
          <w:rFonts w:ascii="SimHei" w:eastAsia="SimHei" w:hint="eastAsia"/>
          <w:sz w:val="24"/>
        </w:rPr>
        <w:t xml:space="preserve">G. </w:t>
      </w:r>
      <w:r>
        <w:rPr>
          <w:rFonts w:ascii="SimHei" w:eastAsia="SimHei" w:hint="eastAsia"/>
          <w:sz w:val="24"/>
        </w:rPr>
        <w:t>第</w:t>
      </w:r>
      <w:r>
        <w:rPr>
          <w:rFonts w:ascii="SimHei" w:eastAsia="SimHei" w:hint="eastAsia"/>
          <w:sz w:val="24"/>
        </w:rPr>
        <w:t>12</w:t>
      </w:r>
      <w:r>
        <w:rPr>
          <w:rFonts w:ascii="SimHei" w:eastAsia="SimHei" w:hint="eastAsia"/>
          <w:sz w:val="24"/>
        </w:rPr>
        <w:t>条</w:t>
      </w:r>
    </w:p>
    <w:p w:rsidR="00000000" w:rsidRDefault="00457650">
      <w:pPr>
        <w:widowControl/>
        <w:tabs>
          <w:tab w:val="left" w:pos="720"/>
        </w:tabs>
        <w:spacing w:after="240" w:line="360" w:lineRule="exact"/>
        <w:rPr>
          <w:rFonts w:ascii="SimHei" w:eastAsia="SimHei" w:hint="eastAsia"/>
        </w:rPr>
      </w:pPr>
      <w:r>
        <w:rPr>
          <w:rFonts w:ascii="SimHei" w:eastAsia="SimHei" w:hint="eastAsia"/>
        </w:rPr>
        <w:t>指南第</w:t>
      </w:r>
      <w:r>
        <w:rPr>
          <w:rFonts w:ascii="SimHei" w:eastAsia="SimHei" w:hint="eastAsia"/>
        </w:rPr>
        <w:t>47</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493.</w:t>
      </w:r>
      <w:r>
        <w:rPr>
          <w:rFonts w:hint="eastAsia"/>
        </w:rPr>
        <w:tab/>
      </w:r>
      <w:r>
        <w:rPr>
          <w:rFonts w:hint="eastAsia"/>
        </w:rPr>
        <w:t>在社会和人的发展部分，《国家发展规划》就增强人民的福祉和能力提出了方法建议，增加公正和平等的机会，加强社会凝聚力和资本，提高政府的应变能力，实施部门、机构和地区特别方案，促进州、地区和联邦之间的互动。《国家发展规划》确定了三个基本重点：为人民创造更多公正和平等的机会，并增强其能力。</w:t>
      </w:r>
    </w:p>
    <w:p w:rsidR="00000000" w:rsidRDefault="00457650">
      <w:pPr>
        <w:widowControl/>
        <w:tabs>
          <w:tab w:val="left" w:pos="630"/>
        </w:tabs>
        <w:spacing w:after="240" w:line="360" w:lineRule="exact"/>
        <w:rPr>
          <w:rFonts w:hint="eastAsia"/>
        </w:rPr>
      </w:pPr>
      <w:r>
        <w:rPr>
          <w:rFonts w:hint="eastAsia"/>
        </w:rPr>
        <w:t>494.</w:t>
      </w:r>
      <w:r>
        <w:rPr>
          <w:rFonts w:hint="eastAsia"/>
        </w:rPr>
        <w:tab/>
      </w:r>
      <w:r>
        <w:rPr>
          <w:rFonts w:hint="eastAsia"/>
        </w:rPr>
        <w:t>依据《国家发展规划》，“</w:t>
      </w:r>
      <w:r>
        <w:rPr>
          <w:rFonts w:hint="eastAsia"/>
        </w:rPr>
        <w:t>2001</w:t>
      </w:r>
      <w:r>
        <w:t>-</w:t>
      </w:r>
      <w:r>
        <w:rPr>
          <w:rFonts w:hint="eastAsia"/>
        </w:rPr>
        <w:t>2006</w:t>
      </w:r>
      <w:r>
        <w:rPr>
          <w:rFonts w:hint="eastAsia"/>
        </w:rPr>
        <w:t>年国家健康计划”从这样一种观点出发，即经济发展、社会安康、政治稳定和国家安全完全依靠人民的身体健康。它提出了四个基本前提：</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良好的健康是发展目标之一，是实现真正机会平等必不可</w:t>
      </w:r>
      <w:r>
        <w:rPr>
          <w:rFonts w:hint="eastAsia"/>
        </w:rPr>
        <w:t>少的条件。</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和教育一样，健康是人力资本的关键要素，对个人和国家来说都是最重要的资本形式。提高健康标准和保证教育意味着同时加强个人和社会能力，提高他们的生活水平。</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鉴于其内在的价值和战略潜力，必须停止把健康作为公共管理的一个孤立部分，现在应该将其作为一个所有部门共同追求的社会目标；这意味着健康政策必须和健康政策相配合。</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保护健康实际上是所有社会、所有思想体系和所有政治组织共有的价值观。因此良好的健康是强化我们社会结构的价值观。</w:t>
      </w:r>
    </w:p>
    <w:p w:rsidR="00000000" w:rsidRDefault="00457650">
      <w:pPr>
        <w:widowControl/>
        <w:tabs>
          <w:tab w:val="left" w:pos="630"/>
        </w:tabs>
        <w:spacing w:after="240" w:line="360" w:lineRule="exact"/>
        <w:rPr>
          <w:rFonts w:hint="eastAsia"/>
        </w:rPr>
      </w:pPr>
      <w:r>
        <w:rPr>
          <w:rFonts w:hint="eastAsia"/>
        </w:rPr>
        <w:t>495.</w:t>
      </w:r>
      <w:r>
        <w:rPr>
          <w:rFonts w:hint="eastAsia"/>
        </w:rPr>
        <w:tab/>
      </w:r>
      <w:r>
        <w:rPr>
          <w:rFonts w:hint="eastAsia"/>
        </w:rPr>
        <w:t>“</w:t>
      </w:r>
      <w:r>
        <w:rPr>
          <w:rFonts w:hint="eastAsia"/>
        </w:rPr>
        <w:t>2001</w:t>
      </w:r>
      <w:r>
        <w:t>-</w:t>
      </w:r>
      <w:r>
        <w:rPr>
          <w:rFonts w:hint="eastAsia"/>
        </w:rPr>
        <w:t>2006</w:t>
      </w:r>
      <w:r>
        <w:rPr>
          <w:rFonts w:hint="eastAsia"/>
        </w:rPr>
        <w:t>年国家健康计划”旨在应对墨西哥卫生系统面临的挑战，也</w:t>
      </w:r>
      <w:r>
        <w:rPr>
          <w:rFonts w:hint="eastAsia"/>
        </w:rPr>
        <w:t>就是公平、质量和财政保护。为实现这一目的，专门制定了同以下五个基本目标关系密切的具体政策：（</w:t>
      </w:r>
      <w:r>
        <w:rPr>
          <w:rFonts w:hint="eastAsia"/>
        </w:rPr>
        <w:t>1</w:t>
      </w:r>
      <w:r>
        <w:rPr>
          <w:rFonts w:hint="eastAsia"/>
        </w:rPr>
        <w:t>）增强所有墨西哥人的健康；（</w:t>
      </w:r>
      <w:r>
        <w:rPr>
          <w:rFonts w:hint="eastAsia"/>
        </w:rPr>
        <w:t>2</w:t>
      </w:r>
      <w:r>
        <w:rPr>
          <w:rFonts w:hint="eastAsia"/>
        </w:rPr>
        <w:t>）与健康领域的不平等现象作斗争；（</w:t>
      </w:r>
      <w:r>
        <w:rPr>
          <w:rFonts w:hint="eastAsia"/>
        </w:rPr>
        <w:t>3</w:t>
      </w:r>
      <w:r>
        <w:rPr>
          <w:rFonts w:hint="eastAsia"/>
        </w:rPr>
        <w:t>）提高公共和私人服务的应变能力；（</w:t>
      </w:r>
      <w:r>
        <w:rPr>
          <w:rFonts w:hint="eastAsia"/>
        </w:rPr>
        <w:t>4</w:t>
      </w:r>
      <w:r>
        <w:rPr>
          <w:rFonts w:hint="eastAsia"/>
        </w:rPr>
        <w:t>）在为健康投资方面一视同仁；（</w:t>
      </w:r>
      <w:r>
        <w:rPr>
          <w:rFonts w:hint="eastAsia"/>
        </w:rPr>
        <w:t>5</w:t>
      </w:r>
      <w:r>
        <w:rPr>
          <w:rFonts w:hint="eastAsia"/>
        </w:rPr>
        <w:t>）加强卫生系统，特别是相关的公共机构。</w:t>
      </w:r>
    </w:p>
    <w:p w:rsidR="00000000" w:rsidRDefault="00457650">
      <w:pPr>
        <w:widowControl/>
        <w:tabs>
          <w:tab w:val="left" w:pos="720"/>
        </w:tabs>
        <w:spacing w:after="240" w:line="360" w:lineRule="exact"/>
        <w:rPr>
          <w:rFonts w:hint="eastAsia"/>
        </w:rPr>
      </w:pPr>
      <w:r>
        <w:rPr>
          <w:rFonts w:hint="eastAsia"/>
        </w:rPr>
        <w:t>496.</w:t>
      </w:r>
      <w:r>
        <w:rPr>
          <w:rFonts w:hint="eastAsia"/>
        </w:rPr>
        <w:tab/>
      </w:r>
      <w:r>
        <w:rPr>
          <w:rFonts w:hint="eastAsia"/>
        </w:rPr>
        <w:t>通过以下</w:t>
      </w:r>
      <w:r>
        <w:rPr>
          <w:rFonts w:hint="eastAsia"/>
        </w:rPr>
        <w:t>10</w:t>
      </w:r>
      <w:r>
        <w:rPr>
          <w:rFonts w:hint="eastAsia"/>
        </w:rPr>
        <w:t>项战略实现上述目标：</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把健康和经济社会发展联系起来；</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减少影响贫穷人口的健康赤字；</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通过明确界定重点事项来应对出现的问题；</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发起保证服务质量的运动；</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为每个人提供健康方面的财政保护；</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在保健方面加强联邦合作；</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加强卫生部的</w:t>
      </w:r>
      <w:r>
        <w:rPr>
          <w:rFonts w:hint="eastAsia"/>
        </w:rPr>
        <w:t>指导作用；</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建立综合保健模式；</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扩大所有公民的参与；</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加强人力资源、研究和保健基础设施的发展。</w:t>
      </w:r>
    </w:p>
    <w:p w:rsidR="00000000" w:rsidRDefault="00457650">
      <w:pPr>
        <w:widowControl/>
        <w:tabs>
          <w:tab w:val="left" w:pos="630"/>
        </w:tabs>
        <w:spacing w:after="240" w:line="360" w:lineRule="exact"/>
        <w:rPr>
          <w:rFonts w:hint="eastAsia"/>
        </w:rPr>
      </w:pPr>
      <w:r>
        <w:rPr>
          <w:rFonts w:hint="eastAsia"/>
        </w:rPr>
        <w:t>497.</w:t>
      </w:r>
      <w:r>
        <w:rPr>
          <w:rFonts w:hint="eastAsia"/>
        </w:rPr>
        <w:tab/>
      </w:r>
      <w:r>
        <w:rPr>
          <w:rFonts w:hint="eastAsia"/>
        </w:rPr>
        <w:t>“国家健康计划”还解决心理健康问题，参与打击烟草、酒精和毒品成瘾。心理健康是一大问题，因为至少五分之一的墨西哥人在其一生的某个阶段经历过某种形式的精神紊乱：</w:t>
      </w:r>
      <w:r>
        <w:rPr>
          <w:rFonts w:hint="eastAsia"/>
        </w:rPr>
        <w:t>400</w:t>
      </w:r>
      <w:r>
        <w:rPr>
          <w:rFonts w:hint="eastAsia"/>
        </w:rPr>
        <w:t>万成年人患有抑郁症；</w:t>
      </w:r>
      <w:r>
        <w:rPr>
          <w:rFonts w:hint="eastAsia"/>
        </w:rPr>
        <w:t>50</w:t>
      </w:r>
      <w:r>
        <w:rPr>
          <w:rFonts w:hint="eastAsia"/>
        </w:rPr>
        <w:t>万人患有精神分裂症；</w:t>
      </w:r>
      <w:r>
        <w:rPr>
          <w:rFonts w:hint="eastAsia"/>
        </w:rPr>
        <w:t>100</w:t>
      </w:r>
      <w:r>
        <w:rPr>
          <w:rFonts w:hint="eastAsia"/>
        </w:rPr>
        <w:t>万人患有癫痫症，</w:t>
      </w:r>
      <w:r>
        <w:rPr>
          <w:rFonts w:hint="eastAsia"/>
        </w:rPr>
        <w:t>10%</w:t>
      </w:r>
      <w:r>
        <w:rPr>
          <w:rFonts w:hint="eastAsia"/>
        </w:rPr>
        <w:t>年满</w:t>
      </w:r>
      <w:r>
        <w:rPr>
          <w:rFonts w:hint="eastAsia"/>
        </w:rPr>
        <w:t>65</w:t>
      </w:r>
      <w:r>
        <w:rPr>
          <w:rFonts w:hint="eastAsia"/>
        </w:rPr>
        <w:t>周岁的老年人患有痴呆病。如果这些精神疾病继续呈上升势头，在未来十年墨西哥的精神健康服务将成为其卫生系统的一个主要部门。</w:t>
      </w:r>
    </w:p>
    <w:p w:rsidR="00000000" w:rsidRDefault="00457650">
      <w:pPr>
        <w:widowControl/>
        <w:tabs>
          <w:tab w:val="left" w:pos="630"/>
        </w:tabs>
        <w:spacing w:after="240" w:line="360" w:lineRule="exact"/>
        <w:rPr>
          <w:rFonts w:hint="eastAsia"/>
        </w:rPr>
      </w:pPr>
      <w:r>
        <w:rPr>
          <w:rFonts w:hint="eastAsia"/>
        </w:rPr>
        <w:t>498.</w:t>
      </w:r>
      <w:r>
        <w:rPr>
          <w:rFonts w:hint="eastAsia"/>
        </w:rPr>
        <w:tab/>
      </w:r>
      <w:r>
        <w:rPr>
          <w:rFonts w:hint="eastAsia"/>
        </w:rPr>
        <w:t>在导致墨西哥健康寿命年数减少的</w:t>
      </w:r>
      <w:r>
        <w:rPr>
          <w:rFonts w:hint="eastAsia"/>
        </w:rPr>
        <w:t>15</w:t>
      </w:r>
      <w:r>
        <w:rPr>
          <w:rFonts w:hint="eastAsia"/>
        </w:rPr>
        <w:t>个主要原因中，包括精神疾病和神经疾病；其中有六种要么与精神紊乱有关，要么与吸毒成瘾有关，其中包括杀人和暴力、机动车辆事故、脑血管疾病、肝硬化、痴呆、酗酒和抑郁症，它们导致健康寿命年数损失了</w:t>
      </w:r>
      <w:r>
        <w:rPr>
          <w:rFonts w:hint="eastAsia"/>
        </w:rPr>
        <w:t>18%</w:t>
      </w:r>
      <w:r>
        <w:rPr>
          <w:rFonts w:hint="eastAsia"/>
        </w:rPr>
        <w:t>。</w:t>
      </w:r>
    </w:p>
    <w:p w:rsidR="00000000" w:rsidRDefault="00457650">
      <w:pPr>
        <w:widowControl/>
        <w:tabs>
          <w:tab w:val="left" w:pos="630"/>
        </w:tabs>
        <w:spacing w:after="240" w:line="360" w:lineRule="exact"/>
        <w:rPr>
          <w:rFonts w:hint="eastAsia"/>
        </w:rPr>
      </w:pPr>
      <w:r>
        <w:rPr>
          <w:rFonts w:hint="eastAsia"/>
        </w:rPr>
        <w:t>499.</w:t>
      </w:r>
      <w:r>
        <w:rPr>
          <w:rFonts w:hint="eastAsia"/>
        </w:rPr>
        <w:tab/>
      </w:r>
      <w:r>
        <w:rPr>
          <w:rFonts w:hint="eastAsia"/>
        </w:rPr>
        <w:t>应该注意的是，世界卫生组织（卫生组织）认为心理健康是总体健康的组成部分，被定义为</w:t>
      </w:r>
      <w:r>
        <w:rPr>
          <w:rFonts w:hint="eastAsia"/>
        </w:rPr>
        <w:t xml:space="preserve"> </w:t>
      </w:r>
      <w:r>
        <w:rPr>
          <w:rFonts w:hint="eastAsia"/>
        </w:rPr>
        <w:t>“一种完整的身体、心理和社会安康状态，而不仅是指没有疾病或身体不虚弱。”墨西哥政府认识到其卫生政策的社会心理方面没有受到和其他方面同样的重视，不过它正在逐步实施必要的公共政策以改变这一情况。</w:t>
      </w:r>
    </w:p>
    <w:p w:rsidR="00000000" w:rsidRDefault="00457650">
      <w:pPr>
        <w:widowControl/>
        <w:tabs>
          <w:tab w:val="left" w:pos="630"/>
        </w:tabs>
        <w:spacing w:after="240" w:line="360" w:lineRule="exact"/>
        <w:rPr>
          <w:rFonts w:hint="eastAsia"/>
        </w:rPr>
      </w:pPr>
      <w:r>
        <w:rPr>
          <w:rFonts w:hint="eastAsia"/>
        </w:rPr>
        <w:t>500.</w:t>
      </w:r>
      <w:r>
        <w:rPr>
          <w:rFonts w:hint="eastAsia"/>
        </w:rPr>
        <w:tab/>
      </w:r>
      <w:r>
        <w:rPr>
          <w:rFonts w:hint="eastAsia"/>
        </w:rPr>
        <w:t>联合国大会及其部分机</w:t>
      </w:r>
      <w:r>
        <w:rPr>
          <w:rFonts w:hint="eastAsia"/>
        </w:rPr>
        <w:t>构（卫生组织、教科文组织、儿童基金会和劳工组织），以及美洲国家组织，要求会员国加强心理健康方案，重新考虑采取普遍的政策，使丧失能力的精神病人在医院得到专门治疗，为增强人们的心理健康提供更多的初级保健服务，并促进社会中的个人和组织团体更多地参与。</w:t>
      </w:r>
    </w:p>
    <w:p w:rsidR="00000000" w:rsidRDefault="00457650">
      <w:pPr>
        <w:widowControl/>
        <w:tabs>
          <w:tab w:val="left" w:pos="630"/>
        </w:tabs>
        <w:spacing w:after="240" w:line="360" w:lineRule="exact"/>
        <w:rPr>
          <w:rFonts w:hint="eastAsia"/>
        </w:rPr>
      </w:pPr>
      <w:r>
        <w:rPr>
          <w:rFonts w:hint="eastAsia"/>
        </w:rPr>
        <w:t>501.</w:t>
      </w:r>
      <w:r>
        <w:rPr>
          <w:rFonts w:hint="eastAsia"/>
        </w:rPr>
        <w:tab/>
      </w:r>
      <w:r>
        <w:rPr>
          <w:rFonts w:hint="eastAsia"/>
        </w:rPr>
        <w:t>在大多数国家，生活水平的提高毫无例外地导致健康指标显著提高。但是，在像墨西哥这样的新兴经济体中，缺少保健服务导致的疾病和快速城市化导致的疾病有所重合，如发生质变的慢性疾病，包括神经和精神疾病，近年来还出现了许多流行病。</w:t>
      </w:r>
    </w:p>
    <w:p w:rsidR="00000000" w:rsidRDefault="00457650">
      <w:pPr>
        <w:widowControl/>
        <w:tabs>
          <w:tab w:val="left" w:pos="630"/>
        </w:tabs>
        <w:spacing w:after="240" w:line="360" w:lineRule="exact"/>
        <w:rPr>
          <w:rFonts w:hint="eastAsia"/>
        </w:rPr>
      </w:pPr>
      <w:r>
        <w:rPr>
          <w:rFonts w:hint="eastAsia"/>
        </w:rPr>
        <w:t>502.</w:t>
      </w:r>
      <w:r>
        <w:rPr>
          <w:rFonts w:hint="eastAsia"/>
        </w:rPr>
        <w:tab/>
      </w:r>
      <w:r>
        <w:rPr>
          <w:rFonts w:hint="eastAsia"/>
        </w:rPr>
        <w:t>国家心理健康政策的实行不仅</w:t>
      </w:r>
      <w:r>
        <w:rPr>
          <w:rFonts w:hint="eastAsia"/>
        </w:rPr>
        <w:t>需要保健机构参加，还需要教育、劳动、发展和社会融合部门的参与以及联邦、州和市各级机构乃至整个社会的参与。国家保健计划提出了有利于健康社区发展的战略，以保证这些社区的人民实现自我发展，同时还提出了扩大卫生服务覆盖面的战略，对信息技术进行投资，以改善偏僻社区的卫生福利事业。</w:t>
      </w:r>
    </w:p>
    <w:p w:rsidR="00000000" w:rsidRDefault="00457650">
      <w:pPr>
        <w:widowControl/>
        <w:tabs>
          <w:tab w:val="left" w:pos="630"/>
        </w:tabs>
        <w:spacing w:after="240" w:line="360" w:lineRule="exact"/>
        <w:rPr>
          <w:rFonts w:hint="eastAsia"/>
        </w:rPr>
      </w:pPr>
      <w:r>
        <w:rPr>
          <w:rFonts w:hint="eastAsia"/>
        </w:rPr>
        <w:t>503.</w:t>
      </w:r>
      <w:r>
        <w:rPr>
          <w:rFonts w:hint="eastAsia"/>
        </w:rPr>
        <w:tab/>
      </w:r>
      <w:r>
        <w:rPr>
          <w:rFonts w:hint="eastAsia"/>
        </w:rPr>
        <w:t>另外，还努力促进联邦化和权力下放，以此更加公平地分配现有资源，并建立一个综合保健模式。</w:t>
      </w:r>
    </w:p>
    <w:p w:rsidR="00000000" w:rsidRDefault="00457650">
      <w:pPr>
        <w:widowControl/>
        <w:tabs>
          <w:tab w:val="left" w:pos="630"/>
        </w:tabs>
        <w:spacing w:after="240" w:line="360" w:lineRule="exact"/>
        <w:rPr>
          <w:rFonts w:hint="eastAsia"/>
        </w:rPr>
      </w:pPr>
      <w:r>
        <w:rPr>
          <w:rFonts w:hint="eastAsia"/>
        </w:rPr>
        <w:t>504.</w:t>
      </w:r>
      <w:r>
        <w:rPr>
          <w:rFonts w:hint="eastAsia"/>
        </w:rPr>
        <w:tab/>
        <w:t>2001</w:t>
      </w:r>
      <w:r>
        <w:t>-</w:t>
      </w:r>
      <w:r>
        <w:rPr>
          <w:rFonts w:hint="eastAsia"/>
        </w:rPr>
        <w:t>2006</w:t>
      </w:r>
      <w:r>
        <w:rPr>
          <w:rFonts w:hint="eastAsia"/>
        </w:rPr>
        <w:t>年心理健康方案的部分活动将向</w:t>
      </w:r>
      <w:r>
        <w:rPr>
          <w:rFonts w:hint="eastAsia"/>
        </w:rPr>
        <w:t>1 500</w:t>
      </w:r>
      <w:r>
        <w:rPr>
          <w:rFonts w:hint="eastAsia"/>
        </w:rPr>
        <w:t>万患有某种精神疾病的墨西哥人及其家庭提供帮助。要了解更多关于心理健康方案的信</w:t>
      </w:r>
      <w:r>
        <w:rPr>
          <w:rFonts w:hint="eastAsia"/>
        </w:rPr>
        <w:t>息，请查询卫生部网址：</w:t>
      </w:r>
      <w:r>
        <w:rPr>
          <w:rFonts w:hint="eastAsia"/>
        </w:rPr>
        <w:t>http</w:t>
      </w:r>
      <w:r>
        <w:rPr>
          <w:rFonts w:hint="eastAsia"/>
        </w:rPr>
        <w:t>：</w:t>
      </w:r>
      <w:r>
        <w:rPr>
          <w:rFonts w:hint="eastAsia"/>
        </w:rPr>
        <w:t>//www.salud.gob.mx</w:t>
      </w:r>
      <w:r>
        <w:rPr>
          <w:rFonts w:hint="eastAsia"/>
        </w:rPr>
        <w:t>。</w:t>
      </w:r>
    </w:p>
    <w:p w:rsidR="00000000" w:rsidRDefault="00457650">
      <w:pPr>
        <w:keepNext/>
        <w:widowControl/>
        <w:tabs>
          <w:tab w:val="left" w:pos="630"/>
        </w:tabs>
        <w:spacing w:after="240" w:line="380" w:lineRule="exact"/>
        <w:rPr>
          <w:rFonts w:ascii="SimHei" w:eastAsia="SimHei" w:hint="eastAsia"/>
        </w:rPr>
      </w:pPr>
      <w:r>
        <w:rPr>
          <w:rFonts w:ascii="SimHei" w:eastAsia="SimHei" w:hint="eastAsia"/>
        </w:rPr>
        <w:t>第</w:t>
      </w:r>
      <w:r>
        <w:rPr>
          <w:rFonts w:ascii="SimHei" w:eastAsia="SimHei" w:hint="eastAsia"/>
        </w:rPr>
        <w:t>48</w:t>
      </w:r>
      <w:r>
        <w:rPr>
          <w:rFonts w:ascii="SimHei" w:eastAsia="SimHei" w:hint="eastAsia"/>
        </w:rPr>
        <w:t>段</w:t>
      </w:r>
    </w:p>
    <w:p w:rsidR="00000000" w:rsidRDefault="00457650">
      <w:pPr>
        <w:keepNext/>
        <w:widowControl/>
        <w:tabs>
          <w:tab w:val="left" w:pos="630"/>
        </w:tabs>
        <w:spacing w:after="240" w:line="380" w:lineRule="exact"/>
        <w:rPr>
          <w:rFonts w:hint="eastAsia"/>
        </w:rPr>
      </w:pPr>
      <w:r>
        <w:rPr>
          <w:rFonts w:hint="eastAsia"/>
        </w:rPr>
        <w:t>505.</w:t>
      </w:r>
      <w:r>
        <w:rPr>
          <w:rFonts w:hint="eastAsia"/>
        </w:rPr>
        <w:tab/>
      </w:r>
      <w:r>
        <w:rPr>
          <w:rFonts w:hint="eastAsia"/>
        </w:rPr>
        <w:t>《墨西哥宪法》第</w:t>
      </w:r>
      <w:r>
        <w:rPr>
          <w:rFonts w:hint="eastAsia"/>
        </w:rPr>
        <w:t>4</w:t>
      </w:r>
      <w:r>
        <w:rPr>
          <w:rFonts w:hint="eastAsia"/>
        </w:rPr>
        <w:t>条第</w:t>
      </w:r>
      <w:r>
        <w:rPr>
          <w:rFonts w:hint="eastAsia"/>
        </w:rPr>
        <w:t>4</w:t>
      </w:r>
      <w:r>
        <w:rPr>
          <w:rFonts w:hint="eastAsia"/>
        </w:rPr>
        <w:t>款规定“每个人都有权享受保健服务”。根据《宪法》第</w:t>
      </w:r>
      <w:r>
        <w:rPr>
          <w:rFonts w:hint="eastAsia"/>
        </w:rPr>
        <w:t>73</w:t>
      </w:r>
      <w:r>
        <w:rPr>
          <w:rFonts w:hint="eastAsia"/>
        </w:rPr>
        <w:t>条第</w:t>
      </w:r>
      <w:r>
        <w:rPr>
          <w:rFonts w:hint="eastAsia"/>
        </w:rPr>
        <w:t>17</w:t>
      </w:r>
      <w:r>
        <w:rPr>
          <w:rFonts w:hint="eastAsia"/>
        </w:rPr>
        <w:t>款，该法律必须规定必要的规则，以保证人们获得保健服务，还应要求联邦政府和联邦管理机构共同参与解决公共卫生领域的所有问题：</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为了实施</w:t>
      </w:r>
      <w:r>
        <w:rPr>
          <w:rFonts w:hint="eastAsia"/>
        </w:rPr>
        <w:t>2001</w:t>
      </w:r>
      <w:r>
        <w:t>-</w:t>
      </w:r>
      <w:r>
        <w:rPr>
          <w:rFonts w:hint="eastAsia"/>
        </w:rPr>
        <w:t>2006</w:t>
      </w:r>
      <w:r>
        <w:rPr>
          <w:rFonts w:hint="eastAsia"/>
        </w:rPr>
        <w:t>年国家发展规划有必要开展一系列活动，确保所有墨西哥人都能获得适当的保健服务和有尊严的治疗，而不影响他们积累财富。</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2001</w:t>
      </w:r>
      <w:r>
        <w:t>-</w:t>
      </w:r>
      <w:r>
        <w:rPr>
          <w:rFonts w:hint="eastAsia"/>
        </w:rPr>
        <w:t>2006</w:t>
      </w:r>
      <w:r>
        <w:rPr>
          <w:rFonts w:hint="eastAsia"/>
        </w:rPr>
        <w:t>年国家健康计划中明确规定了卫生系统的指导原则，这些原则</w:t>
      </w:r>
      <w:r>
        <w:rPr>
          <w:rFonts w:hint="eastAsia"/>
        </w:rPr>
        <w:t>是在广泛的公共咨询基础上制定的，并采纳了</w:t>
      </w:r>
      <w:r>
        <w:rPr>
          <w:rFonts w:hint="eastAsia"/>
        </w:rPr>
        <w:t>23 000</w:t>
      </w:r>
      <w:r>
        <w:rPr>
          <w:rFonts w:hint="eastAsia"/>
        </w:rPr>
        <w:t>多条建议，以这种形式成功地促进了各阶层人民的踊跃参与。</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2001</w:t>
      </w:r>
      <w:r>
        <w:t>-</w:t>
      </w:r>
      <w:r>
        <w:rPr>
          <w:rFonts w:hint="eastAsia"/>
        </w:rPr>
        <w:t>2006</w:t>
      </w:r>
      <w:r>
        <w:rPr>
          <w:rFonts w:hint="eastAsia"/>
        </w:rPr>
        <w:t>年国家健康计划寻求建立普遍、公平、团结、多元、高效、优质、前瞻性、分权性、参与性和与发展相关的卫生系统。它的最高目标是保证到</w:t>
      </w:r>
      <w:r>
        <w:rPr>
          <w:rFonts w:hint="eastAsia"/>
        </w:rPr>
        <w:t>2025</w:t>
      </w:r>
      <w:r>
        <w:rPr>
          <w:rFonts w:hint="eastAsia"/>
        </w:rPr>
        <w:t>年每个墨西哥人都能得到保健服务，其中特别关心弱势群体，为实现这一目标建立一种与其他相关部门联系紧密的保健系统，这些部门包括：社会发展、教育、环境与安全，整个社会都会以支持和接受的态度参与其中。</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加强国家卫生系统需要确认近几十年来取得的进展，同时承认国家存</w:t>
      </w:r>
      <w:r>
        <w:rPr>
          <w:rFonts w:hint="eastAsia"/>
        </w:rPr>
        <w:t>在的不足和面临的新问题，这些问题不仅源于国家的转变，还源于整个国际形势的转变。</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为此，该计划中确定了三项基本目标，实现这些目标有助于为墨西哥带来变化和改善所有墨西哥人的健康状况，有助于减少卫生领域的不平等现象，有助于保证病人得到适当的治疗，避免增加人民的额外开支，同时还能加强公共机构。这三个目标是：公正、质量和财政保护。</w:t>
      </w:r>
    </w:p>
    <w:p w:rsidR="00000000" w:rsidRDefault="00457650">
      <w:pPr>
        <w:widowControl/>
        <w:tabs>
          <w:tab w:val="left" w:pos="630"/>
        </w:tabs>
        <w:spacing w:after="240" w:line="360" w:lineRule="exact"/>
        <w:rPr>
          <w:rFonts w:hint="eastAsia"/>
        </w:rPr>
      </w:pPr>
      <w:r>
        <w:rPr>
          <w:rFonts w:hint="eastAsia"/>
        </w:rPr>
        <w:t>506.</w:t>
      </w:r>
      <w:r>
        <w:rPr>
          <w:rFonts w:hint="eastAsia"/>
        </w:rPr>
        <w:tab/>
      </w:r>
      <w:r>
        <w:rPr>
          <w:rFonts w:hint="eastAsia"/>
        </w:rPr>
        <w:t>为了实现上述目标，卫生部采取多种战略促进人们的健康，并为此开展了一系列正式和非正式、部门内和部门间的活动。卫生部还为以实现以下目标实施了多项战略：</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健康教育；</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社会参与；</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教育交</w:t>
      </w:r>
      <w:r>
        <w:rPr>
          <w:rFonts w:hint="eastAsia"/>
        </w:rPr>
        <w:t>流；</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培训。</w:t>
      </w:r>
    </w:p>
    <w:p w:rsidR="00000000" w:rsidRDefault="00457650">
      <w:pPr>
        <w:widowControl/>
        <w:tabs>
          <w:tab w:val="left" w:pos="630"/>
        </w:tabs>
        <w:spacing w:after="240" w:line="360" w:lineRule="exact"/>
        <w:rPr>
          <w:rFonts w:hint="eastAsia"/>
        </w:rPr>
      </w:pPr>
      <w:r>
        <w:rPr>
          <w:rFonts w:hint="eastAsia"/>
        </w:rPr>
        <w:t>507.</w:t>
      </w:r>
      <w:r>
        <w:rPr>
          <w:rFonts w:hint="eastAsia"/>
        </w:rPr>
        <w:tab/>
      </w:r>
      <w:r>
        <w:rPr>
          <w:rFonts w:hint="eastAsia"/>
        </w:rPr>
        <w:t>卫生部目前正在实施以下两个行动项目：</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“健康社区项目”，旨在根据以下标准制定和实施公共政策，这些标准包括保证尊重非吸烟者，保护环境，保证工作安全以及专为残疾人进行功能性设计。</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 xml:space="preserve"> </w:t>
      </w:r>
      <w:r>
        <w:rPr>
          <w:rFonts w:hint="eastAsia"/>
        </w:rPr>
        <w:t>“部门间健康教育方案”，这是教育部与卫生部之间协议的产物。该方案建议学校教育计划中应包括开展各种活动，鼓励采取健康的生活方式，并避免高危险行为的发生，如吸烟或饮用酒精饮料，滥用成瘾物质和不受保护的性行为。此外还提供关于一般工作环境中内在的生物、物理和化学危险的信息，以及应对方法。该方案致力于与防止各种隐患，鼓</w:t>
      </w:r>
      <w:r>
        <w:rPr>
          <w:rFonts w:hint="eastAsia"/>
        </w:rPr>
        <w:t>励采取保护性行动抵御不稳定的传染病、可免疫防护疾病和影响性和生育能力的疾病。它的主要目标是提高在校生的健康水平，特别关注土著和低收入的农村和城市群体，通过部门间协调以及其他公共和私人组织的支持和社会参与，将此作为实现优质教育综合战略的组成部分。</w:t>
      </w:r>
    </w:p>
    <w:p w:rsidR="00000000" w:rsidRDefault="00457650">
      <w:pPr>
        <w:widowControl/>
        <w:tabs>
          <w:tab w:val="left" w:pos="630"/>
        </w:tabs>
        <w:spacing w:after="240" w:line="360" w:lineRule="exact"/>
        <w:rPr>
          <w:rFonts w:hint="eastAsia"/>
        </w:rPr>
      </w:pPr>
      <w:r>
        <w:rPr>
          <w:rFonts w:hint="eastAsia"/>
        </w:rPr>
        <w:t>508.</w:t>
      </w:r>
      <w:r>
        <w:rPr>
          <w:rFonts w:hint="eastAsia"/>
        </w:rPr>
        <w:tab/>
      </w:r>
      <w:r>
        <w:rPr>
          <w:rFonts w:hint="eastAsia"/>
        </w:rPr>
        <w:t>还有一项“终生健康预防和促进”</w:t>
      </w:r>
      <w:r>
        <w:rPr>
          <w:rFonts w:hint="eastAsia"/>
        </w:rPr>
        <w:t xml:space="preserve"> </w:t>
      </w:r>
      <w:r>
        <w:rPr>
          <w:rFonts w:hint="eastAsia"/>
        </w:rPr>
        <w:t>战略，它涵盖任何人在卫生部保健中心接受的各种形式治疗，无论导致会诊的原因如何，其目的是预测未来的健康问题，严格实施现行规定和技术指导方针。希望通过这种方式提高所有墨西哥人的健康状况，减少健康标准的不公平现象。通过以提供适当信</w:t>
      </w:r>
      <w:r>
        <w:rPr>
          <w:rFonts w:hint="eastAsia"/>
        </w:rPr>
        <w:t>息和促进健康生活方式为重点的活动，努力鼓励公众参与个人自我保健。</w:t>
      </w:r>
    </w:p>
    <w:p w:rsidR="00000000" w:rsidRDefault="00457650">
      <w:pPr>
        <w:widowControl/>
        <w:tabs>
          <w:tab w:val="left" w:pos="630"/>
        </w:tabs>
        <w:spacing w:after="240" w:line="360" w:lineRule="exact"/>
        <w:rPr>
          <w:rFonts w:hint="eastAsia"/>
        </w:rPr>
      </w:pPr>
      <w:r>
        <w:rPr>
          <w:rFonts w:hint="eastAsia"/>
        </w:rPr>
        <w:t>509.</w:t>
      </w:r>
      <w:r>
        <w:rPr>
          <w:rFonts w:hint="eastAsia"/>
        </w:rPr>
        <w:tab/>
      </w:r>
      <w:r>
        <w:rPr>
          <w:rFonts w:hint="eastAsia"/>
        </w:rPr>
        <w:t>“国家健康卡系统”是一项旨在预防和促进健康的战略，鼓励人民采取保护和保持健康的具有建设性的习惯、习俗、态度和做法，将其贯穿终生，也就是从出生到晚年。</w:t>
      </w:r>
    </w:p>
    <w:p w:rsidR="00000000" w:rsidRDefault="00457650">
      <w:pPr>
        <w:widowControl/>
        <w:tabs>
          <w:tab w:val="left" w:pos="630"/>
        </w:tabs>
        <w:spacing w:after="240" w:line="360" w:lineRule="exact"/>
        <w:rPr>
          <w:rFonts w:hint="eastAsia"/>
        </w:rPr>
      </w:pPr>
      <w:r>
        <w:rPr>
          <w:rFonts w:hint="eastAsia"/>
        </w:rPr>
        <w:t>510.</w:t>
      </w:r>
      <w:r>
        <w:rPr>
          <w:rFonts w:hint="eastAsia"/>
        </w:rPr>
        <w:tab/>
      </w:r>
      <w:r>
        <w:rPr>
          <w:rFonts w:hint="eastAsia"/>
        </w:rPr>
        <w:t>这一系统旨在保证特定人群的有效保健，这表明除了提供治疗，还设计实施促进健康的教育性内容。</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49</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511.</w:t>
      </w:r>
      <w:r>
        <w:rPr>
          <w:rFonts w:hint="eastAsia"/>
        </w:rPr>
        <w:tab/>
      </w:r>
      <w:r>
        <w:rPr>
          <w:rFonts w:hint="eastAsia"/>
          <w:spacing w:val="-4"/>
        </w:rPr>
        <w:t>2002</w:t>
      </w:r>
      <w:r>
        <w:rPr>
          <w:rFonts w:hint="eastAsia"/>
          <w:spacing w:val="-4"/>
        </w:rPr>
        <w:t>年，墨西哥将</w:t>
      </w:r>
      <w:r>
        <w:rPr>
          <w:rFonts w:hint="eastAsia"/>
          <w:spacing w:val="-4"/>
        </w:rPr>
        <w:t>5.8%</w:t>
      </w:r>
      <w:r>
        <w:rPr>
          <w:rFonts w:hint="eastAsia"/>
          <w:spacing w:val="-4"/>
        </w:rPr>
        <w:t>的国内生产总值（国内总产值）用于卫生保健。这一数字不仅包括公共支出（</w:t>
      </w:r>
      <w:r>
        <w:rPr>
          <w:rFonts w:hint="eastAsia"/>
          <w:spacing w:val="-4"/>
        </w:rPr>
        <w:t>42.1%</w:t>
      </w:r>
      <w:r>
        <w:rPr>
          <w:rFonts w:hint="eastAsia"/>
          <w:spacing w:val="-4"/>
        </w:rPr>
        <w:t>），还包括私人支出（</w:t>
      </w:r>
      <w:r>
        <w:rPr>
          <w:rFonts w:hint="eastAsia"/>
          <w:spacing w:val="-4"/>
        </w:rPr>
        <w:t>57.9%</w:t>
      </w:r>
      <w:r>
        <w:rPr>
          <w:rFonts w:hint="eastAsia"/>
          <w:spacing w:val="-4"/>
        </w:rPr>
        <w:t>）。在</w:t>
      </w:r>
      <w:r>
        <w:rPr>
          <w:rFonts w:hint="eastAsia"/>
          <w:spacing w:val="-4"/>
        </w:rPr>
        <w:t>1997</w:t>
      </w:r>
      <w:r>
        <w:rPr>
          <w:rFonts w:hint="eastAsia"/>
          <w:spacing w:val="-4"/>
        </w:rPr>
        <w:t>年，健康支出占国</w:t>
      </w:r>
      <w:r>
        <w:rPr>
          <w:rFonts w:hint="eastAsia"/>
          <w:spacing w:val="-4"/>
        </w:rPr>
        <w:t>内总产值的</w:t>
      </w:r>
      <w:r>
        <w:rPr>
          <w:rFonts w:hint="eastAsia"/>
          <w:spacing w:val="-4"/>
        </w:rPr>
        <w:t>5.5%</w:t>
      </w:r>
      <w:r>
        <w:rPr>
          <w:rFonts w:hint="eastAsia"/>
          <w:spacing w:val="-4"/>
        </w:rPr>
        <w:t>，私人支出占其总额的</w:t>
      </w:r>
      <w:r>
        <w:rPr>
          <w:rFonts w:hint="eastAsia"/>
          <w:spacing w:val="-4"/>
        </w:rPr>
        <w:t>54.7%</w:t>
      </w:r>
      <w:r>
        <w:rPr>
          <w:rFonts w:hint="eastAsia"/>
          <w:spacing w:val="-4"/>
        </w:rPr>
        <w:t>，公共支出占</w:t>
      </w:r>
      <w:r>
        <w:rPr>
          <w:rFonts w:hint="eastAsia"/>
          <w:spacing w:val="-4"/>
        </w:rPr>
        <w:t>45.3%</w:t>
      </w:r>
      <w:r>
        <w:rPr>
          <w:rFonts w:hint="eastAsia"/>
          <w:spacing w:val="-4"/>
        </w:rPr>
        <w:t>。公共健康支出总额的</w:t>
      </w:r>
      <w:r>
        <w:rPr>
          <w:rFonts w:hint="eastAsia"/>
          <w:spacing w:val="-4"/>
        </w:rPr>
        <w:t>23%</w:t>
      </w:r>
      <w:r>
        <w:rPr>
          <w:rFonts w:hint="eastAsia"/>
          <w:spacing w:val="-4"/>
        </w:rPr>
        <w:t>用于初级保健（投保和未投保个人的初级保健）。</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50</w:t>
      </w:r>
      <w:r>
        <w:rPr>
          <w:rFonts w:ascii="SimHei" w:eastAsia="SimHei" w:hint="eastAsia"/>
        </w:rPr>
        <w:t>段（</w:t>
      </w:r>
      <w:r>
        <w:rPr>
          <w:rFonts w:ascii="SimHei" w:eastAsia="SimHei" w:hint="eastAsia"/>
        </w:rPr>
        <w:t>a</w:t>
      </w:r>
      <w:r>
        <w:rPr>
          <w:rFonts w:ascii="SimHei" w:eastAsia="SimHei" w:hint="eastAsia"/>
        </w:rPr>
        <w:t>）</w:t>
      </w:r>
    </w:p>
    <w:p w:rsidR="00000000" w:rsidRDefault="00457650">
      <w:pPr>
        <w:widowControl/>
        <w:tabs>
          <w:tab w:val="left" w:pos="630"/>
        </w:tabs>
        <w:spacing w:after="240" w:line="360" w:lineRule="exact"/>
        <w:jc w:val="center"/>
        <w:rPr>
          <w:rFonts w:ascii="SimHei" w:eastAsia="SimHei" w:hint="eastAsia"/>
        </w:rPr>
      </w:pPr>
      <w:r>
        <w:rPr>
          <w:rFonts w:ascii="SimHei" w:eastAsia="SimHei" w:hint="eastAsia"/>
        </w:rPr>
        <w:t>2001</w:t>
      </w:r>
      <w:r>
        <w:rPr>
          <w:rFonts w:ascii="SimHei" w:eastAsia="SimHei" w:hint="eastAsia"/>
        </w:rPr>
        <w:t>年和</w:t>
      </w:r>
      <w:r>
        <w:rPr>
          <w:rFonts w:ascii="SimHei" w:eastAsia="SimHei" w:hint="eastAsia"/>
        </w:rPr>
        <w:t>2002</w:t>
      </w:r>
      <w:r>
        <w:rPr>
          <w:rFonts w:ascii="SimHei" w:eastAsia="SimHei" w:hint="eastAsia"/>
        </w:rPr>
        <w:t>年居住在各州年龄不满一周岁的男女婴儿死亡统计</w:t>
      </w:r>
    </w:p>
    <w:tbl>
      <w:tblPr>
        <w:tblW w:w="5000" w:type="pct"/>
        <w:tblCellMar>
          <w:left w:w="0" w:type="dxa"/>
          <w:right w:w="0" w:type="dxa"/>
        </w:tblCellMar>
        <w:tblLook w:val="0000" w:firstRow="0" w:lastRow="0" w:firstColumn="0" w:lastColumn="0" w:noHBand="0" w:noVBand="0"/>
      </w:tblPr>
      <w:tblGrid>
        <w:gridCol w:w="1688"/>
        <w:gridCol w:w="1022"/>
        <w:gridCol w:w="1022"/>
        <w:gridCol w:w="1022"/>
        <w:gridCol w:w="1012"/>
        <w:gridCol w:w="10"/>
        <w:gridCol w:w="112"/>
        <w:gridCol w:w="910"/>
        <w:gridCol w:w="1022"/>
        <w:gridCol w:w="1022"/>
        <w:gridCol w:w="1024"/>
      </w:tblGrid>
      <w:tr w:rsidR="00000000">
        <w:tblPrEx>
          <w:tblCellMar>
            <w:top w:w="0" w:type="dxa"/>
            <w:bottom w:w="0" w:type="dxa"/>
          </w:tblCellMar>
        </w:tblPrEx>
        <w:trPr>
          <w:cantSplit/>
          <w:tblHeader/>
        </w:trPr>
        <w:tc>
          <w:tcPr>
            <w:tcW w:w="855" w:type="pct"/>
            <w:tcBorders>
              <w:top w:val="single" w:sz="4" w:space="0" w:color="auto"/>
            </w:tcBorders>
            <w:vAlign w:val="center"/>
          </w:tcPr>
          <w:p w:rsidR="00000000" w:rsidRDefault="00457650" w:rsidP="00457650">
            <w:pPr>
              <w:widowControl/>
              <w:tabs>
                <w:tab w:val="left" w:pos="630"/>
              </w:tabs>
              <w:spacing w:after="60" w:line="300" w:lineRule="exact"/>
              <w:ind w:leftChars="50" w:left="31680"/>
              <w:jc w:val="center"/>
              <w:rPr>
                <w:rFonts w:ascii="KaiTi_GB2312" w:eastAsia="KaiTi_GB2312"/>
                <w:sz w:val="18"/>
              </w:rPr>
            </w:pPr>
            <w:r>
              <w:rPr>
                <w:rFonts w:ascii="KaiTi_GB2312" w:eastAsia="KaiTi_GB2312" w:hint="eastAsia"/>
                <w:sz w:val="18"/>
              </w:rPr>
              <w:t>州</w:t>
            </w:r>
          </w:p>
        </w:tc>
        <w:tc>
          <w:tcPr>
            <w:tcW w:w="2067" w:type="pct"/>
            <w:gridSpan w:val="4"/>
            <w:tcBorders>
              <w:top w:val="single" w:sz="4" w:space="0" w:color="auto"/>
              <w:bottom w:val="single" w:sz="4" w:space="0" w:color="auto"/>
            </w:tcBorders>
            <w:vAlign w:val="center"/>
          </w:tcPr>
          <w:p w:rsidR="00000000" w:rsidRDefault="00457650">
            <w:pPr>
              <w:widowControl/>
              <w:tabs>
                <w:tab w:val="left" w:pos="630"/>
              </w:tabs>
              <w:spacing w:after="60" w:line="300" w:lineRule="exact"/>
              <w:ind w:left="50"/>
              <w:jc w:val="center"/>
              <w:rPr>
                <w:rFonts w:ascii="KaiTi_GB2312" w:eastAsia="KaiTi_GB2312" w:hint="eastAsia"/>
                <w:sz w:val="18"/>
              </w:rPr>
            </w:pPr>
            <w:r>
              <w:rPr>
                <w:rFonts w:ascii="KaiTi_GB2312" w:eastAsia="KaiTi_GB2312"/>
                <w:sz w:val="18"/>
              </w:rPr>
              <w:t>2001</w:t>
            </w:r>
            <w:r>
              <w:rPr>
                <w:rFonts w:ascii="KaiTi_GB2312" w:eastAsia="KaiTi_GB2312" w:hint="eastAsia"/>
                <w:sz w:val="18"/>
              </w:rPr>
              <w:t>年</w:t>
            </w:r>
          </w:p>
        </w:tc>
        <w:tc>
          <w:tcPr>
            <w:tcW w:w="62" w:type="pct"/>
            <w:gridSpan w:val="2"/>
            <w:tcBorders>
              <w:top w:val="single" w:sz="4" w:space="0" w:color="auto"/>
            </w:tcBorders>
            <w:vAlign w:val="center"/>
          </w:tcPr>
          <w:p w:rsidR="00000000" w:rsidRDefault="00457650">
            <w:pPr>
              <w:pStyle w:val="Header"/>
              <w:widowControl/>
              <w:pBdr>
                <w:bottom w:val="none" w:sz="0" w:space="0" w:color="auto"/>
              </w:pBdr>
              <w:tabs>
                <w:tab w:val="clear" w:pos="4320"/>
                <w:tab w:val="clear" w:pos="8640"/>
                <w:tab w:val="left" w:pos="630"/>
              </w:tabs>
              <w:spacing w:after="60" w:line="300" w:lineRule="exact"/>
              <w:ind w:left="50"/>
              <w:rPr>
                <w:rFonts w:ascii="KaiTi_GB2312" w:eastAsia="KaiTi_GB2312" w:hint="eastAsia"/>
              </w:rPr>
            </w:pPr>
            <w:r>
              <w:rPr>
                <w:rFonts w:ascii="KaiTi_GB2312" w:eastAsia="KaiTi_GB2312" w:hint="eastAsia"/>
              </w:rPr>
              <w:t xml:space="preserve">  </w:t>
            </w:r>
          </w:p>
        </w:tc>
        <w:tc>
          <w:tcPr>
            <w:tcW w:w="2016" w:type="pct"/>
            <w:gridSpan w:val="4"/>
            <w:tcBorders>
              <w:top w:val="single" w:sz="4" w:space="0" w:color="auto"/>
              <w:bottom w:val="single" w:sz="4" w:space="0" w:color="auto"/>
            </w:tcBorders>
            <w:vAlign w:val="center"/>
          </w:tcPr>
          <w:p w:rsidR="00000000" w:rsidRDefault="00457650">
            <w:pPr>
              <w:widowControl/>
              <w:tabs>
                <w:tab w:val="left" w:pos="630"/>
              </w:tabs>
              <w:spacing w:after="60" w:line="300" w:lineRule="exact"/>
              <w:ind w:left="50"/>
              <w:jc w:val="center"/>
              <w:rPr>
                <w:rFonts w:ascii="KaiTi_GB2312" w:eastAsia="KaiTi_GB2312" w:hint="eastAsia"/>
                <w:sz w:val="18"/>
              </w:rPr>
            </w:pPr>
            <w:r>
              <w:rPr>
                <w:rFonts w:ascii="KaiTi_GB2312" w:eastAsia="KaiTi_GB2312"/>
                <w:sz w:val="18"/>
              </w:rPr>
              <w:t>2002</w:t>
            </w:r>
            <w:r>
              <w:rPr>
                <w:rFonts w:ascii="KaiTi_GB2312" w:eastAsia="KaiTi_GB2312" w:hint="eastAsia"/>
                <w:sz w:val="18"/>
              </w:rPr>
              <w:t>年</w:t>
            </w:r>
          </w:p>
        </w:tc>
      </w:tr>
      <w:tr w:rsidR="00000000">
        <w:tblPrEx>
          <w:tblCellMar>
            <w:top w:w="0" w:type="dxa"/>
            <w:bottom w:w="0" w:type="dxa"/>
          </w:tblCellMar>
        </w:tblPrEx>
        <w:trPr>
          <w:cantSplit/>
          <w:tblHeader/>
        </w:trPr>
        <w:tc>
          <w:tcPr>
            <w:tcW w:w="855" w:type="pct"/>
            <w:tcBorders>
              <w:bottom w:val="single" w:sz="4" w:space="0" w:color="auto"/>
            </w:tcBorders>
            <w:vAlign w:val="center"/>
          </w:tcPr>
          <w:p w:rsidR="00000000" w:rsidRDefault="00457650" w:rsidP="00457650">
            <w:pPr>
              <w:widowControl/>
              <w:tabs>
                <w:tab w:val="left" w:pos="630"/>
              </w:tabs>
              <w:spacing w:after="60" w:line="300" w:lineRule="exact"/>
              <w:ind w:leftChars="50" w:left="31680"/>
              <w:jc w:val="center"/>
              <w:rPr>
                <w:rFonts w:ascii="KaiTi_GB2312" w:eastAsia="KaiTi_GB2312"/>
                <w:sz w:val="18"/>
              </w:rPr>
            </w:pPr>
          </w:p>
        </w:tc>
        <w:tc>
          <w:tcPr>
            <w:tcW w:w="518" w:type="pct"/>
            <w:tcBorders>
              <w:bottom w:val="single" w:sz="4" w:space="0" w:color="auto"/>
            </w:tcBorders>
            <w:vAlign w:val="center"/>
          </w:tcPr>
          <w:p w:rsidR="00000000" w:rsidRDefault="00457650">
            <w:pPr>
              <w:pStyle w:val="Header"/>
              <w:widowControl/>
              <w:pBdr>
                <w:bottom w:val="none" w:sz="0" w:space="0" w:color="auto"/>
              </w:pBdr>
              <w:tabs>
                <w:tab w:val="clear" w:pos="4320"/>
                <w:tab w:val="clear" w:pos="8640"/>
                <w:tab w:val="left" w:pos="630"/>
              </w:tabs>
              <w:spacing w:after="60" w:line="300" w:lineRule="exact"/>
              <w:ind w:left="50"/>
              <w:rPr>
                <w:rFonts w:ascii="KaiTi_GB2312" w:eastAsia="KaiTi_GB2312"/>
              </w:rPr>
            </w:pPr>
            <w:r>
              <w:rPr>
                <w:rFonts w:ascii="KaiTi_GB2312" w:eastAsia="KaiTi_GB2312" w:hint="eastAsia"/>
              </w:rPr>
              <w:t>总数</w:t>
            </w:r>
          </w:p>
        </w:tc>
        <w:tc>
          <w:tcPr>
            <w:tcW w:w="518" w:type="pct"/>
            <w:tcBorders>
              <w:bottom w:val="single" w:sz="4" w:space="0" w:color="auto"/>
            </w:tcBorders>
            <w:vAlign w:val="center"/>
          </w:tcPr>
          <w:p w:rsidR="00000000" w:rsidRDefault="00457650">
            <w:pPr>
              <w:widowControl/>
              <w:tabs>
                <w:tab w:val="left" w:pos="630"/>
              </w:tabs>
              <w:spacing w:after="60" w:line="300" w:lineRule="exact"/>
              <w:ind w:left="50"/>
              <w:jc w:val="center"/>
              <w:rPr>
                <w:rFonts w:ascii="KaiTi_GB2312" w:eastAsia="KaiTi_GB2312" w:hint="eastAsia"/>
                <w:sz w:val="18"/>
              </w:rPr>
            </w:pPr>
            <w:r>
              <w:rPr>
                <w:rFonts w:ascii="KaiTi_GB2312" w:eastAsia="KaiTi_GB2312" w:hint="eastAsia"/>
                <w:sz w:val="18"/>
              </w:rPr>
              <w:t>男</w:t>
            </w:r>
          </w:p>
        </w:tc>
        <w:tc>
          <w:tcPr>
            <w:tcW w:w="518" w:type="pct"/>
            <w:tcBorders>
              <w:bottom w:val="single" w:sz="4" w:space="0" w:color="auto"/>
            </w:tcBorders>
            <w:vAlign w:val="center"/>
          </w:tcPr>
          <w:p w:rsidR="00000000" w:rsidRDefault="00457650">
            <w:pPr>
              <w:widowControl/>
              <w:tabs>
                <w:tab w:val="left" w:pos="630"/>
              </w:tabs>
              <w:spacing w:after="60" w:line="300" w:lineRule="exact"/>
              <w:ind w:left="50"/>
              <w:jc w:val="center"/>
              <w:rPr>
                <w:rFonts w:ascii="KaiTi_GB2312" w:eastAsia="KaiTi_GB2312"/>
                <w:sz w:val="18"/>
              </w:rPr>
            </w:pPr>
            <w:r>
              <w:rPr>
                <w:rFonts w:ascii="KaiTi_GB2312" w:eastAsia="KaiTi_GB2312" w:hint="eastAsia"/>
                <w:sz w:val="18"/>
              </w:rPr>
              <w:t>女</w:t>
            </w:r>
          </w:p>
        </w:tc>
        <w:tc>
          <w:tcPr>
            <w:tcW w:w="518" w:type="pct"/>
            <w:gridSpan w:val="2"/>
            <w:tcBorders>
              <w:bottom w:val="single" w:sz="4" w:space="0" w:color="auto"/>
            </w:tcBorders>
            <w:vAlign w:val="center"/>
          </w:tcPr>
          <w:p w:rsidR="00000000" w:rsidRDefault="00457650">
            <w:pPr>
              <w:widowControl/>
              <w:tabs>
                <w:tab w:val="left" w:pos="630"/>
              </w:tabs>
              <w:spacing w:after="60" w:line="300" w:lineRule="exact"/>
              <w:ind w:left="50"/>
              <w:jc w:val="center"/>
              <w:rPr>
                <w:rFonts w:ascii="KaiTi_GB2312" w:eastAsia="KaiTi_GB2312" w:hint="eastAsia"/>
                <w:sz w:val="18"/>
              </w:rPr>
            </w:pPr>
            <w:r>
              <w:rPr>
                <w:rFonts w:ascii="KaiTi_GB2312" w:eastAsia="KaiTi_GB2312" w:hint="eastAsia"/>
                <w:sz w:val="18"/>
              </w:rPr>
              <w:t>不明</w:t>
            </w:r>
          </w:p>
        </w:tc>
        <w:tc>
          <w:tcPr>
            <w:tcW w:w="518" w:type="pct"/>
            <w:gridSpan w:val="2"/>
            <w:tcBorders>
              <w:bottom w:val="single" w:sz="4" w:space="0" w:color="auto"/>
            </w:tcBorders>
            <w:vAlign w:val="center"/>
          </w:tcPr>
          <w:p w:rsidR="00000000" w:rsidRDefault="00457650">
            <w:pPr>
              <w:widowControl/>
              <w:tabs>
                <w:tab w:val="left" w:pos="630"/>
              </w:tabs>
              <w:spacing w:after="60" w:line="300" w:lineRule="exact"/>
              <w:ind w:left="50"/>
              <w:jc w:val="center"/>
              <w:rPr>
                <w:rFonts w:ascii="KaiTi_GB2312" w:eastAsia="KaiTi_GB2312" w:hint="eastAsia"/>
                <w:sz w:val="18"/>
              </w:rPr>
            </w:pPr>
            <w:r>
              <w:rPr>
                <w:rFonts w:ascii="KaiTi_GB2312" w:eastAsia="KaiTi_GB2312" w:hint="eastAsia"/>
                <w:sz w:val="18"/>
              </w:rPr>
              <w:t>总数</w:t>
            </w:r>
          </w:p>
        </w:tc>
        <w:tc>
          <w:tcPr>
            <w:tcW w:w="518" w:type="pct"/>
            <w:tcBorders>
              <w:bottom w:val="single" w:sz="4" w:space="0" w:color="auto"/>
            </w:tcBorders>
            <w:vAlign w:val="center"/>
          </w:tcPr>
          <w:p w:rsidR="00000000" w:rsidRDefault="00457650">
            <w:pPr>
              <w:widowControl/>
              <w:tabs>
                <w:tab w:val="left" w:pos="630"/>
              </w:tabs>
              <w:spacing w:after="60" w:line="300" w:lineRule="exact"/>
              <w:ind w:left="50"/>
              <w:jc w:val="center"/>
              <w:rPr>
                <w:rFonts w:ascii="KaiTi_GB2312" w:eastAsia="KaiTi_GB2312" w:hint="eastAsia"/>
                <w:sz w:val="18"/>
              </w:rPr>
            </w:pPr>
            <w:r>
              <w:rPr>
                <w:rFonts w:ascii="KaiTi_GB2312" w:eastAsia="KaiTi_GB2312" w:hint="eastAsia"/>
                <w:sz w:val="18"/>
              </w:rPr>
              <w:t>男</w:t>
            </w:r>
          </w:p>
        </w:tc>
        <w:tc>
          <w:tcPr>
            <w:tcW w:w="518" w:type="pct"/>
            <w:tcBorders>
              <w:bottom w:val="single" w:sz="4" w:space="0" w:color="auto"/>
            </w:tcBorders>
            <w:vAlign w:val="center"/>
          </w:tcPr>
          <w:p w:rsidR="00000000" w:rsidRDefault="00457650">
            <w:pPr>
              <w:widowControl/>
              <w:tabs>
                <w:tab w:val="left" w:pos="630"/>
              </w:tabs>
              <w:spacing w:after="60" w:line="300" w:lineRule="exact"/>
              <w:ind w:left="50"/>
              <w:jc w:val="center"/>
              <w:rPr>
                <w:rFonts w:ascii="KaiTi_GB2312" w:eastAsia="KaiTi_GB2312" w:hint="eastAsia"/>
                <w:sz w:val="18"/>
              </w:rPr>
            </w:pPr>
            <w:r>
              <w:rPr>
                <w:rFonts w:ascii="KaiTi_GB2312" w:eastAsia="KaiTi_GB2312" w:hint="eastAsia"/>
                <w:sz w:val="18"/>
              </w:rPr>
              <w:t>女</w:t>
            </w:r>
          </w:p>
        </w:tc>
        <w:tc>
          <w:tcPr>
            <w:tcW w:w="519" w:type="pct"/>
            <w:tcBorders>
              <w:bottom w:val="single" w:sz="4" w:space="0" w:color="auto"/>
            </w:tcBorders>
            <w:vAlign w:val="center"/>
          </w:tcPr>
          <w:p w:rsidR="00000000" w:rsidRDefault="00457650">
            <w:pPr>
              <w:widowControl/>
              <w:tabs>
                <w:tab w:val="left" w:pos="630"/>
              </w:tabs>
              <w:spacing w:after="60" w:line="300" w:lineRule="exact"/>
              <w:ind w:left="50"/>
              <w:jc w:val="center"/>
              <w:rPr>
                <w:rFonts w:ascii="KaiTi_GB2312" w:eastAsia="KaiTi_GB2312" w:hint="eastAsia"/>
                <w:sz w:val="18"/>
              </w:rPr>
            </w:pPr>
            <w:r>
              <w:rPr>
                <w:rFonts w:ascii="KaiTi_GB2312" w:eastAsia="KaiTi_GB2312" w:hint="eastAsia"/>
                <w:sz w:val="18"/>
              </w:rPr>
              <w:t>不明</w:t>
            </w:r>
          </w:p>
        </w:tc>
      </w:tr>
      <w:tr w:rsidR="00000000">
        <w:tblPrEx>
          <w:tblCellMar>
            <w:top w:w="0" w:type="dxa"/>
            <w:bottom w:w="0" w:type="dxa"/>
          </w:tblCellMar>
        </w:tblPrEx>
        <w:tc>
          <w:tcPr>
            <w:tcW w:w="855" w:type="pct"/>
            <w:tcBorders>
              <w:top w:val="single" w:sz="4" w:space="0" w:color="auto"/>
            </w:tcBorders>
          </w:tcPr>
          <w:p w:rsidR="00000000" w:rsidRDefault="00457650" w:rsidP="00457650">
            <w:pPr>
              <w:widowControl/>
              <w:tabs>
                <w:tab w:val="left" w:pos="630"/>
              </w:tabs>
              <w:spacing w:after="60" w:line="300" w:lineRule="exact"/>
              <w:ind w:leftChars="50" w:left="31680"/>
              <w:rPr>
                <w:rFonts w:hint="eastAsia"/>
                <w:sz w:val="18"/>
              </w:rPr>
            </w:pPr>
            <w:r>
              <w:rPr>
                <w:rFonts w:hint="eastAsia"/>
                <w:sz w:val="18"/>
              </w:rPr>
              <w:t>总数</w:t>
            </w:r>
          </w:p>
        </w:tc>
        <w:tc>
          <w:tcPr>
            <w:tcW w:w="518" w:type="pct"/>
            <w:tcBorders>
              <w:top w:val="single" w:sz="4" w:space="0" w:color="auto"/>
            </w:tcBorders>
          </w:tcPr>
          <w:p w:rsidR="00000000" w:rsidRDefault="00457650" w:rsidP="00457650">
            <w:pPr>
              <w:widowControl/>
              <w:tabs>
                <w:tab w:val="left" w:pos="630"/>
              </w:tabs>
              <w:spacing w:after="60" w:line="300" w:lineRule="exact"/>
              <w:ind w:left="50" w:rightChars="100" w:right="31680"/>
              <w:jc w:val="right"/>
              <w:rPr>
                <w:sz w:val="18"/>
              </w:rPr>
            </w:pPr>
            <w:r>
              <w:rPr>
                <w:sz w:val="18"/>
              </w:rPr>
              <w:t>35 911</w:t>
            </w:r>
          </w:p>
        </w:tc>
        <w:tc>
          <w:tcPr>
            <w:tcW w:w="518" w:type="pct"/>
            <w:tcBorders>
              <w:top w:val="single" w:sz="4" w:space="0" w:color="auto"/>
            </w:tcBorders>
          </w:tcPr>
          <w:p w:rsidR="00000000" w:rsidRDefault="00457650" w:rsidP="00457650">
            <w:pPr>
              <w:widowControl/>
              <w:tabs>
                <w:tab w:val="left" w:pos="630"/>
              </w:tabs>
              <w:spacing w:after="60" w:line="300" w:lineRule="exact"/>
              <w:ind w:left="50" w:rightChars="100" w:right="31680"/>
              <w:jc w:val="right"/>
              <w:rPr>
                <w:sz w:val="18"/>
              </w:rPr>
            </w:pPr>
            <w:r>
              <w:rPr>
                <w:sz w:val="18"/>
              </w:rPr>
              <w:t>20 302</w:t>
            </w:r>
          </w:p>
        </w:tc>
        <w:tc>
          <w:tcPr>
            <w:tcW w:w="518" w:type="pct"/>
            <w:tcBorders>
              <w:top w:val="single" w:sz="4" w:space="0" w:color="auto"/>
            </w:tcBorders>
          </w:tcPr>
          <w:p w:rsidR="00000000" w:rsidRDefault="00457650" w:rsidP="00457650">
            <w:pPr>
              <w:widowControl/>
              <w:tabs>
                <w:tab w:val="left" w:pos="630"/>
              </w:tabs>
              <w:spacing w:after="60" w:line="300" w:lineRule="exact"/>
              <w:ind w:left="50" w:rightChars="100" w:right="31680"/>
              <w:jc w:val="right"/>
              <w:rPr>
                <w:sz w:val="18"/>
              </w:rPr>
            </w:pPr>
            <w:r>
              <w:rPr>
                <w:sz w:val="18"/>
              </w:rPr>
              <w:t>15 487</w:t>
            </w:r>
          </w:p>
        </w:tc>
        <w:tc>
          <w:tcPr>
            <w:tcW w:w="518" w:type="pct"/>
            <w:gridSpan w:val="2"/>
            <w:tcBorders>
              <w:top w:val="single" w:sz="4" w:space="0" w:color="auto"/>
            </w:tcBorders>
          </w:tcPr>
          <w:p w:rsidR="00000000" w:rsidRDefault="00457650" w:rsidP="00457650">
            <w:pPr>
              <w:widowControl/>
              <w:tabs>
                <w:tab w:val="left" w:pos="630"/>
              </w:tabs>
              <w:spacing w:after="60" w:line="300" w:lineRule="exact"/>
              <w:ind w:left="50" w:rightChars="100" w:right="31680"/>
              <w:jc w:val="right"/>
              <w:rPr>
                <w:sz w:val="18"/>
              </w:rPr>
            </w:pPr>
            <w:r>
              <w:rPr>
                <w:sz w:val="18"/>
              </w:rPr>
              <w:t>122</w:t>
            </w:r>
          </w:p>
        </w:tc>
        <w:tc>
          <w:tcPr>
            <w:tcW w:w="518" w:type="pct"/>
            <w:gridSpan w:val="2"/>
            <w:tcBorders>
              <w:top w:val="single" w:sz="4" w:space="0" w:color="auto"/>
            </w:tcBorders>
          </w:tcPr>
          <w:p w:rsidR="00000000" w:rsidRDefault="00457650" w:rsidP="00457650">
            <w:pPr>
              <w:widowControl/>
              <w:tabs>
                <w:tab w:val="left" w:pos="630"/>
              </w:tabs>
              <w:spacing w:after="60" w:line="300" w:lineRule="exact"/>
              <w:ind w:left="50" w:rightChars="100" w:right="31680"/>
              <w:jc w:val="right"/>
              <w:rPr>
                <w:sz w:val="18"/>
              </w:rPr>
            </w:pPr>
            <w:r>
              <w:rPr>
                <w:sz w:val="18"/>
              </w:rPr>
              <w:t>36 567</w:t>
            </w:r>
          </w:p>
        </w:tc>
        <w:tc>
          <w:tcPr>
            <w:tcW w:w="518" w:type="pct"/>
            <w:tcBorders>
              <w:top w:val="single" w:sz="4" w:space="0" w:color="auto"/>
            </w:tcBorders>
          </w:tcPr>
          <w:p w:rsidR="00000000" w:rsidRDefault="00457650" w:rsidP="00457650">
            <w:pPr>
              <w:widowControl/>
              <w:tabs>
                <w:tab w:val="left" w:pos="630"/>
              </w:tabs>
              <w:spacing w:after="60" w:line="300" w:lineRule="exact"/>
              <w:ind w:left="50" w:rightChars="100" w:right="31680"/>
              <w:jc w:val="right"/>
              <w:rPr>
                <w:sz w:val="18"/>
              </w:rPr>
            </w:pPr>
            <w:r>
              <w:rPr>
                <w:sz w:val="18"/>
              </w:rPr>
              <w:t>20 734</w:t>
            </w:r>
          </w:p>
        </w:tc>
        <w:tc>
          <w:tcPr>
            <w:tcW w:w="518" w:type="pct"/>
            <w:tcBorders>
              <w:top w:val="single" w:sz="4" w:space="0" w:color="auto"/>
            </w:tcBorders>
          </w:tcPr>
          <w:p w:rsidR="00000000" w:rsidRDefault="00457650" w:rsidP="00457650">
            <w:pPr>
              <w:widowControl/>
              <w:tabs>
                <w:tab w:val="left" w:pos="630"/>
              </w:tabs>
              <w:spacing w:after="60" w:line="300" w:lineRule="exact"/>
              <w:ind w:left="50" w:rightChars="100" w:right="31680"/>
              <w:jc w:val="right"/>
              <w:rPr>
                <w:sz w:val="18"/>
              </w:rPr>
            </w:pPr>
            <w:r>
              <w:rPr>
                <w:sz w:val="18"/>
              </w:rPr>
              <w:t>15 690</w:t>
            </w:r>
          </w:p>
        </w:tc>
        <w:tc>
          <w:tcPr>
            <w:tcW w:w="519" w:type="pct"/>
            <w:tcBorders>
              <w:top w:val="single" w:sz="4" w:space="0" w:color="auto"/>
            </w:tcBorders>
          </w:tcPr>
          <w:p w:rsidR="00000000" w:rsidRDefault="00457650" w:rsidP="00457650">
            <w:pPr>
              <w:widowControl/>
              <w:tabs>
                <w:tab w:val="left" w:pos="630"/>
              </w:tabs>
              <w:spacing w:after="60" w:line="300" w:lineRule="exact"/>
              <w:ind w:left="50" w:rightChars="100" w:right="31680"/>
              <w:jc w:val="right"/>
              <w:rPr>
                <w:sz w:val="18"/>
              </w:rPr>
            </w:pPr>
            <w:r>
              <w:rPr>
                <w:sz w:val="18"/>
              </w:rPr>
              <w:t>143</w:t>
            </w:r>
          </w:p>
        </w:tc>
      </w:tr>
      <w:tr w:rsidR="00000000">
        <w:tblPrEx>
          <w:tblCellMar>
            <w:top w:w="0" w:type="dxa"/>
            <w:bottom w:w="0" w:type="dxa"/>
          </w:tblCellMar>
        </w:tblPrEx>
        <w:tc>
          <w:tcPr>
            <w:tcW w:w="855" w:type="pct"/>
          </w:tcPr>
          <w:p w:rsidR="00000000" w:rsidRDefault="00457650" w:rsidP="00457650">
            <w:pPr>
              <w:pStyle w:val="a3"/>
              <w:widowControl/>
              <w:tabs>
                <w:tab w:val="left" w:pos="630"/>
              </w:tabs>
              <w:adjustRightInd w:val="0"/>
              <w:spacing w:after="60" w:line="300" w:lineRule="exact"/>
              <w:ind w:leftChars="50" w:left="31680"/>
              <w:textAlignment w:val="baseline"/>
              <w:rPr>
                <w:kern w:val="0"/>
                <w:szCs w:val="20"/>
              </w:rPr>
            </w:pPr>
            <w:r>
              <w:rPr>
                <w:rFonts w:hint="eastAsia"/>
                <w:kern w:val="0"/>
                <w:szCs w:val="20"/>
              </w:rPr>
              <w:t>阿瓜斯卡连特斯</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342</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186</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154</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2</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383</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227</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155</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1</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rFonts w:hint="eastAsia"/>
                <w:sz w:val="18"/>
              </w:rPr>
              <w:t>下加利福尼亚</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1 064</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639</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423</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2</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976</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555</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419</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2</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sz w:val="18"/>
              </w:rPr>
              <w:t>南下加</w:t>
            </w:r>
            <w:r>
              <w:rPr>
                <w:rFonts w:hint="eastAsia"/>
                <w:sz w:val="18"/>
              </w:rPr>
              <w:t>利</w:t>
            </w:r>
            <w:r>
              <w:rPr>
                <w:sz w:val="18"/>
              </w:rPr>
              <w:t>福尼亚</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171</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106</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65</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147</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89</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58</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rFonts w:hint="eastAsia"/>
                <w:sz w:val="18"/>
              </w:rPr>
              <w:t>坎佩切</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174</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92</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82</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188</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116</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72</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sz w:val="18"/>
              </w:rPr>
              <w:t>科阿韦拉</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589</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331</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255</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3</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551</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320</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228</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3</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sz w:val="18"/>
              </w:rPr>
              <w:t>科利马</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154</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88</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66</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120</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70</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50</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rFonts w:hint="eastAsia"/>
                <w:sz w:val="18"/>
              </w:rPr>
              <w:t>恰帕斯</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1 599</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900</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694</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5</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1 549</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850</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691</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8</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rFonts w:hint="eastAsia"/>
                <w:sz w:val="18"/>
              </w:rPr>
              <w:t>奇瓦瓦</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1 271</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716</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543</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12</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1 284</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707</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563</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14</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rFonts w:hint="eastAsia"/>
                <w:sz w:val="18"/>
              </w:rPr>
              <w:t>联邦区</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2 894</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1 627</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1 254</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13</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2 8</w:t>
            </w:r>
            <w:r>
              <w:rPr>
                <w:sz w:val="18"/>
              </w:rPr>
              <w:t>58</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1 592</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1 257</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9</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rFonts w:hint="eastAsia"/>
                <w:sz w:val="18"/>
              </w:rPr>
              <w:t>杜兰戈</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132</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74</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57</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1</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370</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237</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130</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3</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sz w:val="18"/>
              </w:rPr>
              <w:t>瓜纳华托</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2 046</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1 152</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892</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2</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2 208</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1 276</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931</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1</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sz w:val="18"/>
              </w:rPr>
              <w:t>格雷罗</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496</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285</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210</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1</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601</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354</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245</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2</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rFonts w:hint="eastAsia"/>
                <w:sz w:val="18"/>
              </w:rPr>
              <w:t>伊达尔戈</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752</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425</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323</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4</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833</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495</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337</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1</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sz w:val="18"/>
              </w:rPr>
              <w:t>哈利斯科</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2 224</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1 294</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926</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4</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2 156</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1 191</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957</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8</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rFonts w:hint="eastAsia"/>
                <w:sz w:val="18"/>
              </w:rPr>
              <w:t>墨西哥</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6 824</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3 881</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2 923</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20</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6 697</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3 747</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2 918</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32</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rFonts w:hint="eastAsia"/>
                <w:sz w:val="18"/>
              </w:rPr>
              <w:t>米却肯</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1 127</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650</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473</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4</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1 174</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676</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489</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9</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sz w:val="18"/>
              </w:rPr>
              <w:t>莫雷洛斯</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408</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224</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180</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4</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505</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285</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215</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5</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sz w:val="18"/>
              </w:rPr>
              <w:t>纳亚里特</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188</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107</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81</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168</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96</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72</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sz w:val="18"/>
              </w:rPr>
              <w:t>新莱昂</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1 036</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580</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450</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6</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977</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569</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406</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2</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rFonts w:hint="eastAsia"/>
                <w:sz w:val="18"/>
              </w:rPr>
              <w:t>瓦哈卡</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1 208</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665</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534</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9</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1 356</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776</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577</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3</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sz w:val="18"/>
              </w:rPr>
              <w:t>普埃布拉</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3 376</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1 930</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1 439</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7</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3 492</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2 037</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1 452</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3</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sz w:val="18"/>
              </w:rPr>
              <w:t>克雷塔罗</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644</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348</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296</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650</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355</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293</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2</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sz w:val="18"/>
              </w:rPr>
              <w:t>金塔纳罗奥</w:t>
            </w:r>
            <w:r>
              <w:rPr>
                <w:sz w:val="18"/>
              </w:rPr>
              <w:t> </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331</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197</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132</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2</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347</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197</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148</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2</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rFonts w:hint="eastAsia"/>
                <w:sz w:val="18"/>
              </w:rPr>
              <w:t>圣路易斯波托亚</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782</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449</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331</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2</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833</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470</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356</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7</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rFonts w:hint="eastAsia"/>
                <w:sz w:val="18"/>
              </w:rPr>
              <w:t>锡那罗亚</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254</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132</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121</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1</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379</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225</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146</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8</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rFonts w:hint="eastAsia"/>
                <w:sz w:val="18"/>
              </w:rPr>
              <w:t>索诺拉</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747</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418</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325</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4</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719</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411</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308</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rFonts w:hint="eastAsia"/>
                <w:sz w:val="18"/>
              </w:rPr>
              <w:t>塔巴斯科</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778</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435</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342</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1</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688</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379</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306</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3</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sz w:val="18"/>
              </w:rPr>
              <w:t>塔毛利帕斯</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603</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342</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257</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4</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558</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300</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255</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3</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rFonts w:hint="eastAsia"/>
                <w:sz w:val="18"/>
              </w:rPr>
              <w:t>特拉斯卡拉</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573</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328</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243</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2</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567</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325</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242</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rFonts w:hint="eastAsia"/>
                <w:sz w:val="18"/>
              </w:rPr>
              <w:t>韦拉克鲁斯</w:t>
            </w:r>
          </w:p>
        </w:tc>
        <w:tc>
          <w:tcPr>
            <w:tcW w:w="518" w:type="pct"/>
            <w:vAlign w:val="bottom"/>
          </w:tcPr>
          <w:p w:rsidR="00000000" w:rsidRDefault="00457650" w:rsidP="00457650">
            <w:pPr>
              <w:widowControl/>
              <w:tabs>
                <w:tab w:val="left" w:pos="630"/>
              </w:tabs>
              <w:spacing w:after="60" w:line="300" w:lineRule="exact"/>
              <w:ind w:left="50" w:rightChars="100" w:right="31680"/>
              <w:jc w:val="right"/>
              <w:rPr>
                <w:sz w:val="18"/>
              </w:rPr>
            </w:pPr>
            <w:r>
              <w:rPr>
                <w:sz w:val="18"/>
              </w:rPr>
              <w:t>2 103</w:t>
            </w:r>
          </w:p>
        </w:tc>
        <w:tc>
          <w:tcPr>
            <w:tcW w:w="518" w:type="pct"/>
            <w:vAlign w:val="bottom"/>
          </w:tcPr>
          <w:p w:rsidR="00000000" w:rsidRDefault="00457650" w:rsidP="00457650">
            <w:pPr>
              <w:widowControl/>
              <w:tabs>
                <w:tab w:val="left" w:pos="630"/>
              </w:tabs>
              <w:spacing w:after="60" w:line="300" w:lineRule="exact"/>
              <w:ind w:left="50" w:rightChars="100" w:right="31680"/>
              <w:jc w:val="right"/>
              <w:rPr>
                <w:sz w:val="18"/>
              </w:rPr>
            </w:pPr>
            <w:r>
              <w:rPr>
                <w:sz w:val="18"/>
              </w:rPr>
              <w:t>1 148</w:t>
            </w:r>
          </w:p>
        </w:tc>
        <w:tc>
          <w:tcPr>
            <w:tcW w:w="518" w:type="pct"/>
            <w:vAlign w:val="bottom"/>
          </w:tcPr>
          <w:p w:rsidR="00000000" w:rsidRDefault="00457650" w:rsidP="00457650">
            <w:pPr>
              <w:widowControl/>
              <w:tabs>
                <w:tab w:val="left" w:pos="630"/>
              </w:tabs>
              <w:spacing w:after="60" w:line="300" w:lineRule="exact"/>
              <w:ind w:left="50" w:rightChars="100" w:right="31680"/>
              <w:jc w:val="right"/>
              <w:rPr>
                <w:sz w:val="18"/>
              </w:rPr>
            </w:pPr>
            <w:r>
              <w:rPr>
                <w:sz w:val="18"/>
              </w:rPr>
              <w:t>954</w:t>
            </w:r>
          </w:p>
        </w:tc>
        <w:tc>
          <w:tcPr>
            <w:tcW w:w="518" w:type="pct"/>
            <w:gridSpan w:val="2"/>
            <w:vAlign w:val="bottom"/>
          </w:tcPr>
          <w:p w:rsidR="00000000" w:rsidRDefault="00457650" w:rsidP="00457650">
            <w:pPr>
              <w:widowControl/>
              <w:tabs>
                <w:tab w:val="left" w:pos="630"/>
              </w:tabs>
              <w:spacing w:after="60" w:line="300" w:lineRule="exact"/>
              <w:ind w:left="50" w:rightChars="100" w:right="31680"/>
              <w:jc w:val="right"/>
              <w:rPr>
                <w:sz w:val="18"/>
              </w:rPr>
            </w:pPr>
            <w:r>
              <w:rPr>
                <w:sz w:val="18"/>
              </w:rPr>
              <w:t>1</w:t>
            </w:r>
          </w:p>
        </w:tc>
        <w:tc>
          <w:tcPr>
            <w:tcW w:w="518" w:type="pct"/>
            <w:gridSpan w:val="2"/>
            <w:vAlign w:val="bottom"/>
          </w:tcPr>
          <w:p w:rsidR="00000000" w:rsidRDefault="00457650" w:rsidP="00457650">
            <w:pPr>
              <w:widowControl/>
              <w:tabs>
                <w:tab w:val="left" w:pos="630"/>
              </w:tabs>
              <w:spacing w:after="60" w:line="300" w:lineRule="exact"/>
              <w:ind w:left="50" w:rightChars="100" w:right="31680"/>
              <w:jc w:val="right"/>
              <w:rPr>
                <w:sz w:val="18"/>
              </w:rPr>
            </w:pPr>
            <w:r>
              <w:rPr>
                <w:sz w:val="18"/>
              </w:rPr>
              <w:t>2 196</w:t>
            </w:r>
          </w:p>
        </w:tc>
        <w:tc>
          <w:tcPr>
            <w:tcW w:w="518" w:type="pct"/>
            <w:vAlign w:val="bottom"/>
          </w:tcPr>
          <w:p w:rsidR="00000000" w:rsidRDefault="00457650" w:rsidP="00457650">
            <w:pPr>
              <w:widowControl/>
              <w:tabs>
                <w:tab w:val="left" w:pos="630"/>
              </w:tabs>
              <w:spacing w:after="60" w:line="300" w:lineRule="exact"/>
              <w:ind w:left="50" w:rightChars="100" w:right="31680"/>
              <w:jc w:val="right"/>
              <w:rPr>
                <w:sz w:val="18"/>
              </w:rPr>
            </w:pPr>
            <w:r>
              <w:rPr>
                <w:sz w:val="18"/>
              </w:rPr>
              <w:t>1 250</w:t>
            </w:r>
          </w:p>
        </w:tc>
        <w:tc>
          <w:tcPr>
            <w:tcW w:w="518" w:type="pct"/>
            <w:vAlign w:val="bottom"/>
          </w:tcPr>
          <w:p w:rsidR="00000000" w:rsidRDefault="00457650" w:rsidP="00457650">
            <w:pPr>
              <w:widowControl/>
              <w:tabs>
                <w:tab w:val="left" w:pos="630"/>
              </w:tabs>
              <w:spacing w:after="60" w:line="300" w:lineRule="exact"/>
              <w:ind w:left="50" w:rightChars="100" w:right="31680"/>
              <w:jc w:val="right"/>
              <w:rPr>
                <w:sz w:val="18"/>
              </w:rPr>
            </w:pPr>
            <w:r>
              <w:rPr>
                <w:sz w:val="18"/>
              </w:rPr>
              <w:t>945</w:t>
            </w:r>
          </w:p>
        </w:tc>
        <w:tc>
          <w:tcPr>
            <w:tcW w:w="519" w:type="pct"/>
            <w:vAlign w:val="bottom"/>
          </w:tcPr>
          <w:p w:rsidR="00000000" w:rsidRDefault="00457650" w:rsidP="00457650">
            <w:pPr>
              <w:widowControl/>
              <w:tabs>
                <w:tab w:val="left" w:pos="630"/>
              </w:tabs>
              <w:spacing w:after="60" w:line="300" w:lineRule="exact"/>
              <w:ind w:left="50" w:rightChars="100" w:right="31680"/>
              <w:jc w:val="right"/>
              <w:rPr>
                <w:sz w:val="18"/>
              </w:rPr>
            </w:pPr>
            <w:r>
              <w:rPr>
                <w:sz w:val="18"/>
              </w:rPr>
              <w:t>1</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sz w:val="18"/>
              </w:rPr>
            </w:pPr>
            <w:r>
              <w:rPr>
                <w:rFonts w:hint="eastAsia"/>
                <w:sz w:val="18"/>
              </w:rPr>
              <w:t>尤卡坦</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562</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296</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263</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3</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508</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284</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223</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1</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00" w:lineRule="exact"/>
              <w:ind w:leftChars="50" w:left="31680"/>
              <w:rPr>
                <w:rFonts w:hint="eastAsia"/>
                <w:sz w:val="18"/>
              </w:rPr>
            </w:pPr>
            <w:r>
              <w:rPr>
                <w:sz w:val="18"/>
              </w:rPr>
              <w:t>萨卡特卡斯</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437</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244</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190</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3</w:t>
            </w:r>
          </w:p>
        </w:tc>
        <w:tc>
          <w:tcPr>
            <w:tcW w:w="518" w:type="pct"/>
            <w:gridSpan w:val="2"/>
          </w:tcPr>
          <w:p w:rsidR="00000000" w:rsidRDefault="00457650" w:rsidP="00457650">
            <w:pPr>
              <w:widowControl/>
              <w:tabs>
                <w:tab w:val="left" w:pos="630"/>
              </w:tabs>
              <w:spacing w:after="60" w:line="300" w:lineRule="exact"/>
              <w:ind w:left="50" w:rightChars="100" w:right="31680"/>
              <w:jc w:val="right"/>
              <w:rPr>
                <w:sz w:val="18"/>
              </w:rPr>
            </w:pPr>
            <w:r>
              <w:rPr>
                <w:sz w:val="18"/>
              </w:rPr>
              <w:t>508</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259</w:t>
            </w:r>
          </w:p>
        </w:tc>
        <w:tc>
          <w:tcPr>
            <w:tcW w:w="518" w:type="pct"/>
          </w:tcPr>
          <w:p w:rsidR="00000000" w:rsidRDefault="00457650" w:rsidP="00457650">
            <w:pPr>
              <w:widowControl/>
              <w:tabs>
                <w:tab w:val="left" w:pos="630"/>
              </w:tabs>
              <w:spacing w:after="60" w:line="300" w:lineRule="exact"/>
              <w:ind w:left="50" w:rightChars="100" w:right="31680"/>
              <w:jc w:val="right"/>
              <w:rPr>
                <w:sz w:val="18"/>
              </w:rPr>
            </w:pPr>
            <w:r>
              <w:rPr>
                <w:sz w:val="18"/>
              </w:rPr>
              <w:t>239</w:t>
            </w:r>
          </w:p>
        </w:tc>
        <w:tc>
          <w:tcPr>
            <w:tcW w:w="519" w:type="pct"/>
          </w:tcPr>
          <w:p w:rsidR="00000000" w:rsidRDefault="00457650" w:rsidP="00457650">
            <w:pPr>
              <w:widowControl/>
              <w:tabs>
                <w:tab w:val="left" w:pos="630"/>
              </w:tabs>
              <w:spacing w:after="60" w:line="300" w:lineRule="exact"/>
              <w:ind w:left="50" w:rightChars="100" w:right="31680"/>
              <w:jc w:val="right"/>
              <w:rPr>
                <w:sz w:val="18"/>
              </w:rPr>
            </w:pPr>
            <w:r>
              <w:rPr>
                <w:sz w:val="18"/>
              </w:rPr>
              <w:t>10</w:t>
            </w:r>
          </w:p>
        </w:tc>
      </w:tr>
      <w:tr w:rsidR="00000000">
        <w:tblPrEx>
          <w:tblCellMar>
            <w:top w:w="0" w:type="dxa"/>
            <w:bottom w:w="0" w:type="dxa"/>
          </w:tblCellMar>
        </w:tblPrEx>
        <w:tc>
          <w:tcPr>
            <w:tcW w:w="855" w:type="pct"/>
            <w:tcBorders>
              <w:bottom w:val="single" w:sz="4" w:space="0" w:color="auto"/>
            </w:tcBorders>
          </w:tcPr>
          <w:p w:rsidR="00000000" w:rsidRDefault="00457650" w:rsidP="00457650">
            <w:pPr>
              <w:widowControl/>
              <w:tabs>
                <w:tab w:val="left" w:pos="630"/>
              </w:tabs>
              <w:spacing w:after="60" w:line="300" w:lineRule="exact"/>
              <w:ind w:leftChars="50" w:left="31680"/>
              <w:rPr>
                <w:rFonts w:hint="eastAsia"/>
                <w:sz w:val="18"/>
              </w:rPr>
            </w:pPr>
            <w:r>
              <w:rPr>
                <w:rFonts w:hint="eastAsia"/>
                <w:sz w:val="18"/>
              </w:rPr>
              <w:t>海外</w:t>
            </w:r>
          </w:p>
        </w:tc>
        <w:tc>
          <w:tcPr>
            <w:tcW w:w="518" w:type="pct"/>
            <w:tcBorders>
              <w:bottom w:val="single" w:sz="4" w:space="0" w:color="auto"/>
            </w:tcBorders>
          </w:tcPr>
          <w:p w:rsidR="00000000" w:rsidRDefault="00457650" w:rsidP="00457650">
            <w:pPr>
              <w:widowControl/>
              <w:tabs>
                <w:tab w:val="left" w:pos="630"/>
              </w:tabs>
              <w:spacing w:after="60" w:line="300" w:lineRule="exact"/>
              <w:ind w:left="50" w:rightChars="100" w:right="31680"/>
              <w:jc w:val="right"/>
              <w:rPr>
                <w:sz w:val="18"/>
              </w:rPr>
            </w:pPr>
            <w:r>
              <w:rPr>
                <w:sz w:val="18"/>
              </w:rPr>
              <w:t>22</w:t>
            </w:r>
          </w:p>
        </w:tc>
        <w:tc>
          <w:tcPr>
            <w:tcW w:w="518" w:type="pct"/>
            <w:tcBorders>
              <w:bottom w:val="single" w:sz="4" w:space="0" w:color="auto"/>
            </w:tcBorders>
          </w:tcPr>
          <w:p w:rsidR="00000000" w:rsidRDefault="00457650" w:rsidP="00457650">
            <w:pPr>
              <w:widowControl/>
              <w:tabs>
                <w:tab w:val="left" w:pos="630"/>
              </w:tabs>
              <w:spacing w:after="60" w:line="300" w:lineRule="exact"/>
              <w:ind w:left="50" w:rightChars="100" w:right="31680"/>
              <w:jc w:val="right"/>
              <w:rPr>
                <w:sz w:val="18"/>
              </w:rPr>
            </w:pPr>
            <w:r>
              <w:rPr>
                <w:sz w:val="18"/>
              </w:rPr>
              <w:t>13</w:t>
            </w:r>
          </w:p>
        </w:tc>
        <w:tc>
          <w:tcPr>
            <w:tcW w:w="518" w:type="pct"/>
            <w:tcBorders>
              <w:bottom w:val="single" w:sz="4" w:space="0" w:color="auto"/>
            </w:tcBorders>
          </w:tcPr>
          <w:p w:rsidR="00000000" w:rsidRDefault="00457650" w:rsidP="00457650">
            <w:pPr>
              <w:widowControl/>
              <w:tabs>
                <w:tab w:val="left" w:pos="630"/>
              </w:tabs>
              <w:spacing w:after="60" w:line="300" w:lineRule="exact"/>
              <w:ind w:left="50" w:rightChars="100" w:right="31680"/>
              <w:jc w:val="right"/>
              <w:rPr>
                <w:sz w:val="18"/>
              </w:rPr>
            </w:pPr>
            <w:r>
              <w:rPr>
                <w:sz w:val="18"/>
              </w:rPr>
              <w:t>9</w:t>
            </w:r>
          </w:p>
        </w:tc>
        <w:tc>
          <w:tcPr>
            <w:tcW w:w="518" w:type="pct"/>
            <w:gridSpan w:val="2"/>
            <w:tcBorders>
              <w:bottom w:val="single" w:sz="4" w:space="0" w:color="auto"/>
            </w:tcBorders>
          </w:tcPr>
          <w:p w:rsidR="00000000" w:rsidRDefault="00457650" w:rsidP="00457650">
            <w:pPr>
              <w:widowControl/>
              <w:tabs>
                <w:tab w:val="left" w:pos="630"/>
              </w:tabs>
              <w:spacing w:after="60" w:line="300" w:lineRule="exact"/>
              <w:ind w:left="50" w:rightChars="100" w:right="31680"/>
              <w:jc w:val="right"/>
              <w:rPr>
                <w:sz w:val="18"/>
              </w:rPr>
            </w:pPr>
            <w:r>
              <w:rPr>
                <w:sz w:val="18"/>
              </w:rPr>
              <w:t>0</w:t>
            </w:r>
          </w:p>
        </w:tc>
        <w:tc>
          <w:tcPr>
            <w:tcW w:w="518" w:type="pct"/>
            <w:gridSpan w:val="2"/>
            <w:tcBorders>
              <w:bottom w:val="single" w:sz="4" w:space="0" w:color="auto"/>
            </w:tcBorders>
          </w:tcPr>
          <w:p w:rsidR="00000000" w:rsidRDefault="00457650" w:rsidP="00457650">
            <w:pPr>
              <w:widowControl/>
              <w:tabs>
                <w:tab w:val="left" w:pos="630"/>
              </w:tabs>
              <w:spacing w:after="60" w:line="300" w:lineRule="exact"/>
              <w:ind w:left="50" w:rightChars="100" w:right="31680"/>
              <w:jc w:val="right"/>
              <w:rPr>
                <w:sz w:val="18"/>
              </w:rPr>
            </w:pPr>
            <w:r>
              <w:rPr>
                <w:sz w:val="18"/>
              </w:rPr>
              <w:t>21</w:t>
            </w:r>
          </w:p>
        </w:tc>
        <w:tc>
          <w:tcPr>
            <w:tcW w:w="518" w:type="pct"/>
            <w:tcBorders>
              <w:bottom w:val="single" w:sz="4" w:space="0" w:color="auto"/>
            </w:tcBorders>
          </w:tcPr>
          <w:p w:rsidR="00000000" w:rsidRDefault="00457650" w:rsidP="00457650">
            <w:pPr>
              <w:widowControl/>
              <w:tabs>
                <w:tab w:val="left" w:pos="630"/>
              </w:tabs>
              <w:spacing w:after="60" w:line="300" w:lineRule="exact"/>
              <w:ind w:left="50" w:rightChars="100" w:right="31680"/>
              <w:jc w:val="right"/>
              <w:rPr>
                <w:sz w:val="18"/>
              </w:rPr>
            </w:pPr>
            <w:r>
              <w:rPr>
                <w:sz w:val="18"/>
              </w:rPr>
              <w:t>14</w:t>
            </w:r>
          </w:p>
        </w:tc>
        <w:tc>
          <w:tcPr>
            <w:tcW w:w="518" w:type="pct"/>
            <w:tcBorders>
              <w:bottom w:val="single" w:sz="4" w:space="0" w:color="auto"/>
            </w:tcBorders>
          </w:tcPr>
          <w:p w:rsidR="00000000" w:rsidRDefault="00457650" w:rsidP="00457650">
            <w:pPr>
              <w:widowControl/>
              <w:tabs>
                <w:tab w:val="left" w:pos="630"/>
              </w:tabs>
              <w:spacing w:after="60" w:line="300" w:lineRule="exact"/>
              <w:ind w:left="50" w:rightChars="100" w:right="31680"/>
              <w:jc w:val="right"/>
              <w:rPr>
                <w:sz w:val="18"/>
              </w:rPr>
            </w:pPr>
            <w:r>
              <w:rPr>
                <w:sz w:val="18"/>
              </w:rPr>
              <w:t>7</w:t>
            </w:r>
          </w:p>
        </w:tc>
        <w:tc>
          <w:tcPr>
            <w:tcW w:w="519" w:type="pct"/>
            <w:tcBorders>
              <w:bottom w:val="single" w:sz="4" w:space="0" w:color="auto"/>
            </w:tcBorders>
          </w:tcPr>
          <w:p w:rsidR="00000000" w:rsidRDefault="00457650" w:rsidP="00457650">
            <w:pPr>
              <w:pStyle w:val="a3"/>
              <w:widowControl/>
              <w:tabs>
                <w:tab w:val="left" w:pos="630"/>
              </w:tabs>
              <w:adjustRightInd w:val="0"/>
              <w:spacing w:after="60" w:line="300" w:lineRule="exact"/>
              <w:ind w:left="50" w:rightChars="100" w:right="31680"/>
              <w:jc w:val="right"/>
              <w:textAlignment w:val="baseline"/>
              <w:rPr>
                <w:kern w:val="0"/>
                <w:szCs w:val="20"/>
              </w:rPr>
            </w:pPr>
            <w:r>
              <w:rPr>
                <w:kern w:val="0"/>
                <w:szCs w:val="20"/>
              </w:rPr>
              <w:t>0</w:t>
            </w:r>
          </w:p>
        </w:tc>
      </w:tr>
    </w:tbl>
    <w:p w:rsidR="00000000" w:rsidRDefault="00457650">
      <w:pPr>
        <w:widowControl/>
        <w:tabs>
          <w:tab w:val="left" w:pos="630"/>
        </w:tabs>
        <w:spacing w:after="240" w:line="360" w:lineRule="exact"/>
        <w:rPr>
          <w:rFonts w:hint="eastAsia"/>
          <w:iCs/>
          <w:sz w:val="18"/>
        </w:rPr>
      </w:pPr>
      <w:r>
        <w:rPr>
          <w:rFonts w:eastAsia="KaiTi_GB2312" w:hint="eastAsia"/>
          <w:iCs/>
          <w:sz w:val="18"/>
        </w:rPr>
        <w:t>资料来源</w:t>
      </w:r>
      <w:r>
        <w:rPr>
          <w:rFonts w:hint="eastAsia"/>
          <w:iCs/>
          <w:sz w:val="18"/>
        </w:rPr>
        <w:t>：国家统计、地理和信息技术研究所，死亡率统计。</w:t>
      </w:r>
    </w:p>
    <w:p w:rsidR="00000000" w:rsidRDefault="00457650">
      <w:pPr>
        <w:widowControl/>
        <w:tabs>
          <w:tab w:val="left" w:pos="630"/>
        </w:tabs>
        <w:spacing w:after="240" w:line="360" w:lineRule="exact"/>
        <w:jc w:val="center"/>
        <w:rPr>
          <w:rFonts w:ascii="SimHei" w:eastAsia="SimHei" w:hint="eastAsia"/>
        </w:rPr>
      </w:pPr>
      <w:r>
        <w:rPr>
          <w:rFonts w:ascii="SimHei" w:eastAsia="SimHei"/>
        </w:rPr>
        <w:br w:type="page"/>
      </w:r>
      <w:r>
        <w:rPr>
          <w:rFonts w:ascii="SimHei" w:eastAsia="SimHei" w:hint="eastAsia"/>
        </w:rPr>
        <w:t>2001</w:t>
      </w:r>
      <w:r>
        <w:rPr>
          <w:rFonts w:ascii="SimHei" w:eastAsia="SimHei" w:hint="eastAsia"/>
        </w:rPr>
        <w:t>年和</w:t>
      </w:r>
      <w:r>
        <w:rPr>
          <w:rFonts w:ascii="SimHei" w:eastAsia="SimHei" w:hint="eastAsia"/>
        </w:rPr>
        <w:t>2002</w:t>
      </w:r>
      <w:r>
        <w:rPr>
          <w:rFonts w:ascii="SimHei" w:eastAsia="SimHei" w:hint="eastAsia"/>
        </w:rPr>
        <w:t>年按所居住州别和性别分列的</w:t>
      </w:r>
      <w:r>
        <w:rPr>
          <w:rFonts w:ascii="SimHei" w:eastAsia="SimHei" w:hint="eastAsia"/>
        </w:rPr>
        <w:t>1-4</w:t>
      </w:r>
      <w:r>
        <w:rPr>
          <w:rFonts w:ascii="SimHei" w:eastAsia="SimHei" w:hint="eastAsia"/>
        </w:rPr>
        <w:t>岁儿童死亡统计数字</w:t>
      </w:r>
    </w:p>
    <w:tbl>
      <w:tblPr>
        <w:tblW w:w="5000" w:type="pct"/>
        <w:tblCellMar>
          <w:left w:w="0" w:type="dxa"/>
          <w:right w:w="0" w:type="dxa"/>
        </w:tblCellMar>
        <w:tblLook w:val="0000" w:firstRow="0" w:lastRow="0" w:firstColumn="0" w:lastColumn="0" w:noHBand="0" w:noVBand="0"/>
      </w:tblPr>
      <w:tblGrid>
        <w:gridCol w:w="1688"/>
        <w:gridCol w:w="1022"/>
        <w:gridCol w:w="1022"/>
        <w:gridCol w:w="1022"/>
        <w:gridCol w:w="1012"/>
        <w:gridCol w:w="10"/>
        <w:gridCol w:w="112"/>
        <w:gridCol w:w="910"/>
        <w:gridCol w:w="1022"/>
        <w:gridCol w:w="1022"/>
        <w:gridCol w:w="1024"/>
      </w:tblGrid>
      <w:tr w:rsidR="00000000">
        <w:tblPrEx>
          <w:tblCellMar>
            <w:top w:w="0" w:type="dxa"/>
            <w:bottom w:w="0" w:type="dxa"/>
          </w:tblCellMar>
        </w:tblPrEx>
        <w:trPr>
          <w:cantSplit/>
          <w:tblHeader/>
        </w:trPr>
        <w:tc>
          <w:tcPr>
            <w:tcW w:w="855" w:type="pct"/>
            <w:tcBorders>
              <w:top w:val="single" w:sz="4" w:space="0" w:color="auto"/>
            </w:tcBorders>
            <w:vAlign w:val="center"/>
          </w:tcPr>
          <w:p w:rsidR="00000000" w:rsidRDefault="00457650" w:rsidP="00457650">
            <w:pPr>
              <w:widowControl/>
              <w:tabs>
                <w:tab w:val="left" w:pos="630"/>
              </w:tabs>
              <w:spacing w:after="60" w:line="320" w:lineRule="exact"/>
              <w:ind w:leftChars="50" w:left="31680"/>
              <w:jc w:val="center"/>
              <w:rPr>
                <w:rFonts w:ascii="KaiTi_GB2312" w:eastAsia="KaiTi_GB2312"/>
                <w:sz w:val="18"/>
              </w:rPr>
            </w:pPr>
            <w:r>
              <w:rPr>
                <w:rFonts w:ascii="KaiTi_GB2312" w:eastAsia="KaiTi_GB2312" w:hint="eastAsia"/>
                <w:sz w:val="18"/>
              </w:rPr>
              <w:t>州</w:t>
            </w:r>
          </w:p>
        </w:tc>
        <w:tc>
          <w:tcPr>
            <w:tcW w:w="2067" w:type="pct"/>
            <w:gridSpan w:val="4"/>
            <w:tcBorders>
              <w:top w:val="single" w:sz="4" w:space="0" w:color="auto"/>
              <w:bottom w:val="single" w:sz="4" w:space="0" w:color="auto"/>
            </w:tcBorders>
            <w:vAlign w:val="center"/>
          </w:tcPr>
          <w:p w:rsidR="00000000" w:rsidRDefault="00457650">
            <w:pPr>
              <w:widowControl/>
              <w:tabs>
                <w:tab w:val="left" w:pos="630"/>
              </w:tabs>
              <w:spacing w:after="60" w:line="320" w:lineRule="exact"/>
              <w:ind w:left="50"/>
              <w:jc w:val="center"/>
              <w:rPr>
                <w:rFonts w:ascii="KaiTi_GB2312" w:eastAsia="KaiTi_GB2312" w:hint="eastAsia"/>
                <w:sz w:val="18"/>
              </w:rPr>
            </w:pPr>
            <w:r>
              <w:rPr>
                <w:rFonts w:ascii="KaiTi_GB2312" w:eastAsia="KaiTi_GB2312"/>
                <w:sz w:val="18"/>
              </w:rPr>
              <w:t>2001</w:t>
            </w:r>
            <w:r>
              <w:rPr>
                <w:rFonts w:ascii="KaiTi_GB2312" w:eastAsia="KaiTi_GB2312" w:hint="eastAsia"/>
                <w:sz w:val="18"/>
              </w:rPr>
              <w:t>年</w:t>
            </w:r>
          </w:p>
        </w:tc>
        <w:tc>
          <w:tcPr>
            <w:tcW w:w="62" w:type="pct"/>
            <w:gridSpan w:val="2"/>
            <w:tcBorders>
              <w:top w:val="single" w:sz="4" w:space="0" w:color="auto"/>
            </w:tcBorders>
            <w:vAlign w:val="center"/>
          </w:tcPr>
          <w:p w:rsidR="00000000" w:rsidRDefault="00457650">
            <w:pPr>
              <w:pStyle w:val="Header"/>
              <w:widowControl/>
              <w:pBdr>
                <w:bottom w:val="none" w:sz="0" w:space="0" w:color="auto"/>
              </w:pBdr>
              <w:tabs>
                <w:tab w:val="clear" w:pos="4320"/>
                <w:tab w:val="clear" w:pos="8640"/>
                <w:tab w:val="left" w:pos="630"/>
              </w:tabs>
              <w:spacing w:after="60" w:line="320" w:lineRule="exact"/>
              <w:ind w:left="50"/>
              <w:rPr>
                <w:rFonts w:ascii="KaiTi_GB2312" w:eastAsia="KaiTi_GB2312" w:hint="eastAsia"/>
              </w:rPr>
            </w:pPr>
            <w:r>
              <w:rPr>
                <w:rFonts w:ascii="KaiTi_GB2312" w:eastAsia="KaiTi_GB2312" w:hint="eastAsia"/>
              </w:rPr>
              <w:t xml:space="preserve">  </w:t>
            </w:r>
          </w:p>
        </w:tc>
        <w:tc>
          <w:tcPr>
            <w:tcW w:w="2016" w:type="pct"/>
            <w:gridSpan w:val="4"/>
            <w:tcBorders>
              <w:top w:val="single" w:sz="4" w:space="0" w:color="auto"/>
              <w:bottom w:val="single" w:sz="4" w:space="0" w:color="auto"/>
            </w:tcBorders>
            <w:vAlign w:val="center"/>
          </w:tcPr>
          <w:p w:rsidR="00000000" w:rsidRDefault="00457650">
            <w:pPr>
              <w:widowControl/>
              <w:tabs>
                <w:tab w:val="left" w:pos="630"/>
              </w:tabs>
              <w:spacing w:after="60" w:line="320" w:lineRule="exact"/>
              <w:ind w:left="50"/>
              <w:jc w:val="center"/>
              <w:rPr>
                <w:rFonts w:ascii="KaiTi_GB2312" w:eastAsia="KaiTi_GB2312" w:hint="eastAsia"/>
                <w:sz w:val="18"/>
              </w:rPr>
            </w:pPr>
            <w:r>
              <w:rPr>
                <w:rFonts w:ascii="KaiTi_GB2312" w:eastAsia="KaiTi_GB2312"/>
                <w:sz w:val="18"/>
              </w:rPr>
              <w:t>2002</w:t>
            </w:r>
            <w:r>
              <w:rPr>
                <w:rFonts w:ascii="KaiTi_GB2312" w:eastAsia="KaiTi_GB2312" w:hint="eastAsia"/>
                <w:sz w:val="18"/>
              </w:rPr>
              <w:t>年</w:t>
            </w:r>
          </w:p>
        </w:tc>
      </w:tr>
      <w:tr w:rsidR="00000000">
        <w:tblPrEx>
          <w:tblCellMar>
            <w:top w:w="0" w:type="dxa"/>
            <w:bottom w:w="0" w:type="dxa"/>
          </w:tblCellMar>
        </w:tblPrEx>
        <w:trPr>
          <w:cantSplit/>
          <w:tblHeader/>
        </w:trPr>
        <w:tc>
          <w:tcPr>
            <w:tcW w:w="855" w:type="pct"/>
            <w:tcBorders>
              <w:bottom w:val="single" w:sz="4" w:space="0" w:color="auto"/>
            </w:tcBorders>
            <w:vAlign w:val="center"/>
          </w:tcPr>
          <w:p w:rsidR="00000000" w:rsidRDefault="00457650" w:rsidP="00457650">
            <w:pPr>
              <w:widowControl/>
              <w:tabs>
                <w:tab w:val="left" w:pos="630"/>
              </w:tabs>
              <w:spacing w:after="60" w:line="320" w:lineRule="exact"/>
              <w:ind w:leftChars="50" w:left="31680"/>
              <w:jc w:val="center"/>
              <w:rPr>
                <w:rFonts w:ascii="KaiTi_GB2312" w:eastAsia="KaiTi_GB2312"/>
                <w:sz w:val="18"/>
              </w:rPr>
            </w:pPr>
          </w:p>
        </w:tc>
        <w:tc>
          <w:tcPr>
            <w:tcW w:w="518" w:type="pct"/>
            <w:tcBorders>
              <w:bottom w:val="single" w:sz="4" w:space="0" w:color="auto"/>
            </w:tcBorders>
            <w:vAlign w:val="center"/>
          </w:tcPr>
          <w:p w:rsidR="00000000" w:rsidRDefault="00457650">
            <w:pPr>
              <w:widowControl/>
              <w:tabs>
                <w:tab w:val="left" w:pos="630"/>
              </w:tabs>
              <w:spacing w:after="60" w:line="320" w:lineRule="exact"/>
              <w:ind w:left="50"/>
              <w:jc w:val="center"/>
              <w:rPr>
                <w:rFonts w:ascii="KaiTi_GB2312" w:eastAsia="KaiTi_GB2312"/>
                <w:sz w:val="18"/>
              </w:rPr>
            </w:pPr>
            <w:r>
              <w:rPr>
                <w:rFonts w:ascii="KaiTi_GB2312" w:eastAsia="KaiTi_GB2312" w:hint="eastAsia"/>
                <w:sz w:val="18"/>
              </w:rPr>
              <w:t>总数</w:t>
            </w:r>
          </w:p>
        </w:tc>
        <w:tc>
          <w:tcPr>
            <w:tcW w:w="518" w:type="pct"/>
            <w:tcBorders>
              <w:bottom w:val="single" w:sz="4" w:space="0" w:color="auto"/>
            </w:tcBorders>
            <w:vAlign w:val="center"/>
          </w:tcPr>
          <w:p w:rsidR="00000000" w:rsidRDefault="00457650">
            <w:pPr>
              <w:widowControl/>
              <w:tabs>
                <w:tab w:val="left" w:pos="630"/>
              </w:tabs>
              <w:spacing w:after="60" w:line="320" w:lineRule="exact"/>
              <w:ind w:left="50"/>
              <w:jc w:val="center"/>
              <w:rPr>
                <w:rFonts w:ascii="KaiTi_GB2312" w:eastAsia="KaiTi_GB2312"/>
                <w:sz w:val="18"/>
              </w:rPr>
            </w:pPr>
            <w:r>
              <w:rPr>
                <w:rFonts w:ascii="KaiTi_GB2312" w:eastAsia="KaiTi_GB2312" w:hint="eastAsia"/>
                <w:sz w:val="18"/>
              </w:rPr>
              <w:t>男</w:t>
            </w:r>
          </w:p>
        </w:tc>
        <w:tc>
          <w:tcPr>
            <w:tcW w:w="518" w:type="pct"/>
            <w:tcBorders>
              <w:bottom w:val="single" w:sz="4" w:space="0" w:color="auto"/>
            </w:tcBorders>
            <w:vAlign w:val="center"/>
          </w:tcPr>
          <w:p w:rsidR="00000000" w:rsidRDefault="00457650">
            <w:pPr>
              <w:widowControl/>
              <w:tabs>
                <w:tab w:val="left" w:pos="630"/>
              </w:tabs>
              <w:spacing w:after="60" w:line="320" w:lineRule="exact"/>
              <w:ind w:left="50"/>
              <w:jc w:val="center"/>
              <w:rPr>
                <w:rFonts w:ascii="KaiTi_GB2312" w:eastAsia="KaiTi_GB2312" w:hint="eastAsia"/>
                <w:sz w:val="18"/>
              </w:rPr>
            </w:pPr>
            <w:r>
              <w:rPr>
                <w:rFonts w:ascii="KaiTi_GB2312" w:eastAsia="KaiTi_GB2312" w:hint="eastAsia"/>
                <w:sz w:val="18"/>
              </w:rPr>
              <w:t>女</w:t>
            </w:r>
          </w:p>
        </w:tc>
        <w:tc>
          <w:tcPr>
            <w:tcW w:w="518" w:type="pct"/>
            <w:gridSpan w:val="2"/>
            <w:tcBorders>
              <w:bottom w:val="single" w:sz="4" w:space="0" w:color="auto"/>
            </w:tcBorders>
            <w:vAlign w:val="center"/>
          </w:tcPr>
          <w:p w:rsidR="00000000" w:rsidRDefault="00457650">
            <w:pPr>
              <w:widowControl/>
              <w:tabs>
                <w:tab w:val="left" w:pos="630"/>
              </w:tabs>
              <w:spacing w:after="60" w:line="320" w:lineRule="exact"/>
              <w:ind w:left="50"/>
              <w:jc w:val="center"/>
              <w:rPr>
                <w:rFonts w:ascii="KaiTi_GB2312" w:eastAsia="KaiTi_GB2312"/>
                <w:sz w:val="18"/>
              </w:rPr>
            </w:pPr>
            <w:r>
              <w:rPr>
                <w:rFonts w:ascii="KaiTi_GB2312" w:eastAsia="KaiTi_GB2312" w:hint="eastAsia"/>
                <w:sz w:val="18"/>
              </w:rPr>
              <w:t>总数</w:t>
            </w:r>
          </w:p>
        </w:tc>
        <w:tc>
          <w:tcPr>
            <w:tcW w:w="518" w:type="pct"/>
            <w:gridSpan w:val="2"/>
            <w:tcBorders>
              <w:bottom w:val="single" w:sz="4" w:space="0" w:color="auto"/>
            </w:tcBorders>
            <w:vAlign w:val="center"/>
          </w:tcPr>
          <w:p w:rsidR="00000000" w:rsidRDefault="00457650">
            <w:pPr>
              <w:widowControl/>
              <w:tabs>
                <w:tab w:val="left" w:pos="630"/>
              </w:tabs>
              <w:spacing w:after="60" w:line="320" w:lineRule="exact"/>
              <w:ind w:left="50"/>
              <w:jc w:val="center"/>
              <w:rPr>
                <w:rFonts w:ascii="KaiTi_GB2312" w:eastAsia="KaiTi_GB2312" w:hint="eastAsia"/>
                <w:sz w:val="18"/>
              </w:rPr>
            </w:pPr>
            <w:r>
              <w:rPr>
                <w:rFonts w:ascii="KaiTi_GB2312" w:eastAsia="KaiTi_GB2312" w:hint="eastAsia"/>
                <w:sz w:val="18"/>
              </w:rPr>
              <w:t>男</w:t>
            </w:r>
          </w:p>
        </w:tc>
        <w:tc>
          <w:tcPr>
            <w:tcW w:w="518" w:type="pct"/>
            <w:tcBorders>
              <w:bottom w:val="single" w:sz="4" w:space="0" w:color="auto"/>
            </w:tcBorders>
            <w:vAlign w:val="center"/>
          </w:tcPr>
          <w:p w:rsidR="00000000" w:rsidRDefault="00457650">
            <w:pPr>
              <w:widowControl/>
              <w:tabs>
                <w:tab w:val="left" w:pos="630"/>
              </w:tabs>
              <w:spacing w:after="60" w:line="320" w:lineRule="exact"/>
              <w:ind w:left="50"/>
              <w:jc w:val="center"/>
              <w:rPr>
                <w:rFonts w:ascii="KaiTi_GB2312" w:eastAsia="KaiTi_GB2312" w:hint="eastAsia"/>
                <w:sz w:val="18"/>
              </w:rPr>
            </w:pPr>
            <w:r>
              <w:rPr>
                <w:rFonts w:ascii="KaiTi_GB2312" w:eastAsia="KaiTi_GB2312" w:hint="eastAsia"/>
                <w:sz w:val="18"/>
              </w:rPr>
              <w:t>女</w:t>
            </w:r>
          </w:p>
        </w:tc>
        <w:tc>
          <w:tcPr>
            <w:tcW w:w="518" w:type="pct"/>
            <w:tcBorders>
              <w:bottom w:val="single" w:sz="4" w:space="0" w:color="auto"/>
            </w:tcBorders>
            <w:vAlign w:val="center"/>
          </w:tcPr>
          <w:p w:rsidR="00000000" w:rsidRDefault="00457650">
            <w:pPr>
              <w:widowControl/>
              <w:tabs>
                <w:tab w:val="left" w:pos="630"/>
              </w:tabs>
              <w:spacing w:after="60" w:line="320" w:lineRule="exact"/>
              <w:ind w:left="50"/>
              <w:jc w:val="center"/>
              <w:rPr>
                <w:rFonts w:ascii="KaiTi_GB2312" w:eastAsia="KaiTi_GB2312"/>
                <w:sz w:val="18"/>
              </w:rPr>
            </w:pPr>
            <w:r>
              <w:rPr>
                <w:rFonts w:ascii="KaiTi_GB2312" w:eastAsia="KaiTi_GB2312" w:hint="eastAsia"/>
                <w:sz w:val="18"/>
              </w:rPr>
              <w:t>总数</w:t>
            </w:r>
          </w:p>
        </w:tc>
        <w:tc>
          <w:tcPr>
            <w:tcW w:w="518" w:type="pct"/>
            <w:tcBorders>
              <w:bottom w:val="single" w:sz="4" w:space="0" w:color="auto"/>
            </w:tcBorders>
            <w:vAlign w:val="center"/>
          </w:tcPr>
          <w:p w:rsidR="00000000" w:rsidRDefault="00457650">
            <w:pPr>
              <w:widowControl/>
              <w:tabs>
                <w:tab w:val="left" w:pos="630"/>
              </w:tabs>
              <w:spacing w:after="60" w:line="320" w:lineRule="exact"/>
              <w:ind w:left="50"/>
              <w:jc w:val="center"/>
              <w:rPr>
                <w:rFonts w:ascii="KaiTi_GB2312" w:eastAsia="KaiTi_GB2312" w:hint="eastAsia"/>
                <w:sz w:val="18"/>
              </w:rPr>
            </w:pPr>
            <w:r>
              <w:rPr>
                <w:rFonts w:ascii="KaiTi_GB2312" w:eastAsia="KaiTi_GB2312" w:hint="eastAsia"/>
                <w:sz w:val="18"/>
              </w:rPr>
              <w:t>男</w:t>
            </w:r>
          </w:p>
        </w:tc>
      </w:tr>
      <w:tr w:rsidR="00000000">
        <w:tblPrEx>
          <w:tblCellMar>
            <w:top w:w="0" w:type="dxa"/>
            <w:bottom w:w="0" w:type="dxa"/>
          </w:tblCellMar>
        </w:tblPrEx>
        <w:tc>
          <w:tcPr>
            <w:tcW w:w="855" w:type="pct"/>
            <w:tcBorders>
              <w:top w:val="single" w:sz="4" w:space="0" w:color="auto"/>
            </w:tcBorders>
          </w:tcPr>
          <w:p w:rsidR="00000000" w:rsidRDefault="00457650" w:rsidP="00457650">
            <w:pPr>
              <w:widowControl/>
              <w:tabs>
                <w:tab w:val="left" w:pos="630"/>
              </w:tabs>
              <w:spacing w:after="60" w:line="320" w:lineRule="exact"/>
              <w:ind w:leftChars="50" w:left="31680"/>
              <w:rPr>
                <w:rFonts w:hint="eastAsia"/>
                <w:sz w:val="18"/>
              </w:rPr>
            </w:pPr>
            <w:r>
              <w:rPr>
                <w:rFonts w:hint="eastAsia"/>
                <w:sz w:val="18"/>
              </w:rPr>
              <w:t>总数</w:t>
            </w:r>
          </w:p>
        </w:tc>
        <w:tc>
          <w:tcPr>
            <w:tcW w:w="518" w:type="pct"/>
            <w:tcBorders>
              <w:top w:val="single" w:sz="4" w:space="0" w:color="auto"/>
            </w:tcBorders>
          </w:tcPr>
          <w:p w:rsidR="00000000" w:rsidRDefault="00457650" w:rsidP="00457650">
            <w:pPr>
              <w:widowControl/>
              <w:tabs>
                <w:tab w:val="left" w:pos="630"/>
              </w:tabs>
              <w:spacing w:after="60" w:line="320" w:lineRule="exact"/>
              <w:ind w:left="50" w:rightChars="100" w:right="31680"/>
              <w:jc w:val="right"/>
              <w:rPr>
                <w:sz w:val="18"/>
              </w:rPr>
            </w:pPr>
            <w:r>
              <w:rPr>
                <w:sz w:val="18"/>
              </w:rPr>
              <w:t>6 620</w:t>
            </w:r>
          </w:p>
        </w:tc>
        <w:tc>
          <w:tcPr>
            <w:tcW w:w="518" w:type="pct"/>
            <w:tcBorders>
              <w:top w:val="single" w:sz="4" w:space="0" w:color="auto"/>
            </w:tcBorders>
          </w:tcPr>
          <w:p w:rsidR="00000000" w:rsidRDefault="00457650" w:rsidP="00457650">
            <w:pPr>
              <w:widowControl/>
              <w:tabs>
                <w:tab w:val="left" w:pos="630"/>
              </w:tabs>
              <w:spacing w:after="60" w:line="320" w:lineRule="exact"/>
              <w:ind w:left="50" w:rightChars="100" w:right="31680"/>
              <w:jc w:val="right"/>
              <w:rPr>
                <w:sz w:val="18"/>
              </w:rPr>
            </w:pPr>
            <w:r>
              <w:rPr>
                <w:sz w:val="18"/>
              </w:rPr>
              <w:t>3 613</w:t>
            </w:r>
          </w:p>
        </w:tc>
        <w:tc>
          <w:tcPr>
            <w:tcW w:w="518" w:type="pct"/>
            <w:tcBorders>
              <w:top w:val="single" w:sz="4" w:space="0" w:color="auto"/>
            </w:tcBorders>
          </w:tcPr>
          <w:p w:rsidR="00000000" w:rsidRDefault="00457650" w:rsidP="00457650">
            <w:pPr>
              <w:widowControl/>
              <w:tabs>
                <w:tab w:val="left" w:pos="630"/>
              </w:tabs>
              <w:spacing w:after="60" w:line="320" w:lineRule="exact"/>
              <w:ind w:left="50" w:rightChars="100" w:right="31680"/>
              <w:jc w:val="right"/>
              <w:rPr>
                <w:sz w:val="18"/>
              </w:rPr>
            </w:pPr>
            <w:r>
              <w:rPr>
                <w:sz w:val="18"/>
              </w:rPr>
              <w:t>2 996</w:t>
            </w:r>
          </w:p>
        </w:tc>
        <w:tc>
          <w:tcPr>
            <w:tcW w:w="518" w:type="pct"/>
            <w:gridSpan w:val="2"/>
            <w:tcBorders>
              <w:top w:val="single" w:sz="4" w:space="0" w:color="auto"/>
            </w:tcBorders>
          </w:tcPr>
          <w:p w:rsidR="00000000" w:rsidRDefault="00457650" w:rsidP="00457650">
            <w:pPr>
              <w:widowControl/>
              <w:tabs>
                <w:tab w:val="left" w:pos="630"/>
              </w:tabs>
              <w:spacing w:after="60" w:line="320" w:lineRule="exact"/>
              <w:ind w:left="50" w:rightChars="100" w:right="31680"/>
              <w:jc w:val="right"/>
              <w:rPr>
                <w:sz w:val="18"/>
              </w:rPr>
            </w:pPr>
            <w:r>
              <w:rPr>
                <w:sz w:val="18"/>
              </w:rPr>
              <w:t>11</w:t>
            </w:r>
          </w:p>
        </w:tc>
        <w:tc>
          <w:tcPr>
            <w:tcW w:w="518" w:type="pct"/>
            <w:gridSpan w:val="2"/>
            <w:tcBorders>
              <w:top w:val="single" w:sz="4" w:space="0" w:color="auto"/>
            </w:tcBorders>
          </w:tcPr>
          <w:p w:rsidR="00000000" w:rsidRDefault="00457650" w:rsidP="00457650">
            <w:pPr>
              <w:widowControl/>
              <w:tabs>
                <w:tab w:val="left" w:pos="630"/>
              </w:tabs>
              <w:spacing w:after="60" w:line="320" w:lineRule="exact"/>
              <w:ind w:left="50" w:rightChars="100" w:right="31680"/>
              <w:jc w:val="right"/>
              <w:rPr>
                <w:sz w:val="18"/>
              </w:rPr>
            </w:pPr>
            <w:r>
              <w:rPr>
                <w:sz w:val="18"/>
              </w:rPr>
              <w:t>6 831</w:t>
            </w:r>
          </w:p>
        </w:tc>
        <w:tc>
          <w:tcPr>
            <w:tcW w:w="518" w:type="pct"/>
            <w:tcBorders>
              <w:top w:val="single" w:sz="4" w:space="0" w:color="auto"/>
            </w:tcBorders>
          </w:tcPr>
          <w:p w:rsidR="00000000" w:rsidRDefault="00457650" w:rsidP="00457650">
            <w:pPr>
              <w:widowControl/>
              <w:tabs>
                <w:tab w:val="left" w:pos="630"/>
              </w:tabs>
              <w:spacing w:after="60" w:line="320" w:lineRule="exact"/>
              <w:ind w:left="50" w:rightChars="100" w:right="31680"/>
              <w:jc w:val="right"/>
              <w:rPr>
                <w:sz w:val="18"/>
              </w:rPr>
            </w:pPr>
            <w:r>
              <w:rPr>
                <w:sz w:val="18"/>
              </w:rPr>
              <w:t>3 758</w:t>
            </w:r>
          </w:p>
        </w:tc>
        <w:tc>
          <w:tcPr>
            <w:tcW w:w="518" w:type="pct"/>
            <w:tcBorders>
              <w:top w:val="single" w:sz="4" w:space="0" w:color="auto"/>
            </w:tcBorders>
          </w:tcPr>
          <w:p w:rsidR="00000000" w:rsidRDefault="00457650" w:rsidP="00457650">
            <w:pPr>
              <w:widowControl/>
              <w:tabs>
                <w:tab w:val="left" w:pos="630"/>
              </w:tabs>
              <w:spacing w:after="60" w:line="320" w:lineRule="exact"/>
              <w:ind w:left="50" w:rightChars="100" w:right="31680"/>
              <w:jc w:val="right"/>
              <w:rPr>
                <w:sz w:val="18"/>
              </w:rPr>
            </w:pPr>
            <w:r>
              <w:rPr>
                <w:sz w:val="18"/>
              </w:rPr>
              <w:t>3 0</w:t>
            </w:r>
            <w:r>
              <w:rPr>
                <w:sz w:val="18"/>
              </w:rPr>
              <w:t>67</w:t>
            </w:r>
          </w:p>
        </w:tc>
        <w:tc>
          <w:tcPr>
            <w:tcW w:w="518" w:type="pct"/>
            <w:tcBorders>
              <w:top w:val="single" w:sz="4" w:space="0" w:color="auto"/>
            </w:tcBorders>
          </w:tcPr>
          <w:p w:rsidR="00000000" w:rsidRDefault="00457650" w:rsidP="00457650">
            <w:pPr>
              <w:widowControl/>
              <w:tabs>
                <w:tab w:val="left" w:pos="630"/>
              </w:tabs>
              <w:spacing w:after="60" w:line="320" w:lineRule="exact"/>
              <w:ind w:left="50" w:rightChars="100" w:right="31680"/>
              <w:jc w:val="right"/>
              <w:rPr>
                <w:sz w:val="18"/>
              </w:rPr>
            </w:pPr>
            <w:r>
              <w:rPr>
                <w:sz w:val="18"/>
              </w:rPr>
              <w:t>6</w:t>
            </w:r>
          </w:p>
        </w:tc>
      </w:tr>
      <w:tr w:rsidR="00000000">
        <w:tblPrEx>
          <w:tblCellMar>
            <w:top w:w="0" w:type="dxa"/>
            <w:bottom w:w="0" w:type="dxa"/>
          </w:tblCellMar>
        </w:tblPrEx>
        <w:tc>
          <w:tcPr>
            <w:tcW w:w="855" w:type="pct"/>
          </w:tcPr>
          <w:p w:rsidR="00000000" w:rsidRDefault="00457650" w:rsidP="00457650">
            <w:pPr>
              <w:widowControl/>
              <w:tabs>
                <w:tab w:val="left" w:pos="630"/>
              </w:tabs>
              <w:spacing w:after="60" w:line="320" w:lineRule="exact"/>
              <w:ind w:leftChars="50" w:left="31680"/>
              <w:rPr>
                <w:sz w:val="18"/>
              </w:rPr>
            </w:pPr>
            <w:r>
              <w:rPr>
                <w:rFonts w:hint="eastAsia"/>
                <w:sz w:val="18"/>
              </w:rPr>
              <w:t>阿瓜斯卡连特斯</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58</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22</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79</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42</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rFonts w:hint="eastAsia"/>
                <w:sz w:val="18"/>
              </w:rPr>
              <w:t>下加利福尼亚</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162</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85</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77</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158</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95</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63</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sz w:val="18"/>
              </w:rPr>
              <w:t>南下加</w:t>
            </w:r>
            <w:r>
              <w:rPr>
                <w:rFonts w:hint="eastAsia"/>
                <w:sz w:val="18"/>
              </w:rPr>
              <w:t>利</w:t>
            </w:r>
            <w:r>
              <w:rPr>
                <w:sz w:val="18"/>
              </w:rPr>
              <w:t>福尼亚</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34</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24</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28</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14</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14</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rFonts w:hint="eastAsia"/>
                <w:sz w:val="18"/>
              </w:rPr>
              <w:t>坎佩切</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31</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14</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30</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14</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sz w:val="18"/>
              </w:rPr>
              <w:t>科阿韦拉</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95</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51</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44</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98</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41</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sz w:val="18"/>
              </w:rPr>
              <w:t>科利马</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32</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13</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19</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35</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23</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12</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rFonts w:hint="eastAsia"/>
                <w:sz w:val="18"/>
              </w:rPr>
              <w:t>恰帕斯</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466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242</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222</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2</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495</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265</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227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rFonts w:hint="eastAsia"/>
                <w:sz w:val="18"/>
              </w:rPr>
              <w:t>奇瓦瓦</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229</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126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103</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189</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105</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82</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rFonts w:hint="eastAsia"/>
                <w:sz w:val="18"/>
              </w:rPr>
              <w:t>联邦区</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384</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w:t>
            </w:r>
            <w:r>
              <w:rPr>
                <w:sz w:val="18"/>
              </w:rPr>
              <w:t>96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188</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368</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212</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156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rFonts w:hint="eastAsia"/>
                <w:sz w:val="18"/>
              </w:rPr>
              <w:t>杜兰戈</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47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29</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18</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57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31</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sz w:val="18"/>
              </w:rPr>
              <w:t>瓜纳华托</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330</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179</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151</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378</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211</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167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sz w:val="18"/>
              </w:rPr>
              <w:t>格雷罗</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177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87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90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213</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117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96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rFonts w:hint="eastAsia"/>
                <w:sz w:val="18"/>
              </w:rPr>
              <w:t>伊达尔戈</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119</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61</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58</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125</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68</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sz w:val="18"/>
              </w:rPr>
              <w:t>哈利斯科</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440</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221</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219</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379</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208</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171</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rFonts w:hint="eastAsia"/>
                <w:sz w:val="18"/>
              </w:rPr>
              <w:t>墨西哥</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880</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502</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375</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3</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937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513</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424</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rFonts w:hint="eastAsia"/>
                <w:sz w:val="18"/>
              </w:rPr>
              <w:t>米却肯</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283</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160</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123</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244</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138</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106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sz w:val="18"/>
              </w:rPr>
              <w:t>莫雷洛斯</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83</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46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37</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95</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38</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sz w:val="18"/>
              </w:rPr>
              <w:t>纳亚里特</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71</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34</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1</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77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53</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24</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sz w:val="18"/>
              </w:rPr>
              <w:t>新莱昂</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151</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85</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66</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130</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69</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61</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rFonts w:hint="eastAsia"/>
                <w:sz w:val="18"/>
              </w:rPr>
              <w:t>瓦哈卡</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410</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233</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175</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2</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466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239</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227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sz w:val="18"/>
              </w:rPr>
              <w:t>普埃布拉</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523</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287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236</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639</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324</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315</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sz w:val="18"/>
              </w:rPr>
              <w:t>克雷塔罗</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90</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45</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45</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93</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47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46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sz w:val="18"/>
              </w:rPr>
              <w:t>金塔纳罗奥</w:t>
            </w:r>
            <w:r>
              <w:rPr>
                <w:sz w:val="18"/>
              </w:rPr>
              <w:t> </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50</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30</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50</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24</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rFonts w:hint="eastAsia"/>
                <w:sz w:val="18"/>
              </w:rPr>
              <w:t>圣路易斯波托亚</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173</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85</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88</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199</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105</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93</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rFonts w:hint="eastAsia"/>
                <w:sz w:val="18"/>
              </w:rPr>
              <w:t>锡那罗亚</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110</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52</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1</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107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64</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43</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rFonts w:hint="eastAsia"/>
                <w:sz w:val="18"/>
              </w:rPr>
              <w:t>索诺拉</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137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82</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55</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133</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66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67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rFonts w:hint="eastAsia"/>
                <w:sz w:val="18"/>
              </w:rPr>
              <w:t>塔巴斯科</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133</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81</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52</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124</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86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38</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sz w:val="18"/>
              </w:rPr>
              <w:t>塔毛利帕斯</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110</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53</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132</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70</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62</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rFonts w:hint="eastAsia"/>
                <w:sz w:val="18"/>
              </w:rPr>
              <w:t>特拉斯卡拉</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84</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59</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25</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64</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34</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30</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rFonts w:hint="eastAsia"/>
                <w:sz w:val="18"/>
              </w:rPr>
              <w:t>韦拉克鲁斯</w:t>
            </w:r>
          </w:p>
        </w:tc>
        <w:tc>
          <w:tcPr>
            <w:tcW w:w="518" w:type="pct"/>
            <w:vAlign w:val="bottom"/>
          </w:tcPr>
          <w:p w:rsidR="00000000" w:rsidRDefault="00457650" w:rsidP="00457650">
            <w:pPr>
              <w:widowControl/>
              <w:tabs>
                <w:tab w:val="left" w:pos="630"/>
              </w:tabs>
              <w:spacing w:after="60" w:line="320" w:lineRule="exact"/>
              <w:ind w:left="50" w:rightChars="100" w:right="31680"/>
              <w:jc w:val="right"/>
              <w:rPr>
                <w:sz w:val="18"/>
              </w:rPr>
            </w:pPr>
            <w:r>
              <w:rPr>
                <w:sz w:val="18"/>
              </w:rPr>
              <w:t>500</w:t>
            </w:r>
          </w:p>
        </w:tc>
        <w:tc>
          <w:tcPr>
            <w:tcW w:w="518" w:type="pct"/>
            <w:vAlign w:val="bottom"/>
          </w:tcPr>
          <w:p w:rsidR="00000000" w:rsidRDefault="00457650" w:rsidP="00457650">
            <w:pPr>
              <w:widowControl/>
              <w:tabs>
                <w:tab w:val="left" w:pos="630"/>
              </w:tabs>
              <w:spacing w:after="60" w:line="320" w:lineRule="exact"/>
              <w:ind w:left="50" w:rightChars="100" w:right="31680"/>
              <w:jc w:val="right"/>
              <w:rPr>
                <w:sz w:val="18"/>
              </w:rPr>
            </w:pPr>
            <w:r>
              <w:rPr>
                <w:sz w:val="18"/>
              </w:rPr>
              <w:t>284</w:t>
            </w:r>
          </w:p>
        </w:tc>
        <w:tc>
          <w:tcPr>
            <w:tcW w:w="518" w:type="pct"/>
            <w:vAlign w:val="bottom"/>
          </w:tcPr>
          <w:p w:rsidR="00000000" w:rsidRDefault="00457650" w:rsidP="00457650">
            <w:pPr>
              <w:widowControl/>
              <w:tabs>
                <w:tab w:val="left" w:pos="630"/>
              </w:tabs>
              <w:spacing w:after="60" w:line="320" w:lineRule="exact"/>
              <w:ind w:left="50" w:rightChars="100" w:right="31680"/>
              <w:jc w:val="right"/>
              <w:rPr>
                <w:sz w:val="18"/>
              </w:rPr>
            </w:pPr>
            <w:r>
              <w:rPr>
                <w:sz w:val="18"/>
              </w:rPr>
              <w:t>216</w:t>
            </w:r>
          </w:p>
        </w:tc>
        <w:tc>
          <w:tcPr>
            <w:tcW w:w="518" w:type="pct"/>
            <w:gridSpan w:val="2"/>
            <w:vAlign w:val="bottom"/>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vAlign w:val="bottom"/>
          </w:tcPr>
          <w:p w:rsidR="00000000" w:rsidRDefault="00457650" w:rsidP="00457650">
            <w:pPr>
              <w:widowControl/>
              <w:tabs>
                <w:tab w:val="left" w:pos="630"/>
              </w:tabs>
              <w:spacing w:after="60" w:line="320" w:lineRule="exact"/>
              <w:ind w:left="50" w:rightChars="100" w:right="31680"/>
              <w:jc w:val="right"/>
              <w:rPr>
                <w:sz w:val="18"/>
              </w:rPr>
            </w:pPr>
            <w:r>
              <w:rPr>
                <w:sz w:val="18"/>
              </w:rPr>
              <w:t>495</w:t>
            </w:r>
          </w:p>
        </w:tc>
        <w:tc>
          <w:tcPr>
            <w:tcW w:w="518" w:type="pct"/>
            <w:vAlign w:val="bottom"/>
          </w:tcPr>
          <w:p w:rsidR="00000000" w:rsidRDefault="00457650" w:rsidP="00457650">
            <w:pPr>
              <w:widowControl/>
              <w:tabs>
                <w:tab w:val="left" w:pos="630"/>
              </w:tabs>
              <w:spacing w:after="60" w:line="320" w:lineRule="exact"/>
              <w:ind w:left="50" w:rightChars="100" w:right="31680"/>
              <w:jc w:val="right"/>
              <w:rPr>
                <w:sz w:val="18"/>
              </w:rPr>
            </w:pPr>
            <w:r>
              <w:rPr>
                <w:sz w:val="18"/>
              </w:rPr>
              <w:t>282</w:t>
            </w:r>
          </w:p>
        </w:tc>
        <w:tc>
          <w:tcPr>
            <w:tcW w:w="518" w:type="pct"/>
            <w:vAlign w:val="bottom"/>
          </w:tcPr>
          <w:p w:rsidR="00000000" w:rsidRDefault="00457650" w:rsidP="00457650">
            <w:pPr>
              <w:widowControl/>
              <w:tabs>
                <w:tab w:val="left" w:pos="630"/>
              </w:tabs>
              <w:spacing w:after="60" w:line="320" w:lineRule="exact"/>
              <w:ind w:left="50" w:rightChars="100" w:right="31680"/>
              <w:jc w:val="right"/>
              <w:rPr>
                <w:sz w:val="18"/>
              </w:rPr>
            </w:pPr>
            <w:r>
              <w:rPr>
                <w:sz w:val="18"/>
              </w:rPr>
              <w:t>213</w:t>
            </w:r>
          </w:p>
        </w:tc>
        <w:tc>
          <w:tcPr>
            <w:tcW w:w="518" w:type="pct"/>
            <w:vAlign w:val="bottom"/>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sz w:val="18"/>
              </w:rPr>
            </w:pPr>
            <w:r>
              <w:rPr>
                <w:rFonts w:hint="eastAsia"/>
                <w:sz w:val="18"/>
              </w:rPr>
              <w:t>尤卡坦</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117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62</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55</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92</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36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Pr>
          <w:p w:rsidR="00000000" w:rsidRDefault="00457650">
            <w:pPr>
              <w:widowControl/>
              <w:tabs>
                <w:tab w:val="left" w:pos="630"/>
              </w:tabs>
              <w:spacing w:after="60" w:line="320" w:lineRule="exact"/>
              <w:ind w:left="50"/>
              <w:rPr>
                <w:rFonts w:hint="eastAsia"/>
                <w:sz w:val="18"/>
              </w:rPr>
            </w:pPr>
            <w:r>
              <w:rPr>
                <w:sz w:val="18"/>
              </w:rPr>
              <w:t>萨卡特卡斯</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97</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48</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47</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2</w:t>
            </w:r>
          </w:p>
        </w:tc>
        <w:tc>
          <w:tcPr>
            <w:tcW w:w="518" w:type="pct"/>
            <w:gridSpan w:val="2"/>
          </w:tcPr>
          <w:p w:rsidR="00000000" w:rsidRDefault="00457650" w:rsidP="00457650">
            <w:pPr>
              <w:widowControl/>
              <w:tabs>
                <w:tab w:val="left" w:pos="630"/>
              </w:tabs>
              <w:spacing w:after="60" w:line="320" w:lineRule="exact"/>
              <w:ind w:left="50" w:rightChars="100" w:right="31680"/>
              <w:jc w:val="right"/>
              <w:rPr>
                <w:sz w:val="18"/>
              </w:rPr>
            </w:pPr>
            <w:r>
              <w:rPr>
                <w:sz w:val="18"/>
              </w:rPr>
              <w:t>100</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54</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46</w:t>
            </w:r>
          </w:p>
        </w:tc>
        <w:tc>
          <w:tcPr>
            <w:tcW w:w="518" w:type="pct"/>
          </w:tcPr>
          <w:p w:rsidR="00000000" w:rsidRDefault="00457650" w:rsidP="00457650">
            <w:pPr>
              <w:widowControl/>
              <w:tabs>
                <w:tab w:val="left" w:pos="630"/>
              </w:tabs>
              <w:spacing w:after="60" w:line="320" w:lineRule="exact"/>
              <w:ind w:left="50" w:rightChars="100" w:right="31680"/>
              <w:jc w:val="right"/>
              <w:rPr>
                <w:sz w:val="18"/>
              </w:rPr>
            </w:pPr>
            <w:r>
              <w:rPr>
                <w:sz w:val="18"/>
              </w:rPr>
              <w:t>0</w:t>
            </w:r>
          </w:p>
        </w:tc>
      </w:tr>
      <w:tr w:rsidR="00000000">
        <w:tblPrEx>
          <w:tblCellMar>
            <w:top w:w="0" w:type="dxa"/>
            <w:bottom w:w="0" w:type="dxa"/>
          </w:tblCellMar>
        </w:tblPrEx>
        <w:tc>
          <w:tcPr>
            <w:tcW w:w="855" w:type="pct"/>
            <w:tcBorders>
              <w:bottom w:val="single" w:sz="4" w:space="0" w:color="auto"/>
            </w:tcBorders>
          </w:tcPr>
          <w:p w:rsidR="00000000" w:rsidRDefault="00457650">
            <w:pPr>
              <w:widowControl/>
              <w:tabs>
                <w:tab w:val="left" w:pos="630"/>
              </w:tabs>
              <w:spacing w:after="60" w:line="320" w:lineRule="exact"/>
              <w:ind w:left="50"/>
              <w:rPr>
                <w:rFonts w:hint="eastAsia"/>
                <w:sz w:val="18"/>
              </w:rPr>
            </w:pPr>
            <w:r>
              <w:rPr>
                <w:rFonts w:hint="eastAsia"/>
                <w:sz w:val="18"/>
              </w:rPr>
              <w:t>海外</w:t>
            </w:r>
          </w:p>
        </w:tc>
        <w:tc>
          <w:tcPr>
            <w:tcW w:w="518" w:type="pct"/>
            <w:tcBorders>
              <w:bottom w:val="single" w:sz="4" w:space="0" w:color="auto"/>
            </w:tcBorders>
          </w:tcPr>
          <w:p w:rsidR="00000000" w:rsidRDefault="00457650" w:rsidP="00457650">
            <w:pPr>
              <w:widowControl/>
              <w:tabs>
                <w:tab w:val="left" w:pos="630"/>
              </w:tabs>
              <w:spacing w:after="60" w:line="320" w:lineRule="exact"/>
              <w:ind w:left="50" w:rightChars="100" w:right="31680"/>
              <w:jc w:val="right"/>
              <w:rPr>
                <w:sz w:val="18"/>
              </w:rPr>
            </w:pPr>
            <w:r>
              <w:rPr>
                <w:sz w:val="18"/>
              </w:rPr>
              <w:t>14</w:t>
            </w:r>
          </w:p>
        </w:tc>
        <w:tc>
          <w:tcPr>
            <w:tcW w:w="518" w:type="pct"/>
            <w:tcBorders>
              <w:bottom w:val="single" w:sz="4" w:space="0" w:color="auto"/>
            </w:tcBorders>
          </w:tcPr>
          <w:p w:rsidR="00000000" w:rsidRDefault="00457650" w:rsidP="00457650">
            <w:pPr>
              <w:widowControl/>
              <w:tabs>
                <w:tab w:val="left" w:pos="630"/>
              </w:tabs>
              <w:spacing w:after="60" w:line="320" w:lineRule="exact"/>
              <w:ind w:left="50" w:rightChars="100" w:right="31680"/>
              <w:jc w:val="right"/>
              <w:rPr>
                <w:sz w:val="18"/>
              </w:rPr>
            </w:pPr>
            <w:r>
              <w:rPr>
                <w:sz w:val="18"/>
              </w:rPr>
              <w:t>7</w:t>
            </w:r>
          </w:p>
        </w:tc>
        <w:tc>
          <w:tcPr>
            <w:tcW w:w="518" w:type="pct"/>
            <w:tcBorders>
              <w:bottom w:val="single" w:sz="4" w:space="0" w:color="auto"/>
            </w:tcBorders>
          </w:tcPr>
          <w:p w:rsidR="00000000" w:rsidRDefault="00457650" w:rsidP="00457650">
            <w:pPr>
              <w:widowControl/>
              <w:tabs>
                <w:tab w:val="left" w:pos="630"/>
              </w:tabs>
              <w:spacing w:after="60" w:line="320" w:lineRule="exact"/>
              <w:ind w:left="50" w:rightChars="100" w:right="31680"/>
              <w:jc w:val="right"/>
              <w:rPr>
                <w:sz w:val="18"/>
              </w:rPr>
            </w:pPr>
            <w:r>
              <w:rPr>
                <w:sz w:val="18"/>
              </w:rPr>
              <w:t>7</w:t>
            </w:r>
          </w:p>
        </w:tc>
        <w:tc>
          <w:tcPr>
            <w:tcW w:w="518" w:type="pct"/>
            <w:gridSpan w:val="2"/>
            <w:tcBorders>
              <w:bottom w:val="single" w:sz="4" w:space="0" w:color="auto"/>
            </w:tcBorders>
          </w:tcPr>
          <w:p w:rsidR="00000000" w:rsidRDefault="00457650" w:rsidP="00457650">
            <w:pPr>
              <w:widowControl/>
              <w:tabs>
                <w:tab w:val="left" w:pos="630"/>
              </w:tabs>
              <w:spacing w:after="60" w:line="320" w:lineRule="exact"/>
              <w:ind w:left="50" w:rightChars="100" w:right="31680"/>
              <w:jc w:val="right"/>
              <w:rPr>
                <w:sz w:val="18"/>
              </w:rPr>
            </w:pPr>
            <w:r>
              <w:rPr>
                <w:sz w:val="18"/>
              </w:rPr>
              <w:t>0</w:t>
            </w:r>
          </w:p>
        </w:tc>
        <w:tc>
          <w:tcPr>
            <w:tcW w:w="518" w:type="pct"/>
            <w:gridSpan w:val="2"/>
            <w:tcBorders>
              <w:bottom w:val="single" w:sz="4" w:space="0" w:color="auto"/>
            </w:tcBorders>
          </w:tcPr>
          <w:p w:rsidR="00000000" w:rsidRDefault="00457650" w:rsidP="00457650">
            <w:pPr>
              <w:widowControl/>
              <w:tabs>
                <w:tab w:val="left" w:pos="630"/>
              </w:tabs>
              <w:spacing w:after="60" w:line="320" w:lineRule="exact"/>
              <w:ind w:left="50" w:rightChars="100" w:right="31680"/>
              <w:jc w:val="right"/>
              <w:rPr>
                <w:sz w:val="18"/>
              </w:rPr>
            </w:pPr>
            <w:r>
              <w:rPr>
                <w:sz w:val="18"/>
              </w:rPr>
              <w:t>22</w:t>
            </w:r>
          </w:p>
        </w:tc>
        <w:tc>
          <w:tcPr>
            <w:tcW w:w="518" w:type="pct"/>
            <w:tcBorders>
              <w:bottom w:val="single" w:sz="4" w:space="0" w:color="auto"/>
            </w:tcBorders>
          </w:tcPr>
          <w:p w:rsidR="00000000" w:rsidRDefault="00457650" w:rsidP="00457650">
            <w:pPr>
              <w:widowControl/>
              <w:tabs>
                <w:tab w:val="left" w:pos="630"/>
              </w:tabs>
              <w:spacing w:after="60" w:line="320" w:lineRule="exact"/>
              <w:ind w:left="50" w:rightChars="100" w:right="31680"/>
              <w:jc w:val="right"/>
              <w:rPr>
                <w:sz w:val="18"/>
              </w:rPr>
            </w:pPr>
            <w:r>
              <w:rPr>
                <w:sz w:val="18"/>
              </w:rPr>
              <w:t>11</w:t>
            </w:r>
          </w:p>
        </w:tc>
        <w:tc>
          <w:tcPr>
            <w:tcW w:w="518" w:type="pct"/>
            <w:tcBorders>
              <w:bottom w:val="single" w:sz="4" w:space="0" w:color="auto"/>
            </w:tcBorders>
          </w:tcPr>
          <w:p w:rsidR="00000000" w:rsidRDefault="00457650" w:rsidP="00457650">
            <w:pPr>
              <w:widowControl/>
              <w:tabs>
                <w:tab w:val="left" w:pos="630"/>
              </w:tabs>
              <w:spacing w:after="60" w:line="320" w:lineRule="exact"/>
              <w:ind w:left="50" w:rightChars="100" w:right="31680"/>
              <w:jc w:val="right"/>
              <w:rPr>
                <w:sz w:val="18"/>
              </w:rPr>
            </w:pPr>
            <w:r>
              <w:rPr>
                <w:sz w:val="18"/>
              </w:rPr>
              <w:t>11</w:t>
            </w:r>
          </w:p>
        </w:tc>
        <w:tc>
          <w:tcPr>
            <w:tcW w:w="518" w:type="pct"/>
            <w:tcBorders>
              <w:bottom w:val="single" w:sz="4" w:space="0" w:color="auto"/>
            </w:tcBorders>
          </w:tcPr>
          <w:p w:rsidR="00000000" w:rsidRDefault="00457650" w:rsidP="00457650">
            <w:pPr>
              <w:pStyle w:val="a3"/>
              <w:widowControl/>
              <w:tabs>
                <w:tab w:val="left" w:pos="630"/>
              </w:tabs>
              <w:adjustRightInd w:val="0"/>
              <w:spacing w:after="60" w:line="320" w:lineRule="exact"/>
              <w:ind w:left="50" w:rightChars="100" w:right="31680"/>
              <w:jc w:val="right"/>
              <w:textAlignment w:val="baseline"/>
              <w:rPr>
                <w:kern w:val="0"/>
                <w:szCs w:val="20"/>
              </w:rPr>
            </w:pPr>
            <w:r>
              <w:rPr>
                <w:kern w:val="0"/>
                <w:szCs w:val="20"/>
              </w:rPr>
              <w:t>0</w:t>
            </w:r>
          </w:p>
        </w:tc>
      </w:tr>
    </w:tbl>
    <w:p w:rsidR="00000000" w:rsidRDefault="00457650">
      <w:pPr>
        <w:widowControl/>
        <w:tabs>
          <w:tab w:val="left" w:pos="630"/>
        </w:tabs>
        <w:spacing w:after="240" w:line="360" w:lineRule="exact"/>
        <w:rPr>
          <w:rFonts w:hint="eastAsia"/>
          <w:iCs/>
          <w:sz w:val="18"/>
        </w:rPr>
      </w:pPr>
      <w:r>
        <w:rPr>
          <w:rFonts w:eastAsia="KaiTi_GB2312" w:hint="eastAsia"/>
          <w:iCs/>
          <w:sz w:val="18"/>
        </w:rPr>
        <w:t>资料来源</w:t>
      </w:r>
      <w:r>
        <w:rPr>
          <w:rFonts w:hint="eastAsia"/>
          <w:iCs/>
          <w:sz w:val="18"/>
        </w:rPr>
        <w:t>：国家统计、地理和</w:t>
      </w:r>
      <w:r>
        <w:rPr>
          <w:rFonts w:hint="eastAsia"/>
          <w:iCs/>
          <w:sz w:val="18"/>
        </w:rPr>
        <w:t>信息技术研究所，死亡率统计。</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50</w:t>
      </w:r>
      <w:r>
        <w:rPr>
          <w:rFonts w:ascii="SimHei" w:eastAsia="SimHei" w:hint="eastAsia"/>
        </w:rPr>
        <w:t>段（</w:t>
      </w:r>
      <w:r>
        <w:rPr>
          <w:rFonts w:ascii="SimHei" w:eastAsia="SimHei" w:hint="eastAsia"/>
        </w:rPr>
        <w:t>e</w:t>
      </w:r>
      <w:r>
        <w:rPr>
          <w:rFonts w:ascii="SimHei" w:eastAsia="SimHei" w:hint="eastAsia"/>
        </w:rPr>
        <w:t>）</w:t>
      </w:r>
    </w:p>
    <w:tbl>
      <w:tblPr>
        <w:tblW w:w="4965" w:type="pct"/>
        <w:jc w:val="center"/>
        <w:tblInd w:w="70" w:type="dxa"/>
        <w:tblCellMar>
          <w:left w:w="70" w:type="dxa"/>
          <w:right w:w="70" w:type="dxa"/>
        </w:tblCellMar>
        <w:tblLook w:val="0000" w:firstRow="0" w:lastRow="0" w:firstColumn="0" w:lastColumn="0" w:noHBand="0" w:noVBand="0"/>
      </w:tblPr>
      <w:tblGrid>
        <w:gridCol w:w="3017"/>
        <w:gridCol w:w="2304"/>
        <w:gridCol w:w="2300"/>
        <w:gridCol w:w="2299"/>
      </w:tblGrid>
      <w:tr w:rsidR="00000000">
        <w:tblPrEx>
          <w:tblCellMar>
            <w:top w:w="0" w:type="dxa"/>
            <w:bottom w:w="0" w:type="dxa"/>
          </w:tblCellMar>
        </w:tblPrEx>
        <w:trPr>
          <w:jc w:val="center"/>
        </w:trPr>
        <w:tc>
          <w:tcPr>
            <w:tcW w:w="1520" w:type="pct"/>
            <w:tcBorders>
              <w:top w:val="single" w:sz="4" w:space="0" w:color="auto"/>
              <w:bottom w:val="single" w:sz="4" w:space="0" w:color="auto"/>
            </w:tcBorders>
            <w:vAlign w:val="center"/>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hint="eastAsia"/>
                <w:sz w:val="18"/>
              </w:rPr>
              <w:t>指标</w:t>
            </w:r>
          </w:p>
        </w:tc>
        <w:tc>
          <w:tcPr>
            <w:tcW w:w="1161" w:type="pct"/>
            <w:tcBorders>
              <w:top w:val="single" w:sz="4" w:space="0" w:color="auto"/>
              <w:bottom w:val="single" w:sz="4" w:space="0" w:color="auto"/>
            </w:tcBorders>
            <w:vAlign w:val="center"/>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sz w:val="18"/>
              </w:rPr>
              <w:t>1990</w:t>
            </w:r>
            <w:r>
              <w:rPr>
                <w:rFonts w:ascii="KaiTi_GB2312" w:eastAsia="KaiTi_GB2312" w:hint="eastAsia"/>
                <w:sz w:val="18"/>
              </w:rPr>
              <w:t>年</w:t>
            </w:r>
          </w:p>
        </w:tc>
        <w:tc>
          <w:tcPr>
            <w:tcW w:w="1159" w:type="pct"/>
            <w:tcBorders>
              <w:top w:val="single" w:sz="4" w:space="0" w:color="auto"/>
              <w:bottom w:val="single" w:sz="4" w:space="0" w:color="auto"/>
            </w:tcBorders>
            <w:vAlign w:val="center"/>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sz w:val="18"/>
              </w:rPr>
              <w:t>1995</w:t>
            </w:r>
            <w:r>
              <w:rPr>
                <w:rFonts w:ascii="KaiTi_GB2312" w:eastAsia="KaiTi_GB2312" w:hint="eastAsia"/>
                <w:sz w:val="18"/>
              </w:rPr>
              <w:t>年</w:t>
            </w:r>
          </w:p>
        </w:tc>
        <w:tc>
          <w:tcPr>
            <w:tcW w:w="1159" w:type="pct"/>
            <w:tcBorders>
              <w:top w:val="single" w:sz="4" w:space="0" w:color="auto"/>
              <w:bottom w:val="single" w:sz="4" w:space="0" w:color="auto"/>
            </w:tcBorders>
            <w:vAlign w:val="center"/>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sz w:val="18"/>
              </w:rPr>
              <w:t>2000</w:t>
            </w:r>
            <w:r>
              <w:rPr>
                <w:rFonts w:ascii="KaiTi_GB2312" w:eastAsia="KaiTi_GB2312" w:hint="eastAsia"/>
                <w:sz w:val="18"/>
              </w:rPr>
              <w:t>年</w:t>
            </w:r>
          </w:p>
        </w:tc>
      </w:tr>
      <w:tr w:rsidR="00000000">
        <w:tblPrEx>
          <w:tblCellMar>
            <w:top w:w="0" w:type="dxa"/>
            <w:bottom w:w="0" w:type="dxa"/>
          </w:tblCellMar>
        </w:tblPrEx>
        <w:trPr>
          <w:jc w:val="center"/>
        </w:trPr>
        <w:tc>
          <w:tcPr>
            <w:tcW w:w="1520" w:type="pct"/>
            <w:tcBorders>
              <w:top w:val="single" w:sz="4" w:space="0" w:color="auto"/>
            </w:tcBorders>
          </w:tcPr>
          <w:p w:rsidR="00000000" w:rsidRDefault="00457650">
            <w:pPr>
              <w:pStyle w:val="a3"/>
              <w:widowControl/>
              <w:tabs>
                <w:tab w:val="left" w:pos="630"/>
              </w:tabs>
              <w:adjustRightInd w:val="0"/>
              <w:spacing w:after="120" w:line="320" w:lineRule="exact"/>
              <w:textAlignment w:val="baseline"/>
              <w:rPr>
                <w:rFonts w:hint="eastAsia"/>
                <w:kern w:val="0"/>
                <w:szCs w:val="20"/>
              </w:rPr>
            </w:pPr>
            <w:r>
              <w:rPr>
                <w:rFonts w:hint="eastAsia"/>
                <w:kern w:val="0"/>
                <w:szCs w:val="20"/>
              </w:rPr>
              <w:t>总人口</w:t>
            </w:r>
          </w:p>
        </w:tc>
        <w:tc>
          <w:tcPr>
            <w:tcW w:w="1161" w:type="pct"/>
            <w:tcBorders>
              <w:top w:val="single" w:sz="4" w:space="0" w:color="auto"/>
            </w:tcBorders>
          </w:tcPr>
          <w:p w:rsidR="00000000" w:rsidRDefault="00457650">
            <w:pPr>
              <w:widowControl/>
              <w:tabs>
                <w:tab w:val="left" w:pos="630"/>
              </w:tabs>
              <w:spacing w:after="120" w:line="320" w:lineRule="exact"/>
              <w:jc w:val="center"/>
              <w:rPr>
                <w:sz w:val="18"/>
              </w:rPr>
            </w:pPr>
            <w:r>
              <w:rPr>
                <w:sz w:val="18"/>
              </w:rPr>
              <w:t>81 249 645</w:t>
            </w:r>
          </w:p>
        </w:tc>
        <w:tc>
          <w:tcPr>
            <w:tcW w:w="1159" w:type="pct"/>
            <w:tcBorders>
              <w:top w:val="single" w:sz="4" w:space="0" w:color="auto"/>
            </w:tcBorders>
          </w:tcPr>
          <w:p w:rsidR="00000000" w:rsidRDefault="00457650">
            <w:pPr>
              <w:widowControl/>
              <w:tabs>
                <w:tab w:val="left" w:pos="630"/>
              </w:tabs>
              <w:spacing w:after="120" w:line="320" w:lineRule="exact"/>
              <w:jc w:val="center"/>
              <w:rPr>
                <w:sz w:val="18"/>
              </w:rPr>
            </w:pPr>
            <w:r>
              <w:rPr>
                <w:sz w:val="18"/>
              </w:rPr>
              <w:t>91 158 290</w:t>
            </w:r>
          </w:p>
        </w:tc>
        <w:tc>
          <w:tcPr>
            <w:tcW w:w="1159" w:type="pct"/>
            <w:tcBorders>
              <w:top w:val="single" w:sz="4" w:space="0" w:color="auto"/>
            </w:tcBorders>
          </w:tcPr>
          <w:p w:rsidR="00000000" w:rsidRDefault="00457650">
            <w:pPr>
              <w:widowControl/>
              <w:tabs>
                <w:tab w:val="left" w:pos="630"/>
              </w:tabs>
              <w:spacing w:after="120" w:line="320" w:lineRule="exact"/>
              <w:jc w:val="center"/>
              <w:rPr>
                <w:sz w:val="18"/>
              </w:rPr>
            </w:pPr>
            <w:r>
              <w:rPr>
                <w:sz w:val="18"/>
              </w:rPr>
              <w:t>97 483 412</w:t>
            </w:r>
          </w:p>
        </w:tc>
      </w:tr>
      <w:tr w:rsidR="00000000">
        <w:tblPrEx>
          <w:tblCellMar>
            <w:top w:w="0" w:type="dxa"/>
            <w:bottom w:w="0" w:type="dxa"/>
          </w:tblCellMar>
        </w:tblPrEx>
        <w:trPr>
          <w:jc w:val="center"/>
        </w:trPr>
        <w:tc>
          <w:tcPr>
            <w:tcW w:w="1520" w:type="pct"/>
            <w:tcBorders>
              <w:bottom w:val="single" w:sz="4" w:space="0" w:color="auto"/>
            </w:tcBorders>
          </w:tcPr>
          <w:p w:rsidR="00000000" w:rsidRDefault="00457650">
            <w:pPr>
              <w:widowControl/>
              <w:tabs>
                <w:tab w:val="left" w:pos="630"/>
              </w:tabs>
              <w:spacing w:after="120" w:line="320" w:lineRule="exact"/>
              <w:rPr>
                <w:rFonts w:hint="eastAsia"/>
                <w:sz w:val="18"/>
              </w:rPr>
            </w:pPr>
            <w:r>
              <w:rPr>
                <w:rFonts w:hint="eastAsia"/>
                <w:sz w:val="18"/>
              </w:rPr>
              <w:t>预期寿命</w:t>
            </w:r>
          </w:p>
        </w:tc>
        <w:tc>
          <w:tcPr>
            <w:tcW w:w="1161" w:type="pct"/>
            <w:tcBorders>
              <w:bottom w:val="single" w:sz="4" w:space="0" w:color="auto"/>
            </w:tcBorders>
          </w:tcPr>
          <w:p w:rsidR="00000000" w:rsidRDefault="00457650">
            <w:pPr>
              <w:pStyle w:val="a3"/>
              <w:widowControl/>
              <w:tabs>
                <w:tab w:val="left" w:pos="630"/>
              </w:tabs>
              <w:adjustRightInd w:val="0"/>
              <w:spacing w:after="120" w:line="320" w:lineRule="exact"/>
              <w:jc w:val="center"/>
              <w:textAlignment w:val="baseline"/>
              <w:rPr>
                <w:kern w:val="0"/>
                <w:szCs w:val="20"/>
              </w:rPr>
            </w:pPr>
            <w:r>
              <w:rPr>
                <w:kern w:val="0"/>
                <w:szCs w:val="20"/>
              </w:rPr>
              <w:t>70.8</w:t>
            </w:r>
          </w:p>
        </w:tc>
        <w:tc>
          <w:tcPr>
            <w:tcW w:w="1159" w:type="pct"/>
            <w:tcBorders>
              <w:bottom w:val="single" w:sz="4" w:space="0" w:color="auto"/>
            </w:tcBorders>
          </w:tcPr>
          <w:p w:rsidR="00000000" w:rsidRDefault="00457650">
            <w:pPr>
              <w:widowControl/>
              <w:tabs>
                <w:tab w:val="left" w:pos="630"/>
              </w:tabs>
              <w:spacing w:after="120" w:line="320" w:lineRule="exact"/>
              <w:jc w:val="center"/>
              <w:rPr>
                <w:sz w:val="18"/>
              </w:rPr>
            </w:pPr>
            <w:r>
              <w:rPr>
                <w:sz w:val="18"/>
              </w:rPr>
              <w:t>73.6</w:t>
            </w:r>
          </w:p>
        </w:tc>
        <w:tc>
          <w:tcPr>
            <w:tcW w:w="1159" w:type="pct"/>
            <w:tcBorders>
              <w:bottom w:val="single" w:sz="4" w:space="0" w:color="auto"/>
            </w:tcBorders>
          </w:tcPr>
          <w:p w:rsidR="00000000" w:rsidRDefault="00457650">
            <w:pPr>
              <w:widowControl/>
              <w:tabs>
                <w:tab w:val="left" w:pos="630"/>
              </w:tabs>
              <w:spacing w:after="120" w:line="320" w:lineRule="exact"/>
              <w:jc w:val="center"/>
              <w:rPr>
                <w:sz w:val="18"/>
              </w:rPr>
            </w:pPr>
            <w:r>
              <w:rPr>
                <w:sz w:val="18"/>
              </w:rPr>
              <w:t>75.3</w:t>
            </w:r>
          </w:p>
        </w:tc>
      </w:tr>
    </w:tbl>
    <w:p w:rsidR="00000000" w:rsidRDefault="00457650">
      <w:pPr>
        <w:pStyle w:val="Date"/>
        <w:widowControl/>
        <w:tabs>
          <w:tab w:val="left" w:pos="630"/>
        </w:tabs>
        <w:spacing w:line="360" w:lineRule="exact"/>
        <w:rPr>
          <w:rFonts w:hint="eastAsia"/>
        </w:rPr>
      </w:pP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50</w:t>
      </w:r>
      <w:r>
        <w:rPr>
          <w:rFonts w:ascii="SimHei" w:eastAsia="SimHei" w:hint="eastAsia"/>
        </w:rPr>
        <w:t>段（</w:t>
      </w:r>
      <w:r>
        <w:rPr>
          <w:rFonts w:ascii="SimHei" w:eastAsia="SimHei" w:hint="eastAsia"/>
        </w:rPr>
        <w:t>f</w:t>
      </w:r>
      <w:r>
        <w:rPr>
          <w:rFonts w:ascii="SimHei" w:eastAsia="SimHei" w:hint="eastAsia"/>
        </w:rPr>
        <w:t>）</w:t>
      </w:r>
    </w:p>
    <w:tbl>
      <w:tblPr>
        <w:tblW w:w="5000" w:type="pct"/>
        <w:jc w:val="center"/>
        <w:tblCellMar>
          <w:left w:w="0" w:type="dxa"/>
          <w:right w:w="0" w:type="dxa"/>
        </w:tblCellMar>
        <w:tblLook w:val="0000" w:firstRow="0" w:lastRow="0" w:firstColumn="0" w:lastColumn="0" w:noHBand="0" w:noVBand="0"/>
      </w:tblPr>
      <w:tblGrid>
        <w:gridCol w:w="2648"/>
        <w:gridCol w:w="1804"/>
        <w:gridCol w:w="1805"/>
        <w:gridCol w:w="1804"/>
        <w:gridCol w:w="1805"/>
      </w:tblGrid>
      <w:tr w:rsidR="00000000">
        <w:tblPrEx>
          <w:tblCellMar>
            <w:top w:w="0" w:type="dxa"/>
            <w:bottom w:w="0" w:type="dxa"/>
          </w:tblCellMar>
        </w:tblPrEx>
        <w:trPr>
          <w:tblHeader/>
          <w:jc w:val="center"/>
        </w:trPr>
        <w:tc>
          <w:tcPr>
            <w:tcW w:w="1342" w:type="pct"/>
            <w:tcBorders>
              <w:top w:val="single" w:sz="4" w:space="0" w:color="auto"/>
              <w:bottom w:val="single" w:sz="4" w:space="0" w:color="auto"/>
            </w:tcBorders>
          </w:tcPr>
          <w:p w:rsidR="00000000" w:rsidRDefault="00457650" w:rsidP="00457650">
            <w:pPr>
              <w:widowControl/>
              <w:tabs>
                <w:tab w:val="left" w:pos="630"/>
              </w:tabs>
              <w:spacing w:after="60" w:line="320" w:lineRule="exact"/>
              <w:ind w:leftChars="50" w:left="31680"/>
              <w:rPr>
                <w:rFonts w:eastAsia="KaiTi_GB2312" w:hint="eastAsia"/>
                <w:sz w:val="18"/>
              </w:rPr>
            </w:pPr>
            <w:r>
              <w:rPr>
                <w:rFonts w:eastAsia="KaiTi_GB2312" w:hint="eastAsia"/>
                <w:sz w:val="18"/>
              </w:rPr>
              <w:t>性别</w:t>
            </w:r>
          </w:p>
        </w:tc>
        <w:tc>
          <w:tcPr>
            <w:tcW w:w="914" w:type="pct"/>
            <w:tcBorders>
              <w:top w:val="single" w:sz="4" w:space="0" w:color="auto"/>
              <w:bottom w:val="single" w:sz="4" w:space="0" w:color="auto"/>
            </w:tcBorders>
          </w:tcPr>
          <w:p w:rsidR="00000000" w:rsidRDefault="00457650">
            <w:pPr>
              <w:widowControl/>
              <w:tabs>
                <w:tab w:val="left" w:pos="630"/>
              </w:tabs>
              <w:spacing w:after="60" w:line="320" w:lineRule="exact"/>
              <w:ind w:left="50"/>
              <w:jc w:val="center"/>
              <w:rPr>
                <w:rFonts w:eastAsia="KaiTi_GB2312" w:hint="eastAsia"/>
                <w:sz w:val="18"/>
              </w:rPr>
            </w:pPr>
            <w:r>
              <w:rPr>
                <w:rFonts w:eastAsia="KaiTi_GB2312" w:hint="eastAsia"/>
                <w:sz w:val="18"/>
              </w:rPr>
              <w:t>总数</w:t>
            </w:r>
          </w:p>
        </w:tc>
        <w:tc>
          <w:tcPr>
            <w:tcW w:w="915" w:type="pct"/>
            <w:tcBorders>
              <w:top w:val="single" w:sz="4" w:space="0" w:color="auto"/>
              <w:bottom w:val="single" w:sz="4" w:space="0" w:color="auto"/>
            </w:tcBorders>
          </w:tcPr>
          <w:p w:rsidR="00000000" w:rsidRDefault="00457650">
            <w:pPr>
              <w:widowControl/>
              <w:tabs>
                <w:tab w:val="left" w:pos="630"/>
              </w:tabs>
              <w:spacing w:after="60" w:line="320" w:lineRule="exact"/>
              <w:ind w:left="50"/>
              <w:jc w:val="center"/>
              <w:rPr>
                <w:rFonts w:eastAsia="KaiTi_GB2312" w:hint="eastAsia"/>
                <w:sz w:val="18"/>
              </w:rPr>
            </w:pPr>
            <w:r>
              <w:rPr>
                <w:rFonts w:eastAsia="KaiTi_GB2312" w:hint="eastAsia"/>
                <w:sz w:val="18"/>
              </w:rPr>
              <w:t>受益人</w:t>
            </w:r>
          </w:p>
        </w:tc>
        <w:tc>
          <w:tcPr>
            <w:tcW w:w="914" w:type="pct"/>
            <w:tcBorders>
              <w:top w:val="single" w:sz="4" w:space="0" w:color="auto"/>
              <w:bottom w:val="single" w:sz="4" w:space="0" w:color="auto"/>
            </w:tcBorders>
          </w:tcPr>
          <w:p w:rsidR="00000000" w:rsidRDefault="00457650">
            <w:pPr>
              <w:widowControl/>
              <w:tabs>
                <w:tab w:val="left" w:pos="630"/>
              </w:tabs>
              <w:spacing w:after="60" w:line="320" w:lineRule="exact"/>
              <w:ind w:left="50"/>
              <w:jc w:val="center"/>
              <w:rPr>
                <w:rFonts w:eastAsia="KaiTi_GB2312" w:hint="eastAsia"/>
                <w:sz w:val="18"/>
              </w:rPr>
            </w:pPr>
            <w:r>
              <w:rPr>
                <w:rFonts w:eastAsia="KaiTi_GB2312" w:hint="eastAsia"/>
                <w:sz w:val="18"/>
              </w:rPr>
              <w:t>非受益人</w:t>
            </w:r>
          </w:p>
        </w:tc>
        <w:tc>
          <w:tcPr>
            <w:tcW w:w="915" w:type="pct"/>
            <w:tcBorders>
              <w:top w:val="single" w:sz="4" w:space="0" w:color="auto"/>
              <w:bottom w:val="single" w:sz="4" w:space="0" w:color="auto"/>
            </w:tcBorders>
          </w:tcPr>
          <w:p w:rsidR="00000000" w:rsidRDefault="00457650">
            <w:pPr>
              <w:pStyle w:val="Header"/>
              <w:widowControl/>
              <w:pBdr>
                <w:bottom w:val="none" w:sz="0" w:space="0" w:color="auto"/>
              </w:pBdr>
              <w:tabs>
                <w:tab w:val="clear" w:pos="4320"/>
                <w:tab w:val="clear" w:pos="8640"/>
                <w:tab w:val="left" w:pos="630"/>
              </w:tabs>
              <w:spacing w:after="60" w:line="320" w:lineRule="exact"/>
              <w:ind w:left="50"/>
              <w:rPr>
                <w:rFonts w:eastAsia="KaiTi_GB2312" w:hint="eastAsia"/>
              </w:rPr>
            </w:pPr>
            <w:r>
              <w:rPr>
                <w:rFonts w:eastAsia="KaiTi_GB2312" w:hint="eastAsia"/>
              </w:rPr>
              <w:t>不明</w:t>
            </w:r>
          </w:p>
        </w:tc>
      </w:tr>
      <w:tr w:rsidR="00000000">
        <w:tblPrEx>
          <w:tblCellMar>
            <w:top w:w="0" w:type="dxa"/>
            <w:bottom w:w="0" w:type="dxa"/>
          </w:tblCellMar>
        </w:tblPrEx>
        <w:trPr>
          <w:jc w:val="center"/>
        </w:trPr>
        <w:tc>
          <w:tcPr>
            <w:tcW w:w="1342" w:type="pct"/>
            <w:tcBorders>
              <w:top w:val="single" w:sz="4" w:space="0" w:color="auto"/>
            </w:tcBorders>
          </w:tcPr>
          <w:p w:rsidR="00000000" w:rsidRDefault="00457650" w:rsidP="00457650">
            <w:pPr>
              <w:widowControl/>
              <w:tabs>
                <w:tab w:val="left" w:pos="630"/>
              </w:tabs>
              <w:spacing w:after="60" w:line="320" w:lineRule="exact"/>
              <w:ind w:leftChars="50" w:left="31680"/>
              <w:rPr>
                <w:rFonts w:hint="eastAsia"/>
                <w:sz w:val="18"/>
              </w:rPr>
            </w:pPr>
            <w:r>
              <w:rPr>
                <w:rFonts w:hint="eastAsia"/>
                <w:sz w:val="18"/>
              </w:rPr>
              <w:t>男</w:t>
            </w:r>
          </w:p>
        </w:tc>
        <w:tc>
          <w:tcPr>
            <w:tcW w:w="914" w:type="pct"/>
            <w:tcBorders>
              <w:top w:val="single" w:sz="4" w:space="0" w:color="auto"/>
            </w:tcBorders>
          </w:tcPr>
          <w:p w:rsidR="00000000" w:rsidRDefault="00457650" w:rsidP="00457650">
            <w:pPr>
              <w:widowControl/>
              <w:tabs>
                <w:tab w:val="left" w:pos="630"/>
              </w:tabs>
              <w:spacing w:after="60" w:line="320" w:lineRule="exact"/>
              <w:ind w:left="50" w:rightChars="230" w:right="31680"/>
              <w:jc w:val="right"/>
              <w:rPr>
                <w:sz w:val="18"/>
              </w:rPr>
            </w:pPr>
            <w:r>
              <w:rPr>
                <w:sz w:val="18"/>
              </w:rPr>
              <w:t>47 258 265</w:t>
            </w:r>
          </w:p>
        </w:tc>
        <w:tc>
          <w:tcPr>
            <w:tcW w:w="915" w:type="pct"/>
            <w:tcBorders>
              <w:top w:val="single" w:sz="4" w:space="0" w:color="auto"/>
            </w:tcBorders>
          </w:tcPr>
          <w:p w:rsidR="00000000" w:rsidRDefault="00457650">
            <w:pPr>
              <w:widowControl/>
              <w:tabs>
                <w:tab w:val="left" w:pos="630"/>
              </w:tabs>
              <w:spacing w:after="60" w:line="320" w:lineRule="exact"/>
              <w:ind w:left="50"/>
              <w:jc w:val="center"/>
              <w:rPr>
                <w:sz w:val="18"/>
              </w:rPr>
            </w:pPr>
            <w:r>
              <w:rPr>
                <w:sz w:val="18"/>
              </w:rPr>
              <w:t>96.0</w:t>
            </w:r>
          </w:p>
        </w:tc>
        <w:tc>
          <w:tcPr>
            <w:tcW w:w="914" w:type="pct"/>
            <w:tcBorders>
              <w:top w:val="single" w:sz="4" w:space="0" w:color="auto"/>
            </w:tcBorders>
          </w:tcPr>
          <w:p w:rsidR="00000000" w:rsidRDefault="00457650">
            <w:pPr>
              <w:widowControl/>
              <w:tabs>
                <w:tab w:val="left" w:pos="630"/>
              </w:tabs>
              <w:spacing w:after="60" w:line="320" w:lineRule="exact"/>
              <w:ind w:left="50"/>
              <w:jc w:val="center"/>
              <w:rPr>
                <w:sz w:val="18"/>
              </w:rPr>
            </w:pPr>
            <w:r>
              <w:rPr>
                <w:sz w:val="18"/>
              </w:rPr>
              <w:t>3.0</w:t>
            </w:r>
          </w:p>
        </w:tc>
        <w:tc>
          <w:tcPr>
            <w:tcW w:w="915" w:type="pct"/>
            <w:tcBorders>
              <w:top w:val="single" w:sz="4" w:space="0" w:color="auto"/>
            </w:tcBorders>
          </w:tcPr>
          <w:p w:rsidR="00000000" w:rsidRDefault="00457650">
            <w:pPr>
              <w:widowControl/>
              <w:tabs>
                <w:tab w:val="left" w:pos="630"/>
              </w:tabs>
              <w:spacing w:after="60" w:line="320" w:lineRule="exact"/>
              <w:ind w:left="50"/>
              <w:jc w:val="center"/>
              <w:rPr>
                <w:sz w:val="18"/>
              </w:rPr>
            </w:pPr>
            <w:r>
              <w:rPr>
                <w:sz w:val="18"/>
              </w:rPr>
              <w:t>1.0</w:t>
            </w:r>
          </w:p>
        </w:tc>
      </w:tr>
      <w:tr w:rsidR="00000000">
        <w:tblPrEx>
          <w:tblCellMar>
            <w:top w:w="0" w:type="dxa"/>
            <w:bottom w:w="0" w:type="dxa"/>
          </w:tblCellMar>
        </w:tblPrEx>
        <w:trPr>
          <w:jc w:val="center"/>
        </w:trPr>
        <w:tc>
          <w:tcPr>
            <w:tcW w:w="1342" w:type="pct"/>
          </w:tcPr>
          <w:p w:rsidR="00000000" w:rsidRDefault="00457650" w:rsidP="00457650">
            <w:pPr>
              <w:widowControl/>
              <w:tabs>
                <w:tab w:val="left" w:pos="630"/>
              </w:tabs>
              <w:spacing w:after="60" w:line="320" w:lineRule="exact"/>
              <w:ind w:leftChars="50" w:left="31680"/>
              <w:rPr>
                <w:rFonts w:hint="eastAsia"/>
                <w:sz w:val="18"/>
              </w:rPr>
            </w:pPr>
            <w:r>
              <w:rPr>
                <w:rFonts w:hint="eastAsia"/>
                <w:sz w:val="18"/>
              </w:rPr>
              <w:t>0-4</w:t>
            </w:r>
            <w:r>
              <w:rPr>
                <w:rFonts w:hint="eastAsia"/>
                <w:sz w:val="18"/>
              </w:rPr>
              <w:t>岁</w:t>
            </w:r>
          </w:p>
        </w:tc>
        <w:tc>
          <w:tcPr>
            <w:tcW w:w="914" w:type="pct"/>
          </w:tcPr>
          <w:p w:rsidR="00000000" w:rsidRDefault="00457650" w:rsidP="00457650">
            <w:pPr>
              <w:widowControl/>
              <w:tabs>
                <w:tab w:val="left" w:pos="630"/>
              </w:tabs>
              <w:spacing w:after="60" w:line="320" w:lineRule="exact"/>
              <w:ind w:left="50" w:rightChars="230" w:right="31680"/>
              <w:jc w:val="right"/>
              <w:rPr>
                <w:sz w:val="18"/>
              </w:rPr>
            </w:pPr>
            <w:r>
              <w:rPr>
                <w:sz w:val="18"/>
              </w:rPr>
              <w:t>5 485 973</w:t>
            </w:r>
          </w:p>
        </w:tc>
        <w:tc>
          <w:tcPr>
            <w:tcW w:w="915" w:type="pct"/>
          </w:tcPr>
          <w:p w:rsidR="00000000" w:rsidRDefault="00457650">
            <w:pPr>
              <w:widowControl/>
              <w:tabs>
                <w:tab w:val="left" w:pos="630"/>
              </w:tabs>
              <w:spacing w:after="60" w:line="320" w:lineRule="exact"/>
              <w:ind w:left="50"/>
              <w:jc w:val="center"/>
              <w:rPr>
                <w:sz w:val="18"/>
              </w:rPr>
            </w:pPr>
            <w:r>
              <w:rPr>
                <w:sz w:val="18"/>
              </w:rPr>
              <w:t>95.8</w:t>
            </w:r>
          </w:p>
        </w:tc>
        <w:tc>
          <w:tcPr>
            <w:tcW w:w="914" w:type="pct"/>
          </w:tcPr>
          <w:p w:rsidR="00000000" w:rsidRDefault="00457650">
            <w:pPr>
              <w:widowControl/>
              <w:tabs>
                <w:tab w:val="left" w:pos="630"/>
              </w:tabs>
              <w:spacing w:after="60" w:line="320" w:lineRule="exact"/>
              <w:ind w:left="50"/>
              <w:jc w:val="center"/>
              <w:rPr>
                <w:sz w:val="18"/>
              </w:rPr>
            </w:pPr>
            <w:r>
              <w:rPr>
                <w:sz w:val="18"/>
              </w:rPr>
              <w:t>2.0</w:t>
            </w:r>
          </w:p>
        </w:tc>
        <w:tc>
          <w:tcPr>
            <w:tcW w:w="915" w:type="pct"/>
          </w:tcPr>
          <w:p w:rsidR="00000000" w:rsidRDefault="00457650">
            <w:pPr>
              <w:widowControl/>
              <w:tabs>
                <w:tab w:val="left" w:pos="630"/>
              </w:tabs>
              <w:spacing w:after="60" w:line="320" w:lineRule="exact"/>
              <w:ind w:left="50"/>
              <w:jc w:val="center"/>
              <w:rPr>
                <w:sz w:val="18"/>
              </w:rPr>
            </w:pPr>
            <w:r>
              <w:rPr>
                <w:sz w:val="18"/>
              </w:rPr>
              <w:t>2.2</w:t>
            </w:r>
          </w:p>
        </w:tc>
      </w:tr>
      <w:tr w:rsidR="00000000">
        <w:tblPrEx>
          <w:tblCellMar>
            <w:top w:w="0" w:type="dxa"/>
            <w:bottom w:w="0" w:type="dxa"/>
          </w:tblCellMar>
        </w:tblPrEx>
        <w:trPr>
          <w:jc w:val="center"/>
        </w:trPr>
        <w:tc>
          <w:tcPr>
            <w:tcW w:w="1342" w:type="pct"/>
          </w:tcPr>
          <w:p w:rsidR="00000000" w:rsidRDefault="00457650" w:rsidP="00457650">
            <w:pPr>
              <w:widowControl/>
              <w:tabs>
                <w:tab w:val="left" w:pos="630"/>
              </w:tabs>
              <w:spacing w:after="60" w:line="320" w:lineRule="exact"/>
              <w:ind w:leftChars="50" w:left="31680"/>
              <w:rPr>
                <w:rFonts w:hint="eastAsia"/>
                <w:sz w:val="18"/>
              </w:rPr>
            </w:pPr>
            <w:r>
              <w:rPr>
                <w:rFonts w:hint="eastAsia"/>
                <w:sz w:val="18"/>
              </w:rPr>
              <w:t>6-14</w:t>
            </w:r>
            <w:r>
              <w:rPr>
                <w:rFonts w:hint="eastAsia"/>
                <w:sz w:val="18"/>
              </w:rPr>
              <w:t>岁</w:t>
            </w:r>
          </w:p>
        </w:tc>
        <w:tc>
          <w:tcPr>
            <w:tcW w:w="914" w:type="pct"/>
          </w:tcPr>
          <w:p w:rsidR="00000000" w:rsidRDefault="00457650" w:rsidP="00457650">
            <w:pPr>
              <w:widowControl/>
              <w:tabs>
                <w:tab w:val="left" w:pos="630"/>
              </w:tabs>
              <w:spacing w:after="60" w:line="320" w:lineRule="exact"/>
              <w:ind w:left="50" w:rightChars="230" w:right="31680"/>
              <w:jc w:val="right"/>
              <w:rPr>
                <w:sz w:val="18"/>
              </w:rPr>
            </w:pPr>
            <w:r>
              <w:rPr>
                <w:sz w:val="18"/>
              </w:rPr>
              <w:t>11 268 967</w:t>
            </w:r>
          </w:p>
        </w:tc>
        <w:tc>
          <w:tcPr>
            <w:tcW w:w="915" w:type="pct"/>
          </w:tcPr>
          <w:p w:rsidR="00000000" w:rsidRDefault="00457650">
            <w:pPr>
              <w:widowControl/>
              <w:tabs>
                <w:tab w:val="left" w:pos="630"/>
              </w:tabs>
              <w:spacing w:after="60" w:line="320" w:lineRule="exact"/>
              <w:ind w:left="50"/>
              <w:jc w:val="center"/>
              <w:rPr>
                <w:sz w:val="18"/>
              </w:rPr>
            </w:pPr>
            <w:r>
              <w:rPr>
                <w:sz w:val="18"/>
              </w:rPr>
              <w:t>96.7</w:t>
            </w:r>
          </w:p>
        </w:tc>
        <w:tc>
          <w:tcPr>
            <w:tcW w:w="914" w:type="pct"/>
          </w:tcPr>
          <w:p w:rsidR="00000000" w:rsidRDefault="00457650">
            <w:pPr>
              <w:widowControl/>
              <w:tabs>
                <w:tab w:val="left" w:pos="630"/>
              </w:tabs>
              <w:spacing w:after="60" w:line="320" w:lineRule="exact"/>
              <w:ind w:left="50"/>
              <w:jc w:val="center"/>
              <w:rPr>
                <w:sz w:val="18"/>
              </w:rPr>
            </w:pPr>
            <w:r>
              <w:rPr>
                <w:sz w:val="18"/>
              </w:rPr>
              <w:t>2.4</w:t>
            </w:r>
          </w:p>
        </w:tc>
        <w:tc>
          <w:tcPr>
            <w:tcW w:w="915" w:type="pct"/>
          </w:tcPr>
          <w:p w:rsidR="00000000" w:rsidRDefault="00457650">
            <w:pPr>
              <w:widowControl/>
              <w:tabs>
                <w:tab w:val="left" w:pos="630"/>
              </w:tabs>
              <w:spacing w:after="60" w:line="320" w:lineRule="exact"/>
              <w:ind w:left="50"/>
              <w:jc w:val="center"/>
              <w:rPr>
                <w:sz w:val="18"/>
              </w:rPr>
            </w:pPr>
            <w:r>
              <w:rPr>
                <w:sz w:val="18"/>
              </w:rPr>
              <w:t>0.9</w:t>
            </w:r>
          </w:p>
        </w:tc>
      </w:tr>
      <w:tr w:rsidR="00000000">
        <w:tblPrEx>
          <w:tblCellMar>
            <w:top w:w="0" w:type="dxa"/>
            <w:bottom w:w="0" w:type="dxa"/>
          </w:tblCellMar>
        </w:tblPrEx>
        <w:trPr>
          <w:jc w:val="center"/>
        </w:trPr>
        <w:tc>
          <w:tcPr>
            <w:tcW w:w="1342" w:type="pct"/>
          </w:tcPr>
          <w:p w:rsidR="00000000" w:rsidRDefault="00457650" w:rsidP="00457650">
            <w:pPr>
              <w:widowControl/>
              <w:tabs>
                <w:tab w:val="left" w:pos="630"/>
              </w:tabs>
              <w:spacing w:after="60" w:line="320" w:lineRule="exact"/>
              <w:ind w:leftChars="50" w:left="31680"/>
              <w:rPr>
                <w:rFonts w:hint="eastAsia"/>
                <w:sz w:val="18"/>
              </w:rPr>
            </w:pPr>
            <w:r>
              <w:rPr>
                <w:rFonts w:hint="eastAsia"/>
                <w:sz w:val="18"/>
              </w:rPr>
              <w:t>15-64</w:t>
            </w:r>
            <w:r>
              <w:rPr>
                <w:rFonts w:hint="eastAsia"/>
                <w:sz w:val="18"/>
              </w:rPr>
              <w:t>岁</w:t>
            </w:r>
          </w:p>
        </w:tc>
        <w:tc>
          <w:tcPr>
            <w:tcW w:w="914" w:type="pct"/>
          </w:tcPr>
          <w:p w:rsidR="00000000" w:rsidRDefault="00457650" w:rsidP="00457650">
            <w:pPr>
              <w:widowControl/>
              <w:tabs>
                <w:tab w:val="left" w:pos="630"/>
              </w:tabs>
              <w:spacing w:after="60" w:line="320" w:lineRule="exact"/>
              <w:ind w:left="50" w:rightChars="230" w:right="31680"/>
              <w:jc w:val="right"/>
              <w:rPr>
                <w:sz w:val="18"/>
              </w:rPr>
            </w:pPr>
            <w:r>
              <w:rPr>
                <w:sz w:val="18"/>
              </w:rPr>
              <w:t>28 105 440</w:t>
            </w:r>
          </w:p>
        </w:tc>
        <w:tc>
          <w:tcPr>
            <w:tcW w:w="915" w:type="pct"/>
          </w:tcPr>
          <w:p w:rsidR="00000000" w:rsidRDefault="00457650">
            <w:pPr>
              <w:widowControl/>
              <w:tabs>
                <w:tab w:val="left" w:pos="630"/>
              </w:tabs>
              <w:spacing w:after="60" w:line="320" w:lineRule="exact"/>
              <w:ind w:left="50"/>
              <w:jc w:val="center"/>
              <w:rPr>
                <w:sz w:val="18"/>
              </w:rPr>
            </w:pPr>
            <w:r>
              <w:rPr>
                <w:sz w:val="18"/>
              </w:rPr>
              <w:t>95.8</w:t>
            </w:r>
          </w:p>
        </w:tc>
        <w:tc>
          <w:tcPr>
            <w:tcW w:w="914" w:type="pct"/>
          </w:tcPr>
          <w:p w:rsidR="00000000" w:rsidRDefault="00457650">
            <w:pPr>
              <w:widowControl/>
              <w:tabs>
                <w:tab w:val="left" w:pos="630"/>
              </w:tabs>
              <w:spacing w:after="60" w:line="320" w:lineRule="exact"/>
              <w:ind w:left="50"/>
              <w:jc w:val="center"/>
              <w:rPr>
                <w:sz w:val="18"/>
              </w:rPr>
            </w:pPr>
            <w:r>
              <w:rPr>
                <w:sz w:val="18"/>
              </w:rPr>
              <w:t>3.4</w:t>
            </w:r>
          </w:p>
        </w:tc>
        <w:tc>
          <w:tcPr>
            <w:tcW w:w="915" w:type="pct"/>
          </w:tcPr>
          <w:p w:rsidR="00000000" w:rsidRDefault="00457650">
            <w:pPr>
              <w:widowControl/>
              <w:tabs>
                <w:tab w:val="left" w:pos="630"/>
              </w:tabs>
              <w:spacing w:after="60" w:line="320" w:lineRule="exact"/>
              <w:ind w:left="50"/>
              <w:jc w:val="center"/>
              <w:rPr>
                <w:sz w:val="18"/>
              </w:rPr>
            </w:pPr>
            <w:r>
              <w:rPr>
                <w:sz w:val="18"/>
              </w:rPr>
              <w:t>0.8</w:t>
            </w:r>
          </w:p>
        </w:tc>
      </w:tr>
      <w:tr w:rsidR="00000000">
        <w:tblPrEx>
          <w:tblCellMar>
            <w:top w:w="0" w:type="dxa"/>
            <w:bottom w:w="0" w:type="dxa"/>
          </w:tblCellMar>
        </w:tblPrEx>
        <w:trPr>
          <w:jc w:val="center"/>
        </w:trPr>
        <w:tc>
          <w:tcPr>
            <w:tcW w:w="1342" w:type="pct"/>
          </w:tcPr>
          <w:p w:rsidR="00000000" w:rsidRDefault="00457650" w:rsidP="00457650">
            <w:pPr>
              <w:widowControl/>
              <w:tabs>
                <w:tab w:val="left" w:pos="630"/>
              </w:tabs>
              <w:spacing w:after="60" w:line="320" w:lineRule="exact"/>
              <w:ind w:leftChars="50" w:left="31680"/>
              <w:rPr>
                <w:rFonts w:hint="eastAsia"/>
                <w:sz w:val="18"/>
              </w:rPr>
            </w:pPr>
            <w:r>
              <w:rPr>
                <w:rFonts w:hint="eastAsia"/>
                <w:sz w:val="18"/>
              </w:rPr>
              <w:t>65</w:t>
            </w:r>
            <w:r>
              <w:rPr>
                <w:rFonts w:hint="eastAsia"/>
                <w:sz w:val="18"/>
              </w:rPr>
              <w:t>岁及以</w:t>
            </w:r>
            <w:r>
              <w:rPr>
                <w:rFonts w:hint="eastAsia"/>
                <w:sz w:val="18"/>
              </w:rPr>
              <w:t>上</w:t>
            </w:r>
          </w:p>
        </w:tc>
        <w:tc>
          <w:tcPr>
            <w:tcW w:w="914" w:type="pct"/>
          </w:tcPr>
          <w:p w:rsidR="00000000" w:rsidRDefault="00457650" w:rsidP="00457650">
            <w:pPr>
              <w:widowControl/>
              <w:tabs>
                <w:tab w:val="left" w:pos="630"/>
              </w:tabs>
              <w:spacing w:after="60" w:line="320" w:lineRule="exact"/>
              <w:ind w:left="50" w:rightChars="230" w:right="31680"/>
              <w:jc w:val="right"/>
              <w:rPr>
                <w:sz w:val="18"/>
              </w:rPr>
            </w:pPr>
            <w:r>
              <w:rPr>
                <w:sz w:val="18"/>
              </w:rPr>
              <w:t>2 246 999</w:t>
            </w:r>
          </w:p>
        </w:tc>
        <w:tc>
          <w:tcPr>
            <w:tcW w:w="915" w:type="pct"/>
          </w:tcPr>
          <w:p w:rsidR="00000000" w:rsidRDefault="00457650">
            <w:pPr>
              <w:widowControl/>
              <w:tabs>
                <w:tab w:val="left" w:pos="630"/>
              </w:tabs>
              <w:spacing w:after="60" w:line="320" w:lineRule="exact"/>
              <w:ind w:left="50"/>
              <w:jc w:val="center"/>
              <w:rPr>
                <w:sz w:val="18"/>
              </w:rPr>
            </w:pPr>
            <w:r>
              <w:rPr>
                <w:sz w:val="18"/>
              </w:rPr>
              <w:t>95.2</w:t>
            </w:r>
          </w:p>
        </w:tc>
        <w:tc>
          <w:tcPr>
            <w:tcW w:w="914" w:type="pct"/>
          </w:tcPr>
          <w:p w:rsidR="00000000" w:rsidRDefault="00457650">
            <w:pPr>
              <w:widowControl/>
              <w:tabs>
                <w:tab w:val="left" w:pos="630"/>
              </w:tabs>
              <w:spacing w:after="60" w:line="320" w:lineRule="exact"/>
              <w:ind w:left="50"/>
              <w:jc w:val="center"/>
              <w:rPr>
                <w:sz w:val="18"/>
              </w:rPr>
            </w:pPr>
            <w:r>
              <w:rPr>
                <w:sz w:val="18"/>
              </w:rPr>
              <w:t>4.0</w:t>
            </w:r>
          </w:p>
        </w:tc>
        <w:tc>
          <w:tcPr>
            <w:tcW w:w="915" w:type="pct"/>
          </w:tcPr>
          <w:p w:rsidR="00000000" w:rsidRDefault="00457650">
            <w:pPr>
              <w:widowControl/>
              <w:tabs>
                <w:tab w:val="left" w:pos="630"/>
              </w:tabs>
              <w:spacing w:after="60" w:line="320" w:lineRule="exact"/>
              <w:ind w:left="50"/>
              <w:jc w:val="center"/>
              <w:rPr>
                <w:sz w:val="18"/>
              </w:rPr>
            </w:pPr>
            <w:r>
              <w:rPr>
                <w:sz w:val="18"/>
              </w:rPr>
              <w:t>0.8</w:t>
            </w:r>
          </w:p>
        </w:tc>
      </w:tr>
      <w:tr w:rsidR="00000000">
        <w:tblPrEx>
          <w:tblCellMar>
            <w:top w:w="0" w:type="dxa"/>
            <w:bottom w:w="0" w:type="dxa"/>
          </w:tblCellMar>
        </w:tblPrEx>
        <w:trPr>
          <w:jc w:val="center"/>
        </w:trPr>
        <w:tc>
          <w:tcPr>
            <w:tcW w:w="1342" w:type="pct"/>
          </w:tcPr>
          <w:p w:rsidR="00000000" w:rsidRDefault="00457650" w:rsidP="00457650">
            <w:pPr>
              <w:widowControl/>
              <w:tabs>
                <w:tab w:val="left" w:pos="630"/>
              </w:tabs>
              <w:spacing w:after="60" w:line="320" w:lineRule="exact"/>
              <w:ind w:leftChars="50" w:left="31680"/>
              <w:rPr>
                <w:rFonts w:hint="eastAsia"/>
                <w:sz w:val="18"/>
              </w:rPr>
            </w:pPr>
            <w:r>
              <w:rPr>
                <w:rFonts w:hint="eastAsia"/>
                <w:sz w:val="18"/>
              </w:rPr>
              <w:t>不明</w:t>
            </w:r>
          </w:p>
        </w:tc>
        <w:tc>
          <w:tcPr>
            <w:tcW w:w="914" w:type="pct"/>
          </w:tcPr>
          <w:p w:rsidR="00000000" w:rsidRDefault="00457650" w:rsidP="00457650">
            <w:pPr>
              <w:widowControl/>
              <w:tabs>
                <w:tab w:val="left" w:pos="630"/>
              </w:tabs>
              <w:spacing w:after="60" w:line="320" w:lineRule="exact"/>
              <w:ind w:left="50" w:rightChars="230" w:right="31680"/>
              <w:jc w:val="right"/>
              <w:rPr>
                <w:sz w:val="18"/>
              </w:rPr>
            </w:pPr>
            <w:r>
              <w:rPr>
                <w:sz w:val="18"/>
              </w:rPr>
              <w:t>150 886</w:t>
            </w:r>
          </w:p>
        </w:tc>
        <w:tc>
          <w:tcPr>
            <w:tcW w:w="915" w:type="pct"/>
          </w:tcPr>
          <w:p w:rsidR="00000000" w:rsidRDefault="00457650">
            <w:pPr>
              <w:widowControl/>
              <w:tabs>
                <w:tab w:val="left" w:pos="630"/>
              </w:tabs>
              <w:spacing w:after="60" w:line="320" w:lineRule="exact"/>
              <w:ind w:left="50"/>
              <w:jc w:val="center"/>
              <w:rPr>
                <w:sz w:val="18"/>
              </w:rPr>
            </w:pPr>
            <w:r>
              <w:rPr>
                <w:sz w:val="18"/>
              </w:rPr>
              <w:t>86.1</w:t>
            </w:r>
          </w:p>
        </w:tc>
        <w:tc>
          <w:tcPr>
            <w:tcW w:w="914" w:type="pct"/>
          </w:tcPr>
          <w:p w:rsidR="00000000" w:rsidRDefault="00457650">
            <w:pPr>
              <w:widowControl/>
              <w:tabs>
                <w:tab w:val="left" w:pos="630"/>
              </w:tabs>
              <w:spacing w:after="60" w:line="320" w:lineRule="exact"/>
              <w:ind w:left="50"/>
              <w:jc w:val="center"/>
              <w:rPr>
                <w:sz w:val="18"/>
              </w:rPr>
            </w:pPr>
            <w:r>
              <w:rPr>
                <w:sz w:val="18"/>
              </w:rPr>
              <w:t>6.7</w:t>
            </w:r>
          </w:p>
        </w:tc>
        <w:tc>
          <w:tcPr>
            <w:tcW w:w="915" w:type="pct"/>
          </w:tcPr>
          <w:p w:rsidR="00000000" w:rsidRDefault="00457650">
            <w:pPr>
              <w:widowControl/>
              <w:tabs>
                <w:tab w:val="left" w:pos="630"/>
              </w:tabs>
              <w:spacing w:after="60" w:line="320" w:lineRule="exact"/>
              <w:ind w:left="50"/>
              <w:jc w:val="center"/>
              <w:rPr>
                <w:sz w:val="18"/>
              </w:rPr>
            </w:pPr>
            <w:r>
              <w:rPr>
                <w:sz w:val="18"/>
              </w:rPr>
              <w:t>7.2</w:t>
            </w:r>
          </w:p>
        </w:tc>
      </w:tr>
      <w:tr w:rsidR="00000000">
        <w:tblPrEx>
          <w:tblCellMar>
            <w:top w:w="0" w:type="dxa"/>
            <w:bottom w:w="0" w:type="dxa"/>
          </w:tblCellMar>
        </w:tblPrEx>
        <w:trPr>
          <w:jc w:val="center"/>
        </w:trPr>
        <w:tc>
          <w:tcPr>
            <w:tcW w:w="1342" w:type="pct"/>
          </w:tcPr>
          <w:p w:rsidR="00000000" w:rsidRDefault="00457650" w:rsidP="00457650">
            <w:pPr>
              <w:widowControl/>
              <w:tabs>
                <w:tab w:val="left" w:pos="630"/>
              </w:tabs>
              <w:spacing w:after="60" w:line="320" w:lineRule="exact"/>
              <w:ind w:leftChars="50" w:left="31680"/>
              <w:rPr>
                <w:rFonts w:hint="eastAsia"/>
                <w:sz w:val="18"/>
              </w:rPr>
            </w:pPr>
            <w:r>
              <w:rPr>
                <w:rFonts w:hint="eastAsia"/>
                <w:sz w:val="18"/>
              </w:rPr>
              <w:t>女</w:t>
            </w:r>
          </w:p>
        </w:tc>
        <w:tc>
          <w:tcPr>
            <w:tcW w:w="914" w:type="pct"/>
          </w:tcPr>
          <w:p w:rsidR="00000000" w:rsidRDefault="00457650" w:rsidP="00457650">
            <w:pPr>
              <w:widowControl/>
              <w:tabs>
                <w:tab w:val="left" w:pos="630"/>
              </w:tabs>
              <w:spacing w:after="60" w:line="320" w:lineRule="exact"/>
              <w:ind w:left="50" w:rightChars="230" w:right="31680"/>
              <w:jc w:val="right"/>
              <w:rPr>
                <w:sz w:val="18"/>
              </w:rPr>
            </w:pPr>
            <w:r>
              <w:rPr>
                <w:sz w:val="18"/>
              </w:rPr>
              <w:t>49 756 602</w:t>
            </w:r>
          </w:p>
        </w:tc>
        <w:tc>
          <w:tcPr>
            <w:tcW w:w="915" w:type="pct"/>
          </w:tcPr>
          <w:p w:rsidR="00000000" w:rsidRDefault="00457650">
            <w:pPr>
              <w:widowControl/>
              <w:tabs>
                <w:tab w:val="left" w:pos="630"/>
              </w:tabs>
              <w:spacing w:after="60" w:line="320" w:lineRule="exact"/>
              <w:ind w:left="50"/>
              <w:jc w:val="center"/>
              <w:rPr>
                <w:sz w:val="18"/>
              </w:rPr>
            </w:pPr>
            <w:r>
              <w:rPr>
                <w:sz w:val="18"/>
              </w:rPr>
              <w:t>96.7</w:t>
            </w:r>
          </w:p>
        </w:tc>
        <w:tc>
          <w:tcPr>
            <w:tcW w:w="914" w:type="pct"/>
          </w:tcPr>
          <w:p w:rsidR="00000000" w:rsidRDefault="00457650">
            <w:pPr>
              <w:widowControl/>
              <w:tabs>
                <w:tab w:val="left" w:pos="630"/>
              </w:tabs>
              <w:spacing w:after="60" w:line="320" w:lineRule="exact"/>
              <w:ind w:left="50"/>
              <w:jc w:val="center"/>
              <w:rPr>
                <w:sz w:val="18"/>
              </w:rPr>
            </w:pPr>
            <w:r>
              <w:rPr>
                <w:sz w:val="18"/>
              </w:rPr>
              <w:t>2.3</w:t>
            </w:r>
          </w:p>
        </w:tc>
        <w:tc>
          <w:tcPr>
            <w:tcW w:w="915" w:type="pct"/>
          </w:tcPr>
          <w:p w:rsidR="00000000" w:rsidRDefault="00457650">
            <w:pPr>
              <w:widowControl/>
              <w:tabs>
                <w:tab w:val="left" w:pos="630"/>
              </w:tabs>
              <w:spacing w:after="60" w:line="320" w:lineRule="exact"/>
              <w:ind w:left="50"/>
              <w:jc w:val="center"/>
              <w:rPr>
                <w:sz w:val="18"/>
              </w:rPr>
            </w:pPr>
            <w:r>
              <w:rPr>
                <w:sz w:val="18"/>
              </w:rPr>
              <w:t>1.0</w:t>
            </w:r>
          </w:p>
        </w:tc>
      </w:tr>
      <w:tr w:rsidR="00000000">
        <w:tblPrEx>
          <w:tblCellMar>
            <w:top w:w="0" w:type="dxa"/>
            <w:bottom w:w="0" w:type="dxa"/>
          </w:tblCellMar>
        </w:tblPrEx>
        <w:trPr>
          <w:jc w:val="center"/>
        </w:trPr>
        <w:tc>
          <w:tcPr>
            <w:tcW w:w="1342" w:type="pct"/>
          </w:tcPr>
          <w:p w:rsidR="00000000" w:rsidRDefault="00457650" w:rsidP="00457650">
            <w:pPr>
              <w:widowControl/>
              <w:tabs>
                <w:tab w:val="left" w:pos="630"/>
              </w:tabs>
              <w:spacing w:after="60" w:line="320" w:lineRule="exact"/>
              <w:ind w:leftChars="50" w:left="31680"/>
              <w:rPr>
                <w:rFonts w:hint="eastAsia"/>
                <w:sz w:val="18"/>
              </w:rPr>
            </w:pPr>
            <w:r>
              <w:rPr>
                <w:rFonts w:hint="eastAsia"/>
                <w:sz w:val="18"/>
              </w:rPr>
              <w:t>0-4</w:t>
            </w:r>
            <w:r>
              <w:rPr>
                <w:rFonts w:hint="eastAsia"/>
                <w:sz w:val="18"/>
              </w:rPr>
              <w:t>岁</w:t>
            </w:r>
          </w:p>
        </w:tc>
        <w:tc>
          <w:tcPr>
            <w:tcW w:w="914" w:type="pct"/>
          </w:tcPr>
          <w:p w:rsidR="00000000" w:rsidRDefault="00457650" w:rsidP="00457650">
            <w:pPr>
              <w:widowControl/>
              <w:tabs>
                <w:tab w:val="left" w:pos="630"/>
              </w:tabs>
              <w:spacing w:after="60" w:line="320" w:lineRule="exact"/>
              <w:ind w:left="50" w:rightChars="230" w:right="31680"/>
              <w:jc w:val="right"/>
              <w:rPr>
                <w:sz w:val="18"/>
              </w:rPr>
            </w:pPr>
            <w:r>
              <w:rPr>
                <w:sz w:val="18"/>
              </w:rPr>
              <w:t>5 305 420</w:t>
            </w:r>
          </w:p>
        </w:tc>
        <w:tc>
          <w:tcPr>
            <w:tcW w:w="915" w:type="pct"/>
          </w:tcPr>
          <w:p w:rsidR="00000000" w:rsidRDefault="00457650">
            <w:pPr>
              <w:widowControl/>
              <w:tabs>
                <w:tab w:val="left" w:pos="630"/>
              </w:tabs>
              <w:spacing w:after="60" w:line="320" w:lineRule="exact"/>
              <w:ind w:left="50"/>
              <w:jc w:val="center"/>
              <w:rPr>
                <w:sz w:val="18"/>
              </w:rPr>
            </w:pPr>
            <w:r>
              <w:rPr>
                <w:sz w:val="18"/>
              </w:rPr>
              <w:t>95.8</w:t>
            </w:r>
          </w:p>
        </w:tc>
        <w:tc>
          <w:tcPr>
            <w:tcW w:w="914" w:type="pct"/>
          </w:tcPr>
          <w:p w:rsidR="00000000" w:rsidRDefault="00457650">
            <w:pPr>
              <w:widowControl/>
              <w:tabs>
                <w:tab w:val="left" w:pos="630"/>
              </w:tabs>
              <w:spacing w:after="60" w:line="320" w:lineRule="exact"/>
              <w:ind w:left="50"/>
              <w:jc w:val="center"/>
              <w:rPr>
                <w:sz w:val="18"/>
              </w:rPr>
            </w:pPr>
            <w:r>
              <w:rPr>
                <w:sz w:val="18"/>
              </w:rPr>
              <w:t>2.0</w:t>
            </w:r>
          </w:p>
        </w:tc>
        <w:tc>
          <w:tcPr>
            <w:tcW w:w="915" w:type="pct"/>
          </w:tcPr>
          <w:p w:rsidR="00000000" w:rsidRDefault="00457650">
            <w:pPr>
              <w:widowControl/>
              <w:tabs>
                <w:tab w:val="left" w:pos="630"/>
              </w:tabs>
              <w:spacing w:after="60" w:line="320" w:lineRule="exact"/>
              <w:ind w:left="50"/>
              <w:jc w:val="center"/>
              <w:rPr>
                <w:sz w:val="18"/>
              </w:rPr>
            </w:pPr>
            <w:r>
              <w:rPr>
                <w:sz w:val="18"/>
              </w:rPr>
              <w:t>2.2</w:t>
            </w:r>
          </w:p>
        </w:tc>
      </w:tr>
      <w:tr w:rsidR="00000000">
        <w:tblPrEx>
          <w:tblCellMar>
            <w:top w:w="0" w:type="dxa"/>
            <w:bottom w:w="0" w:type="dxa"/>
          </w:tblCellMar>
        </w:tblPrEx>
        <w:trPr>
          <w:jc w:val="center"/>
        </w:trPr>
        <w:tc>
          <w:tcPr>
            <w:tcW w:w="1342" w:type="pct"/>
          </w:tcPr>
          <w:p w:rsidR="00000000" w:rsidRDefault="00457650" w:rsidP="00457650">
            <w:pPr>
              <w:widowControl/>
              <w:tabs>
                <w:tab w:val="left" w:pos="630"/>
              </w:tabs>
              <w:spacing w:after="60" w:line="320" w:lineRule="exact"/>
              <w:ind w:leftChars="50" w:left="31680"/>
              <w:rPr>
                <w:rFonts w:hint="eastAsia"/>
                <w:sz w:val="18"/>
              </w:rPr>
            </w:pPr>
            <w:r>
              <w:rPr>
                <w:rFonts w:hint="eastAsia"/>
                <w:sz w:val="18"/>
              </w:rPr>
              <w:t>6-14</w:t>
            </w:r>
            <w:r>
              <w:rPr>
                <w:rFonts w:hint="eastAsia"/>
                <w:sz w:val="18"/>
              </w:rPr>
              <w:t>岁</w:t>
            </w:r>
          </w:p>
        </w:tc>
        <w:tc>
          <w:tcPr>
            <w:tcW w:w="914" w:type="pct"/>
          </w:tcPr>
          <w:p w:rsidR="00000000" w:rsidRDefault="00457650" w:rsidP="00457650">
            <w:pPr>
              <w:widowControl/>
              <w:tabs>
                <w:tab w:val="left" w:pos="630"/>
              </w:tabs>
              <w:spacing w:after="60" w:line="320" w:lineRule="exact"/>
              <w:ind w:left="50" w:rightChars="230" w:right="31680"/>
              <w:jc w:val="right"/>
              <w:rPr>
                <w:sz w:val="18"/>
              </w:rPr>
            </w:pPr>
            <w:r>
              <w:rPr>
                <w:sz w:val="18"/>
              </w:rPr>
              <w:t>10 989 851</w:t>
            </w:r>
          </w:p>
        </w:tc>
        <w:tc>
          <w:tcPr>
            <w:tcW w:w="915" w:type="pct"/>
          </w:tcPr>
          <w:p w:rsidR="00000000" w:rsidRDefault="00457650">
            <w:pPr>
              <w:widowControl/>
              <w:tabs>
                <w:tab w:val="left" w:pos="630"/>
              </w:tabs>
              <w:spacing w:after="60" w:line="320" w:lineRule="exact"/>
              <w:ind w:left="50"/>
              <w:jc w:val="center"/>
              <w:rPr>
                <w:sz w:val="18"/>
              </w:rPr>
            </w:pPr>
            <w:r>
              <w:rPr>
                <w:sz w:val="18"/>
              </w:rPr>
              <w:t>96.8</w:t>
            </w:r>
          </w:p>
        </w:tc>
        <w:tc>
          <w:tcPr>
            <w:tcW w:w="914" w:type="pct"/>
          </w:tcPr>
          <w:p w:rsidR="00000000" w:rsidRDefault="00457650">
            <w:pPr>
              <w:widowControl/>
              <w:tabs>
                <w:tab w:val="left" w:pos="630"/>
              </w:tabs>
              <w:spacing w:after="60" w:line="320" w:lineRule="exact"/>
              <w:ind w:left="50"/>
              <w:jc w:val="center"/>
              <w:rPr>
                <w:sz w:val="18"/>
              </w:rPr>
            </w:pPr>
            <w:r>
              <w:rPr>
                <w:sz w:val="18"/>
              </w:rPr>
              <w:t>2.3</w:t>
            </w:r>
          </w:p>
        </w:tc>
        <w:tc>
          <w:tcPr>
            <w:tcW w:w="915" w:type="pct"/>
          </w:tcPr>
          <w:p w:rsidR="00000000" w:rsidRDefault="00457650">
            <w:pPr>
              <w:widowControl/>
              <w:tabs>
                <w:tab w:val="left" w:pos="630"/>
              </w:tabs>
              <w:spacing w:after="60" w:line="320" w:lineRule="exact"/>
              <w:ind w:left="50"/>
              <w:jc w:val="center"/>
              <w:rPr>
                <w:sz w:val="18"/>
              </w:rPr>
            </w:pPr>
            <w:r>
              <w:rPr>
                <w:sz w:val="18"/>
              </w:rPr>
              <w:t>0.9</w:t>
            </w:r>
          </w:p>
        </w:tc>
      </w:tr>
      <w:tr w:rsidR="00000000">
        <w:tblPrEx>
          <w:tblCellMar>
            <w:top w:w="0" w:type="dxa"/>
            <w:bottom w:w="0" w:type="dxa"/>
          </w:tblCellMar>
        </w:tblPrEx>
        <w:trPr>
          <w:jc w:val="center"/>
        </w:trPr>
        <w:tc>
          <w:tcPr>
            <w:tcW w:w="1342" w:type="pct"/>
          </w:tcPr>
          <w:p w:rsidR="00000000" w:rsidRDefault="00457650" w:rsidP="00457650">
            <w:pPr>
              <w:widowControl/>
              <w:tabs>
                <w:tab w:val="left" w:pos="630"/>
              </w:tabs>
              <w:spacing w:after="60" w:line="320" w:lineRule="exact"/>
              <w:ind w:leftChars="50" w:left="31680"/>
              <w:rPr>
                <w:rFonts w:hint="eastAsia"/>
                <w:sz w:val="18"/>
              </w:rPr>
            </w:pPr>
            <w:r>
              <w:rPr>
                <w:rFonts w:hint="eastAsia"/>
                <w:sz w:val="18"/>
              </w:rPr>
              <w:t>15-64</w:t>
            </w:r>
            <w:r>
              <w:rPr>
                <w:rFonts w:hint="eastAsia"/>
                <w:sz w:val="18"/>
              </w:rPr>
              <w:t>岁</w:t>
            </w:r>
          </w:p>
        </w:tc>
        <w:tc>
          <w:tcPr>
            <w:tcW w:w="914" w:type="pct"/>
          </w:tcPr>
          <w:p w:rsidR="00000000" w:rsidRDefault="00457650" w:rsidP="00457650">
            <w:pPr>
              <w:widowControl/>
              <w:tabs>
                <w:tab w:val="left" w:pos="630"/>
              </w:tabs>
              <w:spacing w:after="60" w:line="320" w:lineRule="exact"/>
              <w:ind w:left="50" w:rightChars="230" w:right="31680"/>
              <w:jc w:val="right"/>
              <w:rPr>
                <w:sz w:val="18"/>
              </w:rPr>
            </w:pPr>
            <w:r>
              <w:rPr>
                <w:sz w:val="18"/>
              </w:rPr>
              <w:t>30 721 961</w:t>
            </w:r>
          </w:p>
        </w:tc>
        <w:tc>
          <w:tcPr>
            <w:tcW w:w="915" w:type="pct"/>
          </w:tcPr>
          <w:p w:rsidR="00000000" w:rsidRDefault="00457650">
            <w:pPr>
              <w:widowControl/>
              <w:tabs>
                <w:tab w:val="left" w:pos="630"/>
              </w:tabs>
              <w:spacing w:after="60" w:line="320" w:lineRule="exact"/>
              <w:ind w:left="50"/>
              <w:jc w:val="center"/>
              <w:rPr>
                <w:sz w:val="18"/>
              </w:rPr>
            </w:pPr>
            <w:r>
              <w:rPr>
                <w:sz w:val="18"/>
              </w:rPr>
              <w:t>97.0</w:t>
            </w:r>
          </w:p>
        </w:tc>
        <w:tc>
          <w:tcPr>
            <w:tcW w:w="914" w:type="pct"/>
          </w:tcPr>
          <w:p w:rsidR="00000000" w:rsidRDefault="00457650">
            <w:pPr>
              <w:widowControl/>
              <w:tabs>
                <w:tab w:val="left" w:pos="630"/>
              </w:tabs>
              <w:spacing w:after="60" w:line="320" w:lineRule="exact"/>
              <w:ind w:left="50"/>
              <w:jc w:val="center"/>
              <w:rPr>
                <w:sz w:val="18"/>
              </w:rPr>
            </w:pPr>
            <w:r>
              <w:rPr>
                <w:sz w:val="18"/>
              </w:rPr>
              <w:t>2.3</w:t>
            </w:r>
          </w:p>
        </w:tc>
        <w:tc>
          <w:tcPr>
            <w:tcW w:w="915" w:type="pct"/>
          </w:tcPr>
          <w:p w:rsidR="00000000" w:rsidRDefault="00457650">
            <w:pPr>
              <w:widowControl/>
              <w:tabs>
                <w:tab w:val="left" w:pos="630"/>
              </w:tabs>
              <w:spacing w:after="60" w:line="320" w:lineRule="exact"/>
              <w:ind w:left="50"/>
              <w:jc w:val="center"/>
              <w:rPr>
                <w:sz w:val="18"/>
              </w:rPr>
            </w:pPr>
            <w:r>
              <w:rPr>
                <w:sz w:val="18"/>
              </w:rPr>
              <w:t>0.7</w:t>
            </w:r>
          </w:p>
        </w:tc>
      </w:tr>
      <w:tr w:rsidR="00000000">
        <w:tblPrEx>
          <w:tblCellMar>
            <w:top w:w="0" w:type="dxa"/>
            <w:bottom w:w="0" w:type="dxa"/>
          </w:tblCellMar>
        </w:tblPrEx>
        <w:trPr>
          <w:jc w:val="center"/>
        </w:trPr>
        <w:tc>
          <w:tcPr>
            <w:tcW w:w="1342" w:type="pct"/>
          </w:tcPr>
          <w:p w:rsidR="00000000" w:rsidRDefault="00457650" w:rsidP="00457650">
            <w:pPr>
              <w:widowControl/>
              <w:tabs>
                <w:tab w:val="left" w:pos="630"/>
              </w:tabs>
              <w:spacing w:after="60" w:line="320" w:lineRule="exact"/>
              <w:ind w:leftChars="50" w:left="31680"/>
              <w:rPr>
                <w:rFonts w:hint="eastAsia"/>
                <w:sz w:val="18"/>
              </w:rPr>
            </w:pPr>
            <w:r>
              <w:rPr>
                <w:rFonts w:hint="eastAsia"/>
                <w:sz w:val="18"/>
              </w:rPr>
              <w:t>65</w:t>
            </w:r>
            <w:r>
              <w:rPr>
                <w:rFonts w:hint="eastAsia"/>
                <w:sz w:val="18"/>
              </w:rPr>
              <w:t>岁及以上</w:t>
            </w:r>
          </w:p>
        </w:tc>
        <w:tc>
          <w:tcPr>
            <w:tcW w:w="914" w:type="pct"/>
          </w:tcPr>
          <w:p w:rsidR="00000000" w:rsidRDefault="00457650" w:rsidP="00457650">
            <w:pPr>
              <w:widowControl/>
              <w:tabs>
                <w:tab w:val="left" w:pos="630"/>
              </w:tabs>
              <w:spacing w:after="60" w:line="320" w:lineRule="exact"/>
              <w:ind w:left="50" w:rightChars="230" w:right="31680"/>
              <w:jc w:val="right"/>
              <w:rPr>
                <w:sz w:val="18"/>
              </w:rPr>
            </w:pPr>
            <w:r>
              <w:rPr>
                <w:sz w:val="18"/>
              </w:rPr>
              <w:t>2 598 697</w:t>
            </w:r>
          </w:p>
        </w:tc>
        <w:tc>
          <w:tcPr>
            <w:tcW w:w="915" w:type="pct"/>
          </w:tcPr>
          <w:p w:rsidR="00000000" w:rsidRDefault="00457650">
            <w:pPr>
              <w:widowControl/>
              <w:tabs>
                <w:tab w:val="left" w:pos="630"/>
              </w:tabs>
              <w:spacing w:after="60" w:line="320" w:lineRule="exact"/>
              <w:ind w:left="50"/>
              <w:jc w:val="center"/>
              <w:rPr>
                <w:sz w:val="18"/>
              </w:rPr>
            </w:pPr>
            <w:r>
              <w:rPr>
                <w:sz w:val="18"/>
              </w:rPr>
              <w:t>96.1</w:t>
            </w:r>
          </w:p>
        </w:tc>
        <w:tc>
          <w:tcPr>
            <w:tcW w:w="914" w:type="pct"/>
          </w:tcPr>
          <w:p w:rsidR="00000000" w:rsidRDefault="00457650">
            <w:pPr>
              <w:widowControl/>
              <w:tabs>
                <w:tab w:val="left" w:pos="630"/>
              </w:tabs>
              <w:spacing w:after="60" w:line="320" w:lineRule="exact"/>
              <w:ind w:left="50"/>
              <w:jc w:val="center"/>
              <w:rPr>
                <w:sz w:val="18"/>
              </w:rPr>
            </w:pPr>
            <w:r>
              <w:rPr>
                <w:sz w:val="18"/>
              </w:rPr>
              <w:t>3.2</w:t>
            </w:r>
          </w:p>
        </w:tc>
        <w:tc>
          <w:tcPr>
            <w:tcW w:w="915" w:type="pct"/>
          </w:tcPr>
          <w:p w:rsidR="00000000" w:rsidRDefault="00457650">
            <w:pPr>
              <w:widowControl/>
              <w:tabs>
                <w:tab w:val="left" w:pos="630"/>
              </w:tabs>
              <w:spacing w:after="60" w:line="320" w:lineRule="exact"/>
              <w:ind w:left="50"/>
              <w:jc w:val="center"/>
              <w:rPr>
                <w:sz w:val="18"/>
              </w:rPr>
            </w:pPr>
            <w:r>
              <w:rPr>
                <w:sz w:val="18"/>
              </w:rPr>
              <w:t>0.7</w:t>
            </w:r>
          </w:p>
        </w:tc>
      </w:tr>
      <w:tr w:rsidR="00000000">
        <w:tblPrEx>
          <w:tblCellMar>
            <w:top w:w="0" w:type="dxa"/>
            <w:bottom w:w="0" w:type="dxa"/>
          </w:tblCellMar>
        </w:tblPrEx>
        <w:trPr>
          <w:jc w:val="center"/>
        </w:trPr>
        <w:tc>
          <w:tcPr>
            <w:tcW w:w="1342" w:type="pct"/>
            <w:tcBorders>
              <w:bottom w:val="single" w:sz="4" w:space="0" w:color="auto"/>
            </w:tcBorders>
          </w:tcPr>
          <w:p w:rsidR="00000000" w:rsidRDefault="00457650" w:rsidP="00457650">
            <w:pPr>
              <w:widowControl/>
              <w:tabs>
                <w:tab w:val="left" w:pos="630"/>
              </w:tabs>
              <w:spacing w:after="60" w:line="320" w:lineRule="exact"/>
              <w:ind w:leftChars="50" w:left="31680"/>
              <w:rPr>
                <w:rFonts w:hint="eastAsia"/>
                <w:sz w:val="18"/>
              </w:rPr>
            </w:pPr>
            <w:r>
              <w:rPr>
                <w:rFonts w:hint="eastAsia"/>
                <w:sz w:val="18"/>
              </w:rPr>
              <w:t>不明</w:t>
            </w:r>
          </w:p>
        </w:tc>
        <w:tc>
          <w:tcPr>
            <w:tcW w:w="914" w:type="pct"/>
            <w:tcBorders>
              <w:bottom w:val="single" w:sz="4" w:space="0" w:color="auto"/>
            </w:tcBorders>
          </w:tcPr>
          <w:p w:rsidR="00000000" w:rsidRDefault="00457650" w:rsidP="00457650">
            <w:pPr>
              <w:widowControl/>
              <w:tabs>
                <w:tab w:val="left" w:pos="630"/>
              </w:tabs>
              <w:spacing w:after="60" w:line="320" w:lineRule="exact"/>
              <w:ind w:left="50" w:rightChars="230" w:right="31680"/>
              <w:jc w:val="right"/>
              <w:rPr>
                <w:sz w:val="18"/>
              </w:rPr>
            </w:pPr>
            <w:r>
              <w:rPr>
                <w:sz w:val="18"/>
              </w:rPr>
              <w:t>140 673</w:t>
            </w:r>
          </w:p>
        </w:tc>
        <w:tc>
          <w:tcPr>
            <w:tcW w:w="915" w:type="pct"/>
            <w:tcBorders>
              <w:bottom w:val="single" w:sz="4" w:space="0" w:color="auto"/>
            </w:tcBorders>
          </w:tcPr>
          <w:p w:rsidR="00000000" w:rsidRDefault="00457650">
            <w:pPr>
              <w:widowControl/>
              <w:tabs>
                <w:tab w:val="left" w:pos="630"/>
              </w:tabs>
              <w:spacing w:after="60" w:line="320" w:lineRule="exact"/>
              <w:ind w:left="50"/>
              <w:jc w:val="center"/>
              <w:rPr>
                <w:sz w:val="18"/>
              </w:rPr>
            </w:pPr>
            <w:r>
              <w:rPr>
                <w:sz w:val="18"/>
              </w:rPr>
              <w:t>88.5</w:t>
            </w:r>
          </w:p>
        </w:tc>
        <w:tc>
          <w:tcPr>
            <w:tcW w:w="914" w:type="pct"/>
            <w:tcBorders>
              <w:bottom w:val="single" w:sz="4" w:space="0" w:color="auto"/>
            </w:tcBorders>
          </w:tcPr>
          <w:p w:rsidR="00000000" w:rsidRDefault="00457650">
            <w:pPr>
              <w:widowControl/>
              <w:tabs>
                <w:tab w:val="left" w:pos="630"/>
              </w:tabs>
              <w:spacing w:after="60" w:line="320" w:lineRule="exact"/>
              <w:ind w:left="50"/>
              <w:jc w:val="center"/>
              <w:rPr>
                <w:sz w:val="18"/>
              </w:rPr>
            </w:pPr>
            <w:r>
              <w:rPr>
                <w:sz w:val="18"/>
              </w:rPr>
              <w:t>5.8</w:t>
            </w:r>
          </w:p>
        </w:tc>
        <w:tc>
          <w:tcPr>
            <w:tcW w:w="915" w:type="pct"/>
            <w:tcBorders>
              <w:bottom w:val="single" w:sz="4" w:space="0" w:color="auto"/>
            </w:tcBorders>
          </w:tcPr>
          <w:p w:rsidR="00000000" w:rsidRDefault="00457650">
            <w:pPr>
              <w:pStyle w:val="a3"/>
              <w:widowControl/>
              <w:tabs>
                <w:tab w:val="left" w:pos="630"/>
              </w:tabs>
              <w:adjustRightInd w:val="0"/>
              <w:spacing w:after="60" w:line="320" w:lineRule="exact"/>
              <w:ind w:left="50"/>
              <w:jc w:val="center"/>
              <w:textAlignment w:val="baseline"/>
              <w:rPr>
                <w:kern w:val="0"/>
                <w:szCs w:val="20"/>
              </w:rPr>
            </w:pPr>
            <w:r>
              <w:rPr>
                <w:kern w:val="0"/>
                <w:szCs w:val="20"/>
              </w:rPr>
              <w:t>5.7</w:t>
            </w:r>
          </w:p>
        </w:tc>
      </w:tr>
    </w:tbl>
    <w:p w:rsidR="00000000" w:rsidRDefault="00457650">
      <w:pPr>
        <w:widowControl/>
        <w:tabs>
          <w:tab w:val="left" w:pos="630"/>
        </w:tabs>
        <w:spacing w:after="240" w:line="360" w:lineRule="exact"/>
        <w:rPr>
          <w:rFonts w:hint="eastAsia"/>
          <w:sz w:val="18"/>
        </w:rPr>
      </w:pPr>
      <w:r>
        <w:rPr>
          <w:rFonts w:eastAsia="KaiTi_GB2312" w:hint="eastAsia"/>
          <w:iCs/>
          <w:sz w:val="18"/>
        </w:rPr>
        <w:t>资料来源</w:t>
      </w:r>
      <w:r>
        <w:rPr>
          <w:rFonts w:hint="eastAsia"/>
          <w:sz w:val="18"/>
        </w:rPr>
        <w:t>：国家统计、地理和信息技术研究所，第</w:t>
      </w:r>
      <w:r>
        <w:rPr>
          <w:rFonts w:hint="eastAsia"/>
          <w:sz w:val="18"/>
        </w:rPr>
        <w:t>12</w:t>
      </w:r>
      <w:r>
        <w:rPr>
          <w:rFonts w:hint="eastAsia"/>
          <w:sz w:val="18"/>
        </w:rPr>
        <w:t>次一般人口和</w:t>
      </w:r>
      <w:r>
        <w:rPr>
          <w:rFonts w:hint="eastAsia"/>
          <w:sz w:val="18"/>
        </w:rPr>
        <w:t>住房普查，</w:t>
      </w:r>
      <w:r>
        <w:rPr>
          <w:rFonts w:hint="eastAsia"/>
          <w:sz w:val="18"/>
        </w:rPr>
        <w:t>2000</w:t>
      </w:r>
      <w:r>
        <w:rPr>
          <w:rFonts w:hint="eastAsia"/>
          <w:sz w:val="18"/>
        </w:rPr>
        <w:t>年。普查采样数据库。</w:t>
      </w:r>
    </w:p>
    <w:p w:rsidR="00000000" w:rsidRDefault="00457650">
      <w:pPr>
        <w:keepNext/>
        <w:keepLines/>
        <w:widowControl/>
        <w:tabs>
          <w:tab w:val="left" w:pos="630"/>
        </w:tabs>
        <w:spacing w:after="240" w:line="360" w:lineRule="exact"/>
        <w:jc w:val="center"/>
        <w:rPr>
          <w:rFonts w:ascii="SimHei" w:eastAsia="SimHei" w:hint="eastAsia"/>
        </w:rPr>
      </w:pPr>
      <w:r>
        <w:rPr>
          <w:rFonts w:ascii="SimHei" w:eastAsia="SimHei" w:hint="eastAsia"/>
        </w:rPr>
        <w:t>2000</w:t>
      </w:r>
      <w:r>
        <w:rPr>
          <w:rFonts w:ascii="SimHei" w:eastAsia="SimHei" w:hint="eastAsia"/>
        </w:rPr>
        <w:t>年按服务种类、性别和年龄组分别的保健服务受益人百分比</w:t>
      </w:r>
    </w:p>
    <w:tbl>
      <w:tblPr>
        <w:tblW w:w="5000" w:type="pct"/>
        <w:tblCellMar>
          <w:left w:w="0" w:type="dxa"/>
          <w:right w:w="0" w:type="dxa"/>
        </w:tblCellMar>
        <w:tblLook w:val="0000" w:firstRow="0" w:lastRow="0" w:firstColumn="0" w:lastColumn="0" w:noHBand="0" w:noVBand="0"/>
      </w:tblPr>
      <w:tblGrid>
        <w:gridCol w:w="2690"/>
        <w:gridCol w:w="1794"/>
        <w:gridCol w:w="1794"/>
        <w:gridCol w:w="1794"/>
        <w:gridCol w:w="1794"/>
      </w:tblGrid>
      <w:tr w:rsidR="00000000">
        <w:tblPrEx>
          <w:tblCellMar>
            <w:top w:w="0" w:type="dxa"/>
            <w:bottom w:w="0" w:type="dxa"/>
          </w:tblCellMar>
        </w:tblPrEx>
        <w:trPr>
          <w:tblHeader/>
        </w:trPr>
        <w:tc>
          <w:tcPr>
            <w:tcW w:w="1363" w:type="pct"/>
            <w:tcBorders>
              <w:top w:val="single" w:sz="4" w:space="0" w:color="auto"/>
              <w:bottom w:val="single" w:sz="4" w:space="0" w:color="auto"/>
            </w:tcBorders>
          </w:tcPr>
          <w:p w:rsidR="00000000" w:rsidRDefault="00457650" w:rsidP="00457650">
            <w:pPr>
              <w:keepNext/>
              <w:keepLines/>
              <w:widowControl/>
              <w:tabs>
                <w:tab w:val="left" w:pos="630"/>
              </w:tabs>
              <w:spacing w:after="120" w:line="320" w:lineRule="exact"/>
              <w:ind w:leftChars="50" w:left="31680" w:rightChars="50" w:right="31680"/>
              <w:jc w:val="center"/>
              <w:rPr>
                <w:rFonts w:ascii="KaiTi_GB2312" w:eastAsia="KaiTi_GB2312" w:hint="eastAsia"/>
                <w:sz w:val="18"/>
              </w:rPr>
            </w:pPr>
            <w:r>
              <w:rPr>
                <w:rFonts w:ascii="KaiTi_GB2312" w:eastAsia="KaiTi_GB2312" w:hint="eastAsia"/>
                <w:sz w:val="18"/>
              </w:rPr>
              <w:t>性别</w:t>
            </w:r>
          </w:p>
        </w:tc>
        <w:tc>
          <w:tcPr>
            <w:tcW w:w="909" w:type="pct"/>
            <w:tcBorders>
              <w:top w:val="single" w:sz="4" w:space="0" w:color="auto"/>
              <w:bottom w:val="single" w:sz="4" w:space="0" w:color="auto"/>
            </w:tcBorders>
          </w:tcPr>
          <w:p w:rsidR="00000000" w:rsidRDefault="00457650" w:rsidP="00457650">
            <w:pPr>
              <w:keepNext/>
              <w:keepLines/>
              <w:widowControl/>
              <w:tabs>
                <w:tab w:val="left" w:pos="630"/>
              </w:tabs>
              <w:spacing w:after="120" w:line="320" w:lineRule="exact"/>
              <w:ind w:leftChars="50" w:left="31680" w:rightChars="50" w:right="31680"/>
              <w:jc w:val="center"/>
              <w:rPr>
                <w:rFonts w:ascii="KaiTi_GB2312" w:eastAsia="KaiTi_GB2312" w:hint="eastAsia"/>
                <w:sz w:val="18"/>
              </w:rPr>
            </w:pPr>
            <w:r>
              <w:rPr>
                <w:rFonts w:ascii="KaiTi_GB2312" w:eastAsia="KaiTi_GB2312" w:hint="eastAsia"/>
                <w:sz w:val="18"/>
              </w:rPr>
              <w:t>受益人</w:t>
            </w:r>
          </w:p>
        </w:tc>
        <w:tc>
          <w:tcPr>
            <w:tcW w:w="909" w:type="pct"/>
            <w:tcBorders>
              <w:top w:val="single" w:sz="4" w:space="0" w:color="auto"/>
              <w:bottom w:val="single" w:sz="4" w:space="0" w:color="auto"/>
            </w:tcBorders>
          </w:tcPr>
          <w:p w:rsidR="00000000" w:rsidRDefault="00457650" w:rsidP="00457650">
            <w:pPr>
              <w:keepNext/>
              <w:keepLines/>
              <w:widowControl/>
              <w:tabs>
                <w:tab w:val="left" w:pos="630"/>
              </w:tabs>
              <w:spacing w:after="120" w:line="320" w:lineRule="exact"/>
              <w:ind w:leftChars="50" w:left="31680" w:rightChars="50" w:right="31680"/>
              <w:jc w:val="center"/>
              <w:rPr>
                <w:rFonts w:ascii="KaiTi_GB2312" w:eastAsia="KaiTi_GB2312" w:hint="eastAsia"/>
                <w:sz w:val="18"/>
              </w:rPr>
            </w:pPr>
            <w:r>
              <w:rPr>
                <w:rFonts w:ascii="KaiTi_GB2312" w:eastAsia="KaiTi_GB2312" w:hint="eastAsia"/>
                <w:sz w:val="18"/>
              </w:rPr>
              <w:t>社会保险</w:t>
            </w:r>
            <w:r>
              <w:rPr>
                <w:rFonts w:ascii="KaiTi_GB2312" w:eastAsia="KaiTi_GB2312" w:hint="eastAsia"/>
                <w:sz w:val="18"/>
                <w:vertAlign w:val="superscript"/>
              </w:rPr>
              <w:t>a</w:t>
            </w:r>
          </w:p>
        </w:tc>
        <w:tc>
          <w:tcPr>
            <w:tcW w:w="909" w:type="pct"/>
            <w:tcBorders>
              <w:top w:val="single" w:sz="4" w:space="0" w:color="auto"/>
              <w:bottom w:val="single" w:sz="4" w:space="0" w:color="auto"/>
            </w:tcBorders>
          </w:tcPr>
          <w:p w:rsidR="00000000" w:rsidRDefault="00457650" w:rsidP="00457650">
            <w:pPr>
              <w:keepNext/>
              <w:keepLines/>
              <w:widowControl/>
              <w:tabs>
                <w:tab w:val="left" w:pos="630"/>
              </w:tabs>
              <w:spacing w:after="120" w:line="320" w:lineRule="exact"/>
              <w:ind w:leftChars="50" w:left="31680" w:rightChars="50" w:right="31680"/>
              <w:jc w:val="center"/>
              <w:rPr>
                <w:rFonts w:ascii="KaiTi_GB2312" w:eastAsia="KaiTi_GB2312" w:hint="eastAsia"/>
                <w:sz w:val="18"/>
              </w:rPr>
            </w:pPr>
            <w:r>
              <w:rPr>
                <w:rFonts w:ascii="KaiTi_GB2312" w:eastAsia="KaiTi_GB2312" w:hint="eastAsia"/>
                <w:sz w:val="18"/>
              </w:rPr>
              <w:t>私人医疗服务</w:t>
            </w:r>
            <w:r>
              <w:rPr>
                <w:rFonts w:ascii="KaiTi_GB2312" w:eastAsia="KaiTi_GB2312" w:hint="eastAsia"/>
                <w:sz w:val="18"/>
              </w:rPr>
              <w:t xml:space="preserve"> </w:t>
            </w:r>
            <w:r>
              <w:rPr>
                <w:rFonts w:ascii="KaiTi_GB2312" w:eastAsia="KaiTi_GB2312" w:hint="eastAsia"/>
                <w:sz w:val="18"/>
                <w:vertAlign w:val="superscript"/>
              </w:rPr>
              <w:t>b</w:t>
            </w:r>
          </w:p>
        </w:tc>
        <w:tc>
          <w:tcPr>
            <w:tcW w:w="909" w:type="pct"/>
            <w:tcBorders>
              <w:top w:val="single" w:sz="4" w:space="0" w:color="auto"/>
              <w:bottom w:val="single" w:sz="4" w:space="0" w:color="auto"/>
            </w:tcBorders>
          </w:tcPr>
          <w:p w:rsidR="00000000" w:rsidRDefault="00457650" w:rsidP="00457650">
            <w:pPr>
              <w:keepNext/>
              <w:keepLines/>
              <w:widowControl/>
              <w:tabs>
                <w:tab w:val="left" w:pos="630"/>
              </w:tabs>
              <w:spacing w:after="120" w:line="320" w:lineRule="exact"/>
              <w:ind w:leftChars="50" w:left="31680" w:rightChars="50" w:right="31680"/>
              <w:jc w:val="center"/>
              <w:rPr>
                <w:rFonts w:ascii="KaiTi_GB2312" w:eastAsia="KaiTi_GB2312" w:hint="eastAsia"/>
                <w:sz w:val="18"/>
              </w:rPr>
            </w:pPr>
            <w:r>
              <w:rPr>
                <w:rFonts w:ascii="KaiTi_GB2312" w:eastAsia="KaiTi_GB2312" w:hint="eastAsia"/>
                <w:sz w:val="18"/>
              </w:rPr>
              <w:t>公共服务</w:t>
            </w:r>
          </w:p>
        </w:tc>
      </w:tr>
      <w:tr w:rsidR="00000000">
        <w:tblPrEx>
          <w:tblCellMar>
            <w:top w:w="0" w:type="dxa"/>
            <w:bottom w:w="0" w:type="dxa"/>
          </w:tblCellMar>
        </w:tblPrEx>
        <w:tc>
          <w:tcPr>
            <w:tcW w:w="1363" w:type="pct"/>
            <w:tcBorders>
              <w:top w:val="single" w:sz="4" w:space="0" w:color="auto"/>
            </w:tcBorders>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男</w:t>
            </w:r>
          </w:p>
        </w:tc>
        <w:tc>
          <w:tcPr>
            <w:tcW w:w="909" w:type="pct"/>
            <w:tcBorders>
              <w:top w:val="single" w:sz="4" w:space="0" w:color="auto"/>
            </w:tcBorders>
          </w:tcPr>
          <w:p w:rsidR="00000000" w:rsidRDefault="00457650" w:rsidP="00457650">
            <w:pPr>
              <w:widowControl/>
              <w:tabs>
                <w:tab w:val="left" w:pos="630"/>
              </w:tabs>
              <w:spacing w:after="120" w:line="320" w:lineRule="exact"/>
              <w:ind w:rightChars="230" w:right="31680"/>
              <w:jc w:val="right"/>
              <w:rPr>
                <w:sz w:val="18"/>
              </w:rPr>
            </w:pPr>
            <w:r>
              <w:rPr>
                <w:sz w:val="18"/>
              </w:rPr>
              <w:t>45 352 031</w:t>
            </w:r>
          </w:p>
        </w:tc>
        <w:tc>
          <w:tcPr>
            <w:tcW w:w="909" w:type="pct"/>
            <w:tcBorders>
              <w:top w:val="single" w:sz="4" w:space="0" w:color="auto"/>
            </w:tcBorders>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38.5</w:t>
            </w:r>
          </w:p>
        </w:tc>
        <w:tc>
          <w:tcPr>
            <w:tcW w:w="909" w:type="pct"/>
            <w:tcBorders>
              <w:top w:val="single" w:sz="4" w:space="0" w:color="auto"/>
            </w:tcBorders>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34.7</w:t>
            </w:r>
          </w:p>
        </w:tc>
        <w:tc>
          <w:tcPr>
            <w:tcW w:w="909" w:type="pct"/>
            <w:tcBorders>
              <w:top w:val="single" w:sz="4" w:space="0" w:color="auto"/>
            </w:tcBorders>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26.8</w:t>
            </w:r>
          </w:p>
        </w:tc>
      </w:tr>
      <w:tr w:rsidR="00000000">
        <w:tblPrEx>
          <w:tblCellMar>
            <w:top w:w="0" w:type="dxa"/>
            <w:bottom w:w="0" w:type="dxa"/>
          </w:tblCellMar>
        </w:tblPrEx>
        <w:tc>
          <w:tcPr>
            <w:tcW w:w="1363" w:type="pct"/>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0-4</w:t>
            </w:r>
            <w:r>
              <w:rPr>
                <w:rFonts w:hint="eastAsia"/>
                <w:sz w:val="18"/>
              </w:rPr>
              <w:t>岁</w:t>
            </w:r>
          </w:p>
        </w:tc>
        <w:tc>
          <w:tcPr>
            <w:tcW w:w="909" w:type="pct"/>
          </w:tcPr>
          <w:p w:rsidR="00000000" w:rsidRDefault="00457650" w:rsidP="00457650">
            <w:pPr>
              <w:widowControl/>
              <w:tabs>
                <w:tab w:val="left" w:pos="630"/>
              </w:tabs>
              <w:spacing w:after="120" w:line="320" w:lineRule="exact"/>
              <w:ind w:rightChars="230" w:right="31680"/>
              <w:jc w:val="right"/>
              <w:rPr>
                <w:sz w:val="18"/>
              </w:rPr>
            </w:pPr>
            <w:r>
              <w:rPr>
                <w:sz w:val="18"/>
              </w:rPr>
              <w:t>5 256 931</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35.6</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32.6</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31.8</w:t>
            </w:r>
          </w:p>
        </w:tc>
      </w:tr>
      <w:tr w:rsidR="00000000">
        <w:tblPrEx>
          <w:tblCellMar>
            <w:top w:w="0" w:type="dxa"/>
            <w:bottom w:w="0" w:type="dxa"/>
          </w:tblCellMar>
        </w:tblPrEx>
        <w:tc>
          <w:tcPr>
            <w:tcW w:w="1363" w:type="pct"/>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6-14</w:t>
            </w:r>
            <w:r>
              <w:rPr>
                <w:rFonts w:hint="eastAsia"/>
                <w:sz w:val="18"/>
              </w:rPr>
              <w:t>岁</w:t>
            </w:r>
          </w:p>
        </w:tc>
        <w:tc>
          <w:tcPr>
            <w:tcW w:w="909" w:type="pct"/>
          </w:tcPr>
          <w:p w:rsidR="00000000" w:rsidRDefault="00457650" w:rsidP="00457650">
            <w:pPr>
              <w:widowControl/>
              <w:tabs>
                <w:tab w:val="left" w:pos="630"/>
              </w:tabs>
              <w:spacing w:after="120" w:line="320" w:lineRule="exact"/>
              <w:ind w:rightChars="230" w:right="31680"/>
              <w:jc w:val="right"/>
              <w:rPr>
                <w:sz w:val="18"/>
              </w:rPr>
            </w:pPr>
            <w:r>
              <w:rPr>
                <w:sz w:val="18"/>
              </w:rPr>
              <w:t>10 898 810</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35.4</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31.2</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33.4</w:t>
            </w:r>
          </w:p>
        </w:tc>
      </w:tr>
      <w:tr w:rsidR="00000000">
        <w:tblPrEx>
          <w:tblCellMar>
            <w:top w:w="0" w:type="dxa"/>
            <w:bottom w:w="0" w:type="dxa"/>
          </w:tblCellMar>
        </w:tblPrEx>
        <w:tc>
          <w:tcPr>
            <w:tcW w:w="1363" w:type="pct"/>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15-64</w:t>
            </w:r>
            <w:r>
              <w:rPr>
                <w:rFonts w:hint="eastAsia"/>
                <w:sz w:val="18"/>
              </w:rPr>
              <w:t>岁</w:t>
            </w:r>
          </w:p>
        </w:tc>
        <w:tc>
          <w:tcPr>
            <w:tcW w:w="909" w:type="pct"/>
          </w:tcPr>
          <w:p w:rsidR="00000000" w:rsidRDefault="00457650" w:rsidP="00457650">
            <w:pPr>
              <w:widowControl/>
              <w:tabs>
                <w:tab w:val="left" w:pos="630"/>
              </w:tabs>
              <w:spacing w:after="120" w:line="320" w:lineRule="exact"/>
              <w:ind w:rightChars="230" w:right="31680"/>
              <w:jc w:val="right"/>
              <w:rPr>
                <w:sz w:val="18"/>
              </w:rPr>
            </w:pPr>
            <w:r>
              <w:rPr>
                <w:sz w:val="18"/>
              </w:rPr>
              <w:t>26 925 920</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39.6</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36.7</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23.7</w:t>
            </w:r>
          </w:p>
        </w:tc>
      </w:tr>
      <w:tr w:rsidR="00000000">
        <w:tblPrEx>
          <w:tblCellMar>
            <w:top w:w="0" w:type="dxa"/>
            <w:bottom w:w="0" w:type="dxa"/>
          </w:tblCellMar>
        </w:tblPrEx>
        <w:tc>
          <w:tcPr>
            <w:tcW w:w="1363" w:type="pct"/>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65</w:t>
            </w:r>
            <w:r>
              <w:rPr>
                <w:rFonts w:hint="eastAsia"/>
                <w:sz w:val="18"/>
              </w:rPr>
              <w:t>岁及以上</w:t>
            </w:r>
          </w:p>
        </w:tc>
        <w:tc>
          <w:tcPr>
            <w:tcW w:w="909" w:type="pct"/>
          </w:tcPr>
          <w:p w:rsidR="00000000" w:rsidRDefault="00457650" w:rsidP="00457650">
            <w:pPr>
              <w:widowControl/>
              <w:tabs>
                <w:tab w:val="left" w:pos="630"/>
              </w:tabs>
              <w:spacing w:after="120" w:line="320" w:lineRule="exact"/>
              <w:ind w:rightChars="230" w:right="31680"/>
              <w:jc w:val="right"/>
              <w:rPr>
                <w:sz w:val="18"/>
              </w:rPr>
            </w:pPr>
            <w:r>
              <w:rPr>
                <w:sz w:val="18"/>
              </w:rPr>
              <w:t>2 140 382</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46.5</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32.7</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20.8</w:t>
            </w:r>
          </w:p>
        </w:tc>
      </w:tr>
      <w:tr w:rsidR="00000000">
        <w:tblPrEx>
          <w:tblCellMar>
            <w:top w:w="0" w:type="dxa"/>
            <w:bottom w:w="0" w:type="dxa"/>
          </w:tblCellMar>
        </w:tblPrEx>
        <w:tc>
          <w:tcPr>
            <w:tcW w:w="1363" w:type="pct"/>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不明</w:t>
            </w:r>
          </w:p>
        </w:tc>
        <w:tc>
          <w:tcPr>
            <w:tcW w:w="909" w:type="pct"/>
          </w:tcPr>
          <w:p w:rsidR="00000000" w:rsidRDefault="00457650" w:rsidP="00457650">
            <w:pPr>
              <w:widowControl/>
              <w:tabs>
                <w:tab w:val="left" w:pos="630"/>
              </w:tabs>
              <w:spacing w:after="120" w:line="320" w:lineRule="exact"/>
              <w:ind w:rightChars="230" w:right="31680"/>
              <w:jc w:val="right"/>
              <w:rPr>
                <w:sz w:val="18"/>
              </w:rPr>
            </w:pPr>
            <w:r>
              <w:rPr>
                <w:sz w:val="18"/>
              </w:rPr>
              <w:t>129 988</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31.3</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w:t>
            </w:r>
            <w:r>
              <w:rPr>
                <w:sz w:val="18"/>
              </w:rPr>
              <w:t>6.9</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31.8</w:t>
            </w:r>
          </w:p>
        </w:tc>
      </w:tr>
      <w:tr w:rsidR="00000000">
        <w:tblPrEx>
          <w:tblCellMar>
            <w:top w:w="0" w:type="dxa"/>
            <w:bottom w:w="0" w:type="dxa"/>
          </w:tblCellMar>
        </w:tblPrEx>
        <w:tc>
          <w:tcPr>
            <w:tcW w:w="1363" w:type="pct"/>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女</w:t>
            </w:r>
          </w:p>
        </w:tc>
        <w:tc>
          <w:tcPr>
            <w:tcW w:w="909" w:type="pct"/>
          </w:tcPr>
          <w:p w:rsidR="00000000" w:rsidRDefault="00457650" w:rsidP="00457650">
            <w:pPr>
              <w:widowControl/>
              <w:tabs>
                <w:tab w:val="left" w:pos="630"/>
              </w:tabs>
              <w:spacing w:after="120" w:line="320" w:lineRule="exact"/>
              <w:ind w:rightChars="230" w:right="31680"/>
              <w:jc w:val="right"/>
              <w:rPr>
                <w:sz w:val="18"/>
              </w:rPr>
            </w:pPr>
            <w:r>
              <w:rPr>
                <w:sz w:val="18"/>
              </w:rPr>
              <w:t>48 119 229</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39.4</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33.7</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26.9</w:t>
            </w:r>
          </w:p>
        </w:tc>
      </w:tr>
      <w:tr w:rsidR="00000000">
        <w:tblPrEx>
          <w:tblCellMar>
            <w:top w:w="0" w:type="dxa"/>
            <w:bottom w:w="0" w:type="dxa"/>
          </w:tblCellMar>
        </w:tblPrEx>
        <w:tc>
          <w:tcPr>
            <w:tcW w:w="1363" w:type="pct"/>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0-4</w:t>
            </w:r>
            <w:r>
              <w:rPr>
                <w:rFonts w:hint="eastAsia"/>
                <w:sz w:val="18"/>
              </w:rPr>
              <w:t>岁</w:t>
            </w:r>
          </w:p>
        </w:tc>
        <w:tc>
          <w:tcPr>
            <w:tcW w:w="909" w:type="pct"/>
          </w:tcPr>
          <w:p w:rsidR="00000000" w:rsidRDefault="00457650" w:rsidP="00457650">
            <w:pPr>
              <w:widowControl/>
              <w:tabs>
                <w:tab w:val="left" w:pos="630"/>
              </w:tabs>
              <w:spacing w:after="120" w:line="320" w:lineRule="exact"/>
              <w:ind w:rightChars="230" w:right="31680"/>
              <w:jc w:val="right"/>
              <w:rPr>
                <w:sz w:val="18"/>
              </w:rPr>
            </w:pPr>
            <w:r>
              <w:rPr>
                <w:sz w:val="18"/>
              </w:rPr>
              <w:t>5 080 100</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35.5</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32.6</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31.9</w:t>
            </w:r>
          </w:p>
        </w:tc>
      </w:tr>
      <w:tr w:rsidR="00000000">
        <w:tblPrEx>
          <w:tblCellMar>
            <w:top w:w="0" w:type="dxa"/>
            <w:bottom w:w="0" w:type="dxa"/>
          </w:tblCellMar>
        </w:tblPrEx>
        <w:tc>
          <w:tcPr>
            <w:tcW w:w="1363" w:type="pct"/>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6-14</w:t>
            </w:r>
            <w:r>
              <w:rPr>
                <w:rFonts w:hint="eastAsia"/>
                <w:sz w:val="18"/>
              </w:rPr>
              <w:t>岁</w:t>
            </w:r>
          </w:p>
        </w:tc>
        <w:tc>
          <w:tcPr>
            <w:tcW w:w="909" w:type="pct"/>
          </w:tcPr>
          <w:p w:rsidR="00000000" w:rsidRDefault="00457650" w:rsidP="00457650">
            <w:pPr>
              <w:widowControl/>
              <w:tabs>
                <w:tab w:val="left" w:pos="630"/>
              </w:tabs>
              <w:spacing w:after="120" w:line="320" w:lineRule="exact"/>
              <w:ind w:rightChars="230" w:right="31680"/>
              <w:jc w:val="right"/>
              <w:rPr>
                <w:sz w:val="18"/>
              </w:rPr>
            </w:pPr>
            <w:r>
              <w:rPr>
                <w:sz w:val="18"/>
              </w:rPr>
              <w:t>10 632 394</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35.1</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31.5</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33.4</w:t>
            </w:r>
          </w:p>
        </w:tc>
      </w:tr>
      <w:tr w:rsidR="00000000">
        <w:tblPrEx>
          <w:tblCellMar>
            <w:top w:w="0" w:type="dxa"/>
            <w:bottom w:w="0" w:type="dxa"/>
          </w:tblCellMar>
        </w:tblPrEx>
        <w:tc>
          <w:tcPr>
            <w:tcW w:w="1363" w:type="pct"/>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15-64</w:t>
            </w:r>
            <w:r>
              <w:rPr>
                <w:rFonts w:hint="eastAsia"/>
                <w:sz w:val="18"/>
              </w:rPr>
              <w:t>岁</w:t>
            </w:r>
          </w:p>
        </w:tc>
        <w:tc>
          <w:tcPr>
            <w:tcW w:w="909" w:type="pct"/>
          </w:tcPr>
          <w:p w:rsidR="00000000" w:rsidRDefault="00457650" w:rsidP="00457650">
            <w:pPr>
              <w:widowControl/>
              <w:tabs>
                <w:tab w:val="left" w:pos="630"/>
              </w:tabs>
              <w:spacing w:after="120" w:line="320" w:lineRule="exact"/>
              <w:ind w:rightChars="230" w:right="31680"/>
              <w:jc w:val="right"/>
              <w:rPr>
                <w:sz w:val="18"/>
              </w:rPr>
            </w:pPr>
            <w:r>
              <w:rPr>
                <w:sz w:val="18"/>
              </w:rPr>
              <w:t>29 785 096</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41.0</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34.6</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24.4</w:t>
            </w:r>
          </w:p>
        </w:tc>
      </w:tr>
      <w:tr w:rsidR="00000000">
        <w:tblPrEx>
          <w:tblCellMar>
            <w:top w:w="0" w:type="dxa"/>
            <w:bottom w:w="0" w:type="dxa"/>
          </w:tblCellMar>
        </w:tblPrEx>
        <w:tc>
          <w:tcPr>
            <w:tcW w:w="1363" w:type="pct"/>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65</w:t>
            </w:r>
            <w:r>
              <w:rPr>
                <w:rFonts w:hint="eastAsia"/>
                <w:sz w:val="18"/>
              </w:rPr>
              <w:t>岁及以上</w:t>
            </w:r>
          </w:p>
        </w:tc>
        <w:tc>
          <w:tcPr>
            <w:tcW w:w="909" w:type="pct"/>
          </w:tcPr>
          <w:p w:rsidR="00000000" w:rsidRDefault="00457650" w:rsidP="00457650">
            <w:pPr>
              <w:widowControl/>
              <w:tabs>
                <w:tab w:val="left" w:pos="630"/>
              </w:tabs>
              <w:spacing w:after="120" w:line="320" w:lineRule="exact"/>
              <w:ind w:rightChars="230" w:right="31680"/>
              <w:jc w:val="right"/>
              <w:rPr>
                <w:sz w:val="18"/>
              </w:rPr>
            </w:pPr>
            <w:r>
              <w:rPr>
                <w:sz w:val="18"/>
              </w:rPr>
              <w:t>2 497 122</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45.8</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34.5</w:t>
            </w:r>
          </w:p>
        </w:tc>
        <w:tc>
          <w:tcPr>
            <w:tcW w:w="909" w:type="pct"/>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19.7</w:t>
            </w:r>
          </w:p>
        </w:tc>
      </w:tr>
      <w:tr w:rsidR="00000000">
        <w:tblPrEx>
          <w:tblCellMar>
            <w:top w:w="0" w:type="dxa"/>
            <w:bottom w:w="0" w:type="dxa"/>
          </w:tblCellMar>
        </w:tblPrEx>
        <w:tc>
          <w:tcPr>
            <w:tcW w:w="1363" w:type="pct"/>
            <w:tcBorders>
              <w:bottom w:val="single" w:sz="4" w:space="0" w:color="auto"/>
            </w:tcBorders>
          </w:tcPr>
          <w:p w:rsidR="00000000" w:rsidRDefault="00457650" w:rsidP="00457650">
            <w:pPr>
              <w:widowControl/>
              <w:tabs>
                <w:tab w:val="left" w:pos="630"/>
              </w:tabs>
              <w:spacing w:after="120" w:line="320" w:lineRule="exact"/>
              <w:ind w:leftChars="50" w:left="31680" w:rightChars="50" w:right="31680"/>
              <w:rPr>
                <w:sz w:val="18"/>
              </w:rPr>
            </w:pPr>
            <w:r>
              <w:rPr>
                <w:rFonts w:hint="eastAsia"/>
                <w:sz w:val="18"/>
              </w:rPr>
              <w:t>不明</w:t>
            </w:r>
          </w:p>
        </w:tc>
        <w:tc>
          <w:tcPr>
            <w:tcW w:w="909" w:type="pct"/>
            <w:tcBorders>
              <w:bottom w:val="single" w:sz="4" w:space="0" w:color="auto"/>
            </w:tcBorders>
          </w:tcPr>
          <w:p w:rsidR="00000000" w:rsidRDefault="00457650" w:rsidP="00457650">
            <w:pPr>
              <w:widowControl/>
              <w:tabs>
                <w:tab w:val="left" w:pos="630"/>
              </w:tabs>
              <w:spacing w:after="120" w:line="320" w:lineRule="exact"/>
              <w:ind w:rightChars="230" w:right="31680"/>
              <w:jc w:val="right"/>
              <w:rPr>
                <w:sz w:val="18"/>
              </w:rPr>
            </w:pPr>
            <w:r>
              <w:rPr>
                <w:sz w:val="18"/>
              </w:rPr>
              <w:t>124 517</w:t>
            </w:r>
          </w:p>
        </w:tc>
        <w:tc>
          <w:tcPr>
            <w:tcW w:w="909" w:type="pct"/>
            <w:tcBorders>
              <w:bottom w:val="single" w:sz="4" w:space="0" w:color="auto"/>
            </w:tcBorders>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32.4</w:t>
            </w:r>
          </w:p>
        </w:tc>
        <w:tc>
          <w:tcPr>
            <w:tcW w:w="909" w:type="pct"/>
            <w:tcBorders>
              <w:bottom w:val="single" w:sz="4" w:space="0" w:color="auto"/>
            </w:tcBorders>
          </w:tcPr>
          <w:p w:rsidR="00000000" w:rsidRDefault="00457650" w:rsidP="00457650">
            <w:pPr>
              <w:widowControl/>
              <w:tabs>
                <w:tab w:val="left" w:pos="630"/>
              </w:tabs>
              <w:spacing w:after="120" w:line="320" w:lineRule="exact"/>
              <w:ind w:leftChars="50" w:left="31680" w:rightChars="50" w:right="31680"/>
              <w:jc w:val="center"/>
              <w:rPr>
                <w:sz w:val="18"/>
              </w:rPr>
            </w:pPr>
            <w:r>
              <w:rPr>
                <w:sz w:val="18"/>
              </w:rPr>
              <w:t>37.3</w:t>
            </w:r>
          </w:p>
        </w:tc>
        <w:tc>
          <w:tcPr>
            <w:tcW w:w="909" w:type="pct"/>
            <w:tcBorders>
              <w:bottom w:val="single" w:sz="4" w:space="0" w:color="auto"/>
            </w:tcBorders>
          </w:tcPr>
          <w:p w:rsidR="00000000" w:rsidRDefault="00457650" w:rsidP="00457650">
            <w:pPr>
              <w:pStyle w:val="a3"/>
              <w:widowControl/>
              <w:tabs>
                <w:tab w:val="left" w:pos="630"/>
              </w:tabs>
              <w:adjustRightInd w:val="0"/>
              <w:spacing w:after="120" w:line="320" w:lineRule="exact"/>
              <w:ind w:leftChars="50" w:left="31680" w:rightChars="50" w:right="31680"/>
              <w:jc w:val="center"/>
              <w:textAlignment w:val="baseline"/>
              <w:rPr>
                <w:kern w:val="0"/>
                <w:szCs w:val="20"/>
              </w:rPr>
            </w:pPr>
            <w:r>
              <w:rPr>
                <w:kern w:val="0"/>
                <w:szCs w:val="20"/>
              </w:rPr>
              <w:t>30.3</w:t>
            </w:r>
          </w:p>
        </w:tc>
      </w:tr>
    </w:tbl>
    <w:p w:rsidR="00000000" w:rsidRDefault="00457650">
      <w:pPr>
        <w:widowControl/>
        <w:tabs>
          <w:tab w:val="left" w:pos="630"/>
        </w:tabs>
        <w:spacing w:line="360" w:lineRule="exact"/>
        <w:rPr>
          <w:rFonts w:hint="eastAsia"/>
          <w:sz w:val="18"/>
        </w:rPr>
      </w:pPr>
      <w:r>
        <w:rPr>
          <w:rFonts w:eastAsia="KaiTi_GB2312" w:hint="eastAsia"/>
          <w:iCs/>
          <w:sz w:val="18"/>
        </w:rPr>
        <w:t>资料来源</w:t>
      </w:r>
      <w:r>
        <w:rPr>
          <w:rFonts w:hint="eastAsia"/>
          <w:sz w:val="18"/>
        </w:rPr>
        <w:t>：国家统计、地理和信息技术研究所，第</w:t>
      </w:r>
      <w:r>
        <w:rPr>
          <w:rFonts w:hint="eastAsia"/>
          <w:sz w:val="18"/>
        </w:rPr>
        <w:t>12</w:t>
      </w:r>
      <w:r>
        <w:rPr>
          <w:rFonts w:hint="eastAsia"/>
          <w:sz w:val="18"/>
        </w:rPr>
        <w:t>次一般人口和住房普查，</w:t>
      </w:r>
      <w:r>
        <w:rPr>
          <w:rFonts w:hint="eastAsia"/>
          <w:sz w:val="18"/>
        </w:rPr>
        <w:t>2000</w:t>
      </w:r>
      <w:r>
        <w:rPr>
          <w:rFonts w:hint="eastAsia"/>
          <w:sz w:val="18"/>
        </w:rPr>
        <w:t>年。普查采样数据库。</w:t>
      </w:r>
    </w:p>
    <w:p w:rsidR="00000000" w:rsidRDefault="00457650">
      <w:pPr>
        <w:widowControl/>
        <w:tabs>
          <w:tab w:val="left" w:pos="630"/>
        </w:tabs>
        <w:spacing w:line="360" w:lineRule="exact"/>
        <w:rPr>
          <w:rFonts w:hint="eastAsia"/>
          <w:sz w:val="18"/>
        </w:rPr>
      </w:pPr>
      <w:r>
        <w:rPr>
          <w:rFonts w:hint="eastAsia"/>
          <w:sz w:val="18"/>
          <w:vertAlign w:val="superscript"/>
        </w:rPr>
        <w:t>a</w:t>
      </w:r>
      <w:r>
        <w:rPr>
          <w:rFonts w:hint="eastAsia"/>
          <w:sz w:val="18"/>
        </w:rPr>
        <w:t xml:space="preserve">  </w:t>
      </w:r>
      <w:r>
        <w:rPr>
          <w:rFonts w:hint="eastAsia"/>
          <w:sz w:val="18"/>
        </w:rPr>
        <w:t>包括州政府的</w:t>
      </w:r>
      <w:r>
        <w:rPr>
          <w:rFonts w:hint="eastAsia"/>
          <w:sz w:val="18"/>
        </w:rPr>
        <w:t>社会保险服务。</w:t>
      </w:r>
    </w:p>
    <w:p w:rsidR="00000000" w:rsidRDefault="00457650">
      <w:pPr>
        <w:widowControl/>
        <w:tabs>
          <w:tab w:val="left" w:pos="630"/>
        </w:tabs>
        <w:spacing w:after="240" w:line="360" w:lineRule="exact"/>
        <w:rPr>
          <w:rFonts w:hint="eastAsia"/>
          <w:sz w:val="18"/>
        </w:rPr>
      </w:pPr>
      <w:r>
        <w:rPr>
          <w:rFonts w:hint="eastAsia"/>
          <w:sz w:val="18"/>
          <w:vertAlign w:val="superscript"/>
        </w:rPr>
        <w:t>b</w:t>
      </w:r>
      <w:r>
        <w:rPr>
          <w:rFonts w:hint="eastAsia"/>
          <w:sz w:val="18"/>
        </w:rPr>
        <w:t xml:space="preserve">  </w:t>
      </w:r>
      <w:r>
        <w:rPr>
          <w:rFonts w:hint="eastAsia"/>
          <w:sz w:val="18"/>
        </w:rPr>
        <w:t>包括私人医生治疗的病人。</w:t>
      </w:r>
    </w:p>
    <w:p w:rsidR="00000000" w:rsidRDefault="00457650">
      <w:pPr>
        <w:widowControl/>
        <w:tabs>
          <w:tab w:val="left" w:pos="630"/>
        </w:tabs>
        <w:spacing w:after="240" w:line="360" w:lineRule="exact"/>
        <w:jc w:val="center"/>
        <w:rPr>
          <w:rFonts w:ascii="SimHei" w:eastAsia="SimHei" w:hint="eastAsia"/>
        </w:rPr>
      </w:pPr>
      <w:r>
        <w:rPr>
          <w:rFonts w:ascii="SimHei" w:eastAsia="SimHei" w:hint="eastAsia"/>
        </w:rPr>
        <w:t>2000</w:t>
      </w:r>
      <w:r>
        <w:rPr>
          <w:rFonts w:ascii="SimHei" w:eastAsia="SimHei" w:hint="eastAsia"/>
        </w:rPr>
        <w:t>年按性别和州别分列的健康服务受益人百分比</w:t>
      </w:r>
    </w:p>
    <w:tbl>
      <w:tblPr>
        <w:tblW w:w="4965" w:type="pct"/>
        <w:jc w:val="center"/>
        <w:tblInd w:w="70" w:type="dxa"/>
        <w:tblCellMar>
          <w:left w:w="70" w:type="dxa"/>
          <w:right w:w="70" w:type="dxa"/>
        </w:tblCellMar>
        <w:tblLook w:val="0000" w:firstRow="0" w:lastRow="0" w:firstColumn="0" w:lastColumn="0" w:noHBand="0" w:noVBand="0"/>
      </w:tblPr>
      <w:tblGrid>
        <w:gridCol w:w="3990"/>
        <w:gridCol w:w="1992"/>
        <w:gridCol w:w="2099"/>
        <w:gridCol w:w="1839"/>
      </w:tblGrid>
      <w:tr w:rsidR="00000000">
        <w:tblPrEx>
          <w:tblCellMar>
            <w:top w:w="0" w:type="dxa"/>
            <w:bottom w:w="0" w:type="dxa"/>
          </w:tblCellMar>
        </w:tblPrEx>
        <w:trPr>
          <w:tblHeader/>
          <w:jc w:val="center"/>
        </w:trPr>
        <w:tc>
          <w:tcPr>
            <w:tcW w:w="2011" w:type="pct"/>
            <w:tcBorders>
              <w:top w:val="single" w:sz="4" w:space="0" w:color="auto"/>
              <w:bottom w:val="single" w:sz="4" w:space="0" w:color="auto"/>
            </w:tcBorders>
          </w:tcPr>
          <w:p w:rsidR="00000000" w:rsidRDefault="00457650" w:rsidP="00457650">
            <w:pPr>
              <w:widowControl/>
              <w:tabs>
                <w:tab w:val="left" w:pos="630"/>
              </w:tabs>
              <w:spacing w:after="100" w:line="320" w:lineRule="exact"/>
              <w:ind w:leftChars="50" w:left="31680" w:rightChars="50" w:right="31680"/>
              <w:jc w:val="center"/>
              <w:rPr>
                <w:rFonts w:eastAsia="KaiTi_GB2312" w:hint="eastAsia"/>
                <w:iCs/>
                <w:sz w:val="18"/>
              </w:rPr>
            </w:pPr>
            <w:r>
              <w:rPr>
                <w:rFonts w:eastAsia="KaiTi_GB2312" w:hint="eastAsia"/>
                <w:iCs/>
                <w:sz w:val="18"/>
              </w:rPr>
              <w:t>联邦州</w:t>
            </w:r>
          </w:p>
        </w:tc>
        <w:tc>
          <w:tcPr>
            <w:tcW w:w="1004" w:type="pct"/>
            <w:tcBorders>
              <w:top w:val="single" w:sz="4" w:space="0" w:color="auto"/>
              <w:bottom w:val="single" w:sz="4" w:space="0" w:color="auto"/>
            </w:tcBorders>
          </w:tcPr>
          <w:p w:rsidR="00000000" w:rsidRDefault="00457650" w:rsidP="00457650">
            <w:pPr>
              <w:widowControl/>
              <w:tabs>
                <w:tab w:val="left" w:pos="630"/>
              </w:tabs>
              <w:spacing w:after="100" w:line="320" w:lineRule="exact"/>
              <w:ind w:leftChars="50" w:left="31680" w:rightChars="50" w:right="31680"/>
              <w:jc w:val="center"/>
              <w:rPr>
                <w:rFonts w:eastAsia="KaiTi_GB2312" w:hint="eastAsia"/>
                <w:iCs/>
                <w:sz w:val="18"/>
              </w:rPr>
            </w:pPr>
            <w:r>
              <w:rPr>
                <w:rFonts w:eastAsia="KaiTi_GB2312" w:hint="eastAsia"/>
                <w:iCs/>
                <w:sz w:val="18"/>
              </w:rPr>
              <w:t>总数</w:t>
            </w:r>
          </w:p>
        </w:tc>
        <w:tc>
          <w:tcPr>
            <w:tcW w:w="1058" w:type="pct"/>
            <w:tcBorders>
              <w:top w:val="single" w:sz="4" w:space="0" w:color="auto"/>
              <w:bottom w:val="single" w:sz="4" w:space="0" w:color="auto"/>
            </w:tcBorders>
          </w:tcPr>
          <w:p w:rsidR="00000000" w:rsidRDefault="00457650" w:rsidP="00457650">
            <w:pPr>
              <w:widowControl/>
              <w:tabs>
                <w:tab w:val="left" w:pos="630"/>
              </w:tabs>
              <w:spacing w:after="100" w:line="320" w:lineRule="exact"/>
              <w:ind w:leftChars="50" w:left="31680" w:rightChars="50" w:right="31680"/>
              <w:jc w:val="center"/>
              <w:rPr>
                <w:rFonts w:eastAsia="KaiTi_GB2312" w:hint="eastAsia"/>
                <w:iCs/>
                <w:sz w:val="18"/>
              </w:rPr>
            </w:pPr>
            <w:r>
              <w:rPr>
                <w:rFonts w:eastAsia="KaiTi_GB2312" w:hint="eastAsia"/>
                <w:iCs/>
                <w:sz w:val="18"/>
              </w:rPr>
              <w:t>男</w:t>
            </w:r>
          </w:p>
        </w:tc>
        <w:tc>
          <w:tcPr>
            <w:tcW w:w="927" w:type="pct"/>
            <w:tcBorders>
              <w:top w:val="single" w:sz="4" w:space="0" w:color="auto"/>
              <w:bottom w:val="single" w:sz="4" w:space="0" w:color="auto"/>
            </w:tcBorders>
          </w:tcPr>
          <w:p w:rsidR="00000000" w:rsidRDefault="00457650" w:rsidP="00457650">
            <w:pPr>
              <w:widowControl/>
              <w:tabs>
                <w:tab w:val="left" w:pos="630"/>
              </w:tabs>
              <w:spacing w:after="100" w:line="320" w:lineRule="exact"/>
              <w:ind w:leftChars="50" w:left="31680" w:rightChars="50" w:right="31680"/>
              <w:jc w:val="center"/>
              <w:rPr>
                <w:rFonts w:eastAsia="KaiTi_GB2312" w:hint="eastAsia"/>
                <w:iCs/>
                <w:sz w:val="18"/>
              </w:rPr>
            </w:pPr>
            <w:r>
              <w:rPr>
                <w:rFonts w:eastAsia="KaiTi_GB2312" w:hint="eastAsia"/>
                <w:iCs/>
                <w:sz w:val="18"/>
              </w:rPr>
              <w:t>女</w:t>
            </w:r>
          </w:p>
        </w:tc>
      </w:tr>
      <w:tr w:rsidR="00000000">
        <w:tblPrEx>
          <w:tblCellMar>
            <w:top w:w="0" w:type="dxa"/>
            <w:bottom w:w="0" w:type="dxa"/>
          </w:tblCellMar>
        </w:tblPrEx>
        <w:trPr>
          <w:jc w:val="center"/>
        </w:trPr>
        <w:tc>
          <w:tcPr>
            <w:tcW w:w="2011" w:type="pct"/>
            <w:tcBorders>
              <w:top w:val="single" w:sz="4" w:space="0" w:color="auto"/>
            </w:tcBorders>
          </w:tcPr>
          <w:p w:rsidR="00000000" w:rsidRDefault="00457650" w:rsidP="00457650">
            <w:pPr>
              <w:widowControl/>
              <w:tabs>
                <w:tab w:val="left" w:pos="630"/>
              </w:tabs>
              <w:spacing w:after="100" w:line="320" w:lineRule="exact"/>
              <w:ind w:leftChars="50" w:left="31680" w:rightChars="50" w:right="31680"/>
              <w:rPr>
                <w:rFonts w:hint="eastAsia"/>
                <w:sz w:val="18"/>
              </w:rPr>
            </w:pPr>
            <w:r>
              <w:rPr>
                <w:rFonts w:hint="eastAsia"/>
                <w:sz w:val="18"/>
              </w:rPr>
              <w:t>墨西哥合众国</w:t>
            </w:r>
          </w:p>
        </w:tc>
        <w:tc>
          <w:tcPr>
            <w:tcW w:w="1004" w:type="pct"/>
            <w:tcBorders>
              <w:top w:val="single" w:sz="4" w:space="0" w:color="auto"/>
            </w:tcBorders>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Borders>
              <w:top w:val="single" w:sz="4" w:space="0" w:color="auto"/>
            </w:tcBorders>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48.5</w:t>
            </w:r>
          </w:p>
        </w:tc>
        <w:tc>
          <w:tcPr>
            <w:tcW w:w="927" w:type="pct"/>
            <w:tcBorders>
              <w:top w:val="single" w:sz="4" w:space="0" w:color="auto"/>
            </w:tcBorders>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51.5</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阿瓜斯卡连特斯</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47.8</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52.2</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下加利福尼亚</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50.0</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50.0</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sz w:val="18"/>
              </w:rPr>
              <w:t>南下加</w:t>
            </w:r>
            <w:r>
              <w:rPr>
                <w:rFonts w:hint="eastAsia"/>
                <w:sz w:val="18"/>
              </w:rPr>
              <w:t>利</w:t>
            </w:r>
            <w:r>
              <w:rPr>
                <w:sz w:val="18"/>
              </w:rPr>
              <w:t>福尼亚</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50.8</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49.2</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坎佩切</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49.7</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50.3</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sz w:val="18"/>
              </w:rPr>
              <w:t>科阿韦拉</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49.3</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50.7</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sz w:val="18"/>
              </w:rPr>
              <w:t>科利马</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48.9</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51.1</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恰帕斯</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49.3</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50.7</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奇瓦瓦</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49</w:t>
            </w:r>
            <w:r>
              <w:rPr>
                <w:sz w:val="18"/>
              </w:rPr>
              <w:t>.7</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50.3</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联邦区</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47.3</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52.7</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杜兰戈</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48.4</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51.6</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sz w:val="18"/>
              </w:rPr>
              <w:t>瓜纳华托</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47.7</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52.3</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sz w:val="18"/>
              </w:rPr>
              <w:t>格雷罗</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48.2</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51.8</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伊达尔戈</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48.3</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51.7</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sz w:val="18"/>
              </w:rPr>
              <w:t>哈利斯科</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48.2</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51.8</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墨西哥</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48.7</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51.3</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米却肯</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47.7</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52.3</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sz w:val="18"/>
              </w:rPr>
              <w:t>莫雷洛斯</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48.0</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52.0</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sz w:val="18"/>
              </w:rPr>
              <w:t>纳亚里特</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49.4</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50.6</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sz w:val="18"/>
              </w:rPr>
              <w:t>新莱昂</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49.5</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50.5</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瓦哈卡</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w:t>
            </w:r>
            <w:r>
              <w:rPr>
                <w:sz w:val="18"/>
              </w:rPr>
              <w:t>7.8</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52.2</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sz w:val="18"/>
              </w:rPr>
              <w:t>普埃布拉</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48.0</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52.0</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sz w:val="18"/>
              </w:rPr>
              <w:t>克雷塔罗</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48.4</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51.6</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sz w:val="18"/>
              </w:rPr>
              <w:t>金塔纳罗奥</w:t>
            </w:r>
            <w:r>
              <w:rPr>
                <w:sz w:val="18"/>
              </w:rPr>
              <w:t> </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50.9</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49.1</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圣路易斯波托亚</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48.5</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51.5</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锡那罗亚</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49.2</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50.8</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索诺拉</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49.6</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50.4</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塔巴斯科</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49.1</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50.9</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sz w:val="18"/>
              </w:rPr>
              <w:t>塔毛利帕斯</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49.2</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50.8</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特拉斯卡拉</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48.8</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51.2</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韦拉克鲁斯</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48.2</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51.8</w:t>
            </w:r>
          </w:p>
        </w:tc>
      </w:tr>
      <w:tr w:rsidR="00000000">
        <w:tblPrEx>
          <w:tblCellMar>
            <w:top w:w="0" w:type="dxa"/>
            <w:bottom w:w="0" w:type="dxa"/>
          </w:tblCellMar>
        </w:tblPrEx>
        <w:trPr>
          <w:jc w:val="center"/>
        </w:trPr>
        <w:tc>
          <w:tcPr>
            <w:tcW w:w="2011" w:type="pct"/>
          </w:tcPr>
          <w:p w:rsidR="00000000" w:rsidRDefault="00457650" w:rsidP="00457650">
            <w:pPr>
              <w:widowControl/>
              <w:tabs>
                <w:tab w:val="left" w:pos="630"/>
              </w:tabs>
              <w:spacing w:after="100" w:line="320" w:lineRule="exact"/>
              <w:ind w:leftChars="50" w:left="31680" w:rightChars="50" w:right="31680"/>
              <w:rPr>
                <w:sz w:val="18"/>
              </w:rPr>
            </w:pPr>
            <w:r>
              <w:rPr>
                <w:rFonts w:hint="eastAsia"/>
                <w:sz w:val="18"/>
              </w:rPr>
              <w:t>尤卡坦</w:t>
            </w:r>
          </w:p>
        </w:tc>
        <w:tc>
          <w:tcPr>
            <w:tcW w:w="1004"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49.2</w:t>
            </w:r>
          </w:p>
        </w:tc>
        <w:tc>
          <w:tcPr>
            <w:tcW w:w="927"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50.8</w:t>
            </w:r>
          </w:p>
        </w:tc>
      </w:tr>
      <w:tr w:rsidR="00000000">
        <w:tblPrEx>
          <w:tblCellMar>
            <w:top w:w="0" w:type="dxa"/>
            <w:bottom w:w="0" w:type="dxa"/>
          </w:tblCellMar>
        </w:tblPrEx>
        <w:trPr>
          <w:jc w:val="center"/>
        </w:trPr>
        <w:tc>
          <w:tcPr>
            <w:tcW w:w="2011" w:type="pct"/>
            <w:tcBorders>
              <w:bottom w:val="single" w:sz="4" w:space="0" w:color="auto"/>
            </w:tcBorders>
          </w:tcPr>
          <w:p w:rsidR="00000000" w:rsidRDefault="00457650" w:rsidP="00457650">
            <w:pPr>
              <w:widowControl/>
              <w:tabs>
                <w:tab w:val="left" w:pos="630"/>
              </w:tabs>
              <w:spacing w:after="100" w:line="320" w:lineRule="exact"/>
              <w:ind w:leftChars="50" w:left="31680" w:rightChars="50" w:right="31680"/>
              <w:rPr>
                <w:rFonts w:hint="eastAsia"/>
                <w:sz w:val="18"/>
              </w:rPr>
            </w:pPr>
            <w:r>
              <w:rPr>
                <w:sz w:val="18"/>
              </w:rPr>
              <w:t>萨卡特卡斯</w:t>
            </w:r>
          </w:p>
        </w:tc>
        <w:tc>
          <w:tcPr>
            <w:tcW w:w="1004" w:type="pct"/>
            <w:tcBorders>
              <w:bottom w:val="single" w:sz="4" w:space="0" w:color="auto"/>
            </w:tcBorders>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100.0</w:t>
            </w:r>
          </w:p>
        </w:tc>
        <w:tc>
          <w:tcPr>
            <w:tcW w:w="1058" w:type="pct"/>
            <w:tcBorders>
              <w:bottom w:val="single" w:sz="4" w:space="0" w:color="auto"/>
            </w:tcBorders>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48.1</w:t>
            </w:r>
          </w:p>
        </w:tc>
        <w:tc>
          <w:tcPr>
            <w:tcW w:w="927" w:type="pct"/>
            <w:tcBorders>
              <w:bottom w:val="single" w:sz="4" w:space="0" w:color="auto"/>
            </w:tcBorders>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51.9</w:t>
            </w:r>
          </w:p>
        </w:tc>
      </w:tr>
    </w:tbl>
    <w:p w:rsidR="00000000" w:rsidRDefault="00457650">
      <w:pPr>
        <w:widowControl/>
        <w:tabs>
          <w:tab w:val="left" w:pos="630"/>
        </w:tabs>
        <w:spacing w:line="360" w:lineRule="exact"/>
        <w:rPr>
          <w:rFonts w:hint="eastAsia"/>
          <w:sz w:val="18"/>
        </w:rPr>
      </w:pPr>
      <w:r>
        <w:rPr>
          <w:rFonts w:eastAsia="KaiTi_GB2312" w:hint="eastAsia"/>
          <w:iCs/>
          <w:sz w:val="18"/>
        </w:rPr>
        <w:t>资料来源</w:t>
      </w:r>
      <w:r>
        <w:rPr>
          <w:rFonts w:hint="eastAsia"/>
          <w:sz w:val="18"/>
        </w:rPr>
        <w:t>：国家统计、地理和信息技术研究所，第</w:t>
      </w:r>
      <w:r>
        <w:rPr>
          <w:rFonts w:hint="eastAsia"/>
          <w:sz w:val="18"/>
        </w:rPr>
        <w:t>12</w:t>
      </w:r>
      <w:r>
        <w:rPr>
          <w:rFonts w:hint="eastAsia"/>
          <w:sz w:val="18"/>
        </w:rPr>
        <w:t>次一般人口和住房普查，</w:t>
      </w:r>
      <w:r>
        <w:rPr>
          <w:rFonts w:hint="eastAsia"/>
          <w:sz w:val="18"/>
        </w:rPr>
        <w:t>2000</w:t>
      </w:r>
      <w:r>
        <w:rPr>
          <w:rFonts w:hint="eastAsia"/>
          <w:sz w:val="18"/>
        </w:rPr>
        <w:t>年。普查采样数据库。</w:t>
      </w:r>
    </w:p>
    <w:p w:rsidR="00000000" w:rsidRDefault="00457650">
      <w:pPr>
        <w:widowControl/>
        <w:tabs>
          <w:tab w:val="left" w:pos="630"/>
        </w:tabs>
        <w:spacing w:line="360" w:lineRule="exact"/>
        <w:rPr>
          <w:rFonts w:hint="eastAsia"/>
          <w:sz w:val="18"/>
        </w:rPr>
      </w:pPr>
      <w:r>
        <w:rPr>
          <w:rFonts w:hint="eastAsia"/>
          <w:sz w:val="18"/>
          <w:vertAlign w:val="superscript"/>
        </w:rPr>
        <w:t>a</w:t>
      </w:r>
      <w:r>
        <w:rPr>
          <w:rFonts w:hint="eastAsia"/>
          <w:sz w:val="18"/>
        </w:rPr>
        <w:t xml:space="preserve">  </w:t>
      </w:r>
      <w:r>
        <w:rPr>
          <w:rFonts w:hint="eastAsia"/>
          <w:sz w:val="18"/>
        </w:rPr>
        <w:t>全球总数包括了各州的百分比总数。</w:t>
      </w:r>
    </w:p>
    <w:p w:rsidR="00000000" w:rsidRDefault="00457650">
      <w:pPr>
        <w:widowControl/>
        <w:tabs>
          <w:tab w:val="left" w:pos="630"/>
        </w:tabs>
        <w:spacing w:after="240" w:line="360" w:lineRule="exact"/>
        <w:rPr>
          <w:rFonts w:hint="eastAsia"/>
          <w:sz w:val="18"/>
        </w:rPr>
      </w:pPr>
      <w:r>
        <w:rPr>
          <w:rFonts w:hint="eastAsia"/>
          <w:sz w:val="18"/>
          <w:vertAlign w:val="superscript"/>
        </w:rPr>
        <w:t>b</w:t>
      </w:r>
      <w:r>
        <w:rPr>
          <w:rFonts w:hint="eastAsia"/>
          <w:sz w:val="18"/>
        </w:rPr>
        <w:t xml:space="preserve">  </w:t>
      </w:r>
      <w:r>
        <w:rPr>
          <w:rFonts w:hint="eastAsia"/>
          <w:sz w:val="18"/>
        </w:rPr>
        <w:t>男女性别百分比指相应各州的总数。</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50</w:t>
      </w:r>
      <w:r>
        <w:rPr>
          <w:rFonts w:ascii="SimHei" w:eastAsia="SimHei" w:hint="eastAsia"/>
        </w:rPr>
        <w:t>段（</w:t>
      </w:r>
      <w:r>
        <w:rPr>
          <w:rFonts w:ascii="SimHei" w:eastAsia="SimHei" w:hint="eastAsia"/>
        </w:rPr>
        <w:t>g</w:t>
      </w:r>
      <w:r>
        <w:rPr>
          <w:rFonts w:ascii="SimHei" w:eastAsia="SimHei" w:hint="eastAsia"/>
        </w:rPr>
        <w:t>）</w:t>
      </w:r>
    </w:p>
    <w:p w:rsidR="00000000" w:rsidRDefault="00457650">
      <w:pPr>
        <w:keepNext/>
        <w:widowControl/>
        <w:tabs>
          <w:tab w:val="left" w:pos="630"/>
        </w:tabs>
        <w:spacing w:after="240" w:line="360" w:lineRule="exact"/>
        <w:jc w:val="center"/>
        <w:rPr>
          <w:rFonts w:ascii="SimHei" w:eastAsia="SimHei" w:hint="eastAsia"/>
        </w:rPr>
      </w:pPr>
      <w:r>
        <w:rPr>
          <w:rFonts w:ascii="SimHei" w:eastAsia="SimHei" w:hint="eastAsia"/>
        </w:rPr>
        <w:t>1990</w:t>
      </w:r>
      <w:r>
        <w:rPr>
          <w:rFonts w:ascii="SimHei" w:eastAsia="SimHei"/>
        </w:rPr>
        <w:t>-</w:t>
      </w:r>
      <w:r>
        <w:rPr>
          <w:rFonts w:ascii="SimHei" w:eastAsia="SimHei" w:hint="eastAsia"/>
        </w:rPr>
        <w:t>2002</w:t>
      </w:r>
      <w:r>
        <w:rPr>
          <w:rFonts w:ascii="SimHei" w:eastAsia="SimHei" w:hint="eastAsia"/>
        </w:rPr>
        <w:t>年按性别和主要死因分列的一般死亡百分比</w:t>
      </w:r>
    </w:p>
    <w:tbl>
      <w:tblPr>
        <w:tblW w:w="5000" w:type="pct"/>
        <w:tblCellMar>
          <w:left w:w="0" w:type="dxa"/>
          <w:right w:w="0" w:type="dxa"/>
        </w:tblCellMar>
        <w:tblLook w:val="0000" w:firstRow="0" w:lastRow="0" w:firstColumn="0" w:lastColumn="0" w:noHBand="0" w:noVBand="0"/>
      </w:tblPr>
      <w:tblGrid>
        <w:gridCol w:w="3308"/>
        <w:gridCol w:w="504"/>
        <w:gridCol w:w="506"/>
        <w:gridCol w:w="504"/>
        <w:gridCol w:w="505"/>
        <w:gridCol w:w="505"/>
        <w:gridCol w:w="503"/>
        <w:gridCol w:w="505"/>
        <w:gridCol w:w="503"/>
        <w:gridCol w:w="505"/>
        <w:gridCol w:w="505"/>
        <w:gridCol w:w="503"/>
        <w:gridCol w:w="505"/>
        <w:gridCol w:w="505"/>
      </w:tblGrid>
      <w:tr w:rsidR="00000000">
        <w:tblPrEx>
          <w:tblCellMar>
            <w:top w:w="0" w:type="dxa"/>
            <w:bottom w:w="0" w:type="dxa"/>
          </w:tblCellMar>
        </w:tblPrEx>
        <w:trPr>
          <w:tblHeader/>
        </w:trPr>
        <w:tc>
          <w:tcPr>
            <w:tcW w:w="1675" w:type="pct"/>
            <w:tcBorders>
              <w:top w:val="single" w:sz="4" w:space="0" w:color="auto"/>
              <w:bottom w:val="single" w:sz="4" w:space="0" w:color="auto"/>
            </w:tcBorders>
            <w:vAlign w:val="bottom"/>
          </w:tcPr>
          <w:p w:rsidR="00000000" w:rsidRDefault="00457650" w:rsidP="00457650">
            <w:pPr>
              <w:widowControl/>
              <w:tabs>
                <w:tab w:val="left" w:pos="630"/>
              </w:tabs>
              <w:spacing w:after="40" w:line="280" w:lineRule="exact"/>
              <w:ind w:leftChars="50" w:left="31680"/>
              <w:rPr>
                <w:rFonts w:ascii="KaiTi_GB2312" w:eastAsia="KaiTi_GB2312"/>
                <w:iCs/>
                <w:sz w:val="18"/>
              </w:rPr>
            </w:pPr>
            <w:r>
              <w:rPr>
                <w:rFonts w:ascii="KaiTi_GB2312" w:eastAsia="KaiTi_GB2312" w:hint="eastAsia"/>
                <w:iCs/>
                <w:sz w:val="18"/>
              </w:rPr>
              <w:t>性别</w:t>
            </w:r>
            <w:r>
              <w:rPr>
                <w:rFonts w:ascii="KaiTi_GB2312" w:eastAsia="KaiTi_GB2312" w:hint="eastAsia"/>
                <w:iCs/>
                <w:sz w:val="18"/>
              </w:rPr>
              <w:t>/</w:t>
            </w:r>
            <w:r>
              <w:rPr>
                <w:rFonts w:ascii="KaiTi_GB2312" w:eastAsia="KaiTi_GB2312" w:hint="eastAsia"/>
                <w:iCs/>
                <w:sz w:val="18"/>
              </w:rPr>
              <w:t>死因</w:t>
            </w:r>
          </w:p>
        </w:tc>
        <w:tc>
          <w:tcPr>
            <w:tcW w:w="255" w:type="pct"/>
            <w:tcBorders>
              <w:top w:val="single" w:sz="4" w:space="0" w:color="auto"/>
              <w:bottom w:val="single" w:sz="4" w:space="0" w:color="auto"/>
            </w:tcBorders>
            <w:vAlign w:val="center"/>
          </w:tcPr>
          <w:p w:rsidR="00000000" w:rsidRDefault="00457650">
            <w:pPr>
              <w:widowControl/>
              <w:tabs>
                <w:tab w:val="left" w:pos="630"/>
              </w:tabs>
              <w:spacing w:after="40" w:line="280" w:lineRule="exact"/>
              <w:ind w:left="50"/>
              <w:jc w:val="center"/>
              <w:rPr>
                <w:rFonts w:ascii="KaiTi_GB2312" w:eastAsia="KaiTi_GB2312" w:hint="eastAsia"/>
                <w:iCs/>
                <w:sz w:val="18"/>
              </w:rPr>
            </w:pPr>
            <w:r>
              <w:rPr>
                <w:rFonts w:ascii="KaiTi_GB2312" w:eastAsia="KaiTi_GB2312"/>
                <w:iCs/>
                <w:sz w:val="18"/>
              </w:rPr>
              <w:t>1990</w:t>
            </w:r>
            <w:r>
              <w:rPr>
                <w:rFonts w:ascii="KaiTi_GB2312" w:eastAsia="KaiTi_GB2312" w:hint="eastAsia"/>
                <w:iCs/>
                <w:sz w:val="18"/>
              </w:rPr>
              <w:t>年</w:t>
            </w:r>
          </w:p>
        </w:tc>
        <w:tc>
          <w:tcPr>
            <w:tcW w:w="256" w:type="pct"/>
            <w:tcBorders>
              <w:top w:val="single" w:sz="4" w:space="0" w:color="auto"/>
              <w:bottom w:val="single" w:sz="4" w:space="0" w:color="auto"/>
            </w:tcBorders>
            <w:vAlign w:val="center"/>
          </w:tcPr>
          <w:p w:rsidR="00000000" w:rsidRDefault="00457650">
            <w:pPr>
              <w:widowControl/>
              <w:tabs>
                <w:tab w:val="left" w:pos="630"/>
              </w:tabs>
              <w:spacing w:after="40" w:line="280" w:lineRule="exact"/>
              <w:ind w:left="50"/>
              <w:jc w:val="center"/>
              <w:rPr>
                <w:rFonts w:ascii="KaiTi_GB2312" w:eastAsia="KaiTi_GB2312"/>
                <w:iCs/>
                <w:sz w:val="18"/>
              </w:rPr>
            </w:pPr>
            <w:r>
              <w:rPr>
                <w:rFonts w:ascii="KaiTi_GB2312" w:eastAsia="KaiTi_GB2312"/>
                <w:iCs/>
                <w:sz w:val="18"/>
              </w:rPr>
              <w:t>1991</w:t>
            </w:r>
            <w:r>
              <w:rPr>
                <w:rFonts w:ascii="KaiTi_GB2312" w:eastAsia="KaiTi_GB2312" w:hint="eastAsia"/>
                <w:iCs/>
                <w:sz w:val="18"/>
              </w:rPr>
              <w:t>年</w:t>
            </w:r>
          </w:p>
        </w:tc>
        <w:tc>
          <w:tcPr>
            <w:tcW w:w="255" w:type="pct"/>
            <w:tcBorders>
              <w:top w:val="single" w:sz="4" w:space="0" w:color="auto"/>
              <w:bottom w:val="single" w:sz="4" w:space="0" w:color="auto"/>
            </w:tcBorders>
            <w:vAlign w:val="center"/>
          </w:tcPr>
          <w:p w:rsidR="00000000" w:rsidRDefault="00457650">
            <w:pPr>
              <w:widowControl/>
              <w:tabs>
                <w:tab w:val="left" w:pos="630"/>
              </w:tabs>
              <w:spacing w:after="40" w:line="280" w:lineRule="exact"/>
              <w:ind w:left="50"/>
              <w:jc w:val="center"/>
              <w:rPr>
                <w:rFonts w:ascii="KaiTi_GB2312" w:eastAsia="KaiTi_GB2312"/>
                <w:iCs/>
                <w:sz w:val="18"/>
              </w:rPr>
            </w:pPr>
            <w:r>
              <w:rPr>
                <w:rFonts w:ascii="KaiTi_GB2312" w:eastAsia="KaiTi_GB2312"/>
                <w:iCs/>
                <w:sz w:val="18"/>
              </w:rPr>
              <w:t>1992</w:t>
            </w:r>
            <w:r>
              <w:rPr>
                <w:rFonts w:ascii="KaiTi_GB2312" w:eastAsia="KaiTi_GB2312" w:hint="eastAsia"/>
                <w:iCs/>
                <w:sz w:val="18"/>
              </w:rPr>
              <w:t>年</w:t>
            </w:r>
          </w:p>
        </w:tc>
        <w:tc>
          <w:tcPr>
            <w:tcW w:w="256" w:type="pct"/>
            <w:tcBorders>
              <w:top w:val="single" w:sz="4" w:space="0" w:color="auto"/>
              <w:bottom w:val="single" w:sz="4" w:space="0" w:color="auto"/>
            </w:tcBorders>
            <w:vAlign w:val="center"/>
          </w:tcPr>
          <w:p w:rsidR="00000000" w:rsidRDefault="00457650">
            <w:pPr>
              <w:widowControl/>
              <w:tabs>
                <w:tab w:val="left" w:pos="630"/>
              </w:tabs>
              <w:spacing w:after="40" w:line="280" w:lineRule="exact"/>
              <w:ind w:left="50"/>
              <w:jc w:val="center"/>
              <w:rPr>
                <w:rFonts w:ascii="KaiTi_GB2312" w:eastAsia="KaiTi_GB2312"/>
                <w:iCs/>
                <w:sz w:val="18"/>
              </w:rPr>
            </w:pPr>
            <w:r>
              <w:rPr>
                <w:rFonts w:ascii="KaiTi_GB2312" w:eastAsia="KaiTi_GB2312"/>
                <w:iCs/>
                <w:sz w:val="18"/>
              </w:rPr>
              <w:t>1993</w:t>
            </w:r>
            <w:r>
              <w:rPr>
                <w:rFonts w:ascii="KaiTi_GB2312" w:eastAsia="KaiTi_GB2312" w:hint="eastAsia"/>
                <w:iCs/>
                <w:sz w:val="18"/>
              </w:rPr>
              <w:t>年</w:t>
            </w:r>
          </w:p>
        </w:tc>
        <w:tc>
          <w:tcPr>
            <w:tcW w:w="256" w:type="pct"/>
            <w:tcBorders>
              <w:top w:val="single" w:sz="4" w:space="0" w:color="auto"/>
              <w:bottom w:val="single" w:sz="4" w:space="0" w:color="auto"/>
            </w:tcBorders>
            <w:vAlign w:val="center"/>
          </w:tcPr>
          <w:p w:rsidR="00000000" w:rsidRDefault="00457650">
            <w:pPr>
              <w:widowControl/>
              <w:tabs>
                <w:tab w:val="left" w:pos="630"/>
              </w:tabs>
              <w:spacing w:after="40" w:line="280" w:lineRule="exact"/>
              <w:ind w:left="50"/>
              <w:jc w:val="center"/>
              <w:rPr>
                <w:rFonts w:ascii="KaiTi_GB2312" w:eastAsia="KaiTi_GB2312"/>
                <w:iCs/>
                <w:sz w:val="18"/>
              </w:rPr>
            </w:pPr>
            <w:r>
              <w:rPr>
                <w:rFonts w:ascii="KaiTi_GB2312" w:eastAsia="KaiTi_GB2312"/>
                <w:iCs/>
                <w:sz w:val="18"/>
              </w:rPr>
              <w:t>1994</w:t>
            </w:r>
            <w:r>
              <w:rPr>
                <w:rFonts w:ascii="KaiTi_GB2312" w:eastAsia="KaiTi_GB2312" w:hint="eastAsia"/>
                <w:iCs/>
                <w:sz w:val="18"/>
              </w:rPr>
              <w:t>年</w:t>
            </w:r>
          </w:p>
        </w:tc>
        <w:tc>
          <w:tcPr>
            <w:tcW w:w="255" w:type="pct"/>
            <w:tcBorders>
              <w:top w:val="single" w:sz="4" w:space="0" w:color="auto"/>
              <w:bottom w:val="single" w:sz="4" w:space="0" w:color="auto"/>
            </w:tcBorders>
            <w:vAlign w:val="center"/>
          </w:tcPr>
          <w:p w:rsidR="00000000" w:rsidRDefault="00457650">
            <w:pPr>
              <w:widowControl/>
              <w:tabs>
                <w:tab w:val="left" w:pos="630"/>
              </w:tabs>
              <w:spacing w:after="40" w:line="280" w:lineRule="exact"/>
              <w:ind w:left="50"/>
              <w:jc w:val="center"/>
              <w:rPr>
                <w:rFonts w:ascii="KaiTi_GB2312" w:eastAsia="KaiTi_GB2312"/>
                <w:iCs/>
                <w:sz w:val="18"/>
              </w:rPr>
            </w:pPr>
            <w:r>
              <w:rPr>
                <w:rFonts w:ascii="KaiTi_GB2312" w:eastAsia="KaiTi_GB2312"/>
                <w:iCs/>
                <w:sz w:val="18"/>
              </w:rPr>
              <w:t>1995</w:t>
            </w:r>
            <w:r>
              <w:rPr>
                <w:rFonts w:ascii="KaiTi_GB2312" w:eastAsia="KaiTi_GB2312" w:hint="eastAsia"/>
                <w:iCs/>
                <w:sz w:val="18"/>
              </w:rPr>
              <w:t>年</w:t>
            </w:r>
          </w:p>
        </w:tc>
        <w:tc>
          <w:tcPr>
            <w:tcW w:w="256" w:type="pct"/>
            <w:tcBorders>
              <w:top w:val="single" w:sz="4" w:space="0" w:color="auto"/>
              <w:bottom w:val="single" w:sz="4" w:space="0" w:color="auto"/>
            </w:tcBorders>
            <w:vAlign w:val="center"/>
          </w:tcPr>
          <w:p w:rsidR="00000000" w:rsidRDefault="00457650">
            <w:pPr>
              <w:widowControl/>
              <w:tabs>
                <w:tab w:val="left" w:pos="630"/>
              </w:tabs>
              <w:spacing w:after="40" w:line="280" w:lineRule="exact"/>
              <w:ind w:left="50"/>
              <w:jc w:val="center"/>
              <w:rPr>
                <w:rFonts w:ascii="KaiTi_GB2312" w:eastAsia="KaiTi_GB2312"/>
                <w:iCs/>
                <w:sz w:val="18"/>
              </w:rPr>
            </w:pPr>
            <w:r>
              <w:rPr>
                <w:rFonts w:ascii="KaiTi_GB2312" w:eastAsia="KaiTi_GB2312"/>
                <w:iCs/>
                <w:sz w:val="18"/>
              </w:rPr>
              <w:t>1996</w:t>
            </w:r>
            <w:r>
              <w:rPr>
                <w:rFonts w:ascii="KaiTi_GB2312" w:eastAsia="KaiTi_GB2312" w:hint="eastAsia"/>
                <w:iCs/>
                <w:sz w:val="18"/>
              </w:rPr>
              <w:t>年</w:t>
            </w:r>
          </w:p>
        </w:tc>
        <w:tc>
          <w:tcPr>
            <w:tcW w:w="255" w:type="pct"/>
            <w:tcBorders>
              <w:top w:val="single" w:sz="4" w:space="0" w:color="auto"/>
              <w:bottom w:val="single" w:sz="4" w:space="0" w:color="auto"/>
            </w:tcBorders>
            <w:vAlign w:val="center"/>
          </w:tcPr>
          <w:p w:rsidR="00000000" w:rsidRDefault="00457650">
            <w:pPr>
              <w:widowControl/>
              <w:tabs>
                <w:tab w:val="left" w:pos="630"/>
              </w:tabs>
              <w:spacing w:after="40" w:line="280" w:lineRule="exact"/>
              <w:ind w:left="50"/>
              <w:jc w:val="center"/>
              <w:rPr>
                <w:rFonts w:ascii="KaiTi_GB2312" w:eastAsia="KaiTi_GB2312"/>
                <w:iCs/>
                <w:sz w:val="18"/>
              </w:rPr>
            </w:pPr>
            <w:r>
              <w:rPr>
                <w:rFonts w:ascii="KaiTi_GB2312" w:eastAsia="KaiTi_GB2312"/>
                <w:iCs/>
                <w:sz w:val="18"/>
              </w:rPr>
              <w:t>1997</w:t>
            </w:r>
            <w:r>
              <w:rPr>
                <w:rFonts w:ascii="KaiTi_GB2312" w:eastAsia="KaiTi_GB2312" w:hint="eastAsia"/>
                <w:iCs/>
                <w:sz w:val="18"/>
              </w:rPr>
              <w:t>年</w:t>
            </w:r>
          </w:p>
        </w:tc>
        <w:tc>
          <w:tcPr>
            <w:tcW w:w="256" w:type="pct"/>
            <w:tcBorders>
              <w:top w:val="single" w:sz="4" w:space="0" w:color="auto"/>
              <w:bottom w:val="single" w:sz="4" w:space="0" w:color="auto"/>
            </w:tcBorders>
            <w:vAlign w:val="center"/>
          </w:tcPr>
          <w:p w:rsidR="00000000" w:rsidRDefault="00457650">
            <w:pPr>
              <w:widowControl/>
              <w:tabs>
                <w:tab w:val="left" w:pos="630"/>
              </w:tabs>
              <w:spacing w:after="40" w:line="280" w:lineRule="exact"/>
              <w:ind w:left="50"/>
              <w:jc w:val="center"/>
              <w:rPr>
                <w:rFonts w:ascii="KaiTi_GB2312" w:eastAsia="KaiTi_GB2312"/>
                <w:iCs/>
                <w:sz w:val="18"/>
              </w:rPr>
            </w:pPr>
            <w:r>
              <w:rPr>
                <w:rFonts w:ascii="KaiTi_GB2312" w:eastAsia="KaiTi_GB2312"/>
                <w:iCs/>
                <w:sz w:val="18"/>
              </w:rPr>
              <w:t>1998</w:t>
            </w:r>
            <w:r>
              <w:rPr>
                <w:rFonts w:ascii="KaiTi_GB2312" w:eastAsia="KaiTi_GB2312" w:hint="eastAsia"/>
                <w:iCs/>
                <w:sz w:val="18"/>
              </w:rPr>
              <w:t>年</w:t>
            </w:r>
          </w:p>
        </w:tc>
        <w:tc>
          <w:tcPr>
            <w:tcW w:w="256" w:type="pct"/>
            <w:tcBorders>
              <w:top w:val="single" w:sz="4" w:space="0" w:color="auto"/>
              <w:bottom w:val="single" w:sz="4" w:space="0" w:color="auto"/>
            </w:tcBorders>
            <w:vAlign w:val="center"/>
          </w:tcPr>
          <w:p w:rsidR="00000000" w:rsidRDefault="00457650">
            <w:pPr>
              <w:widowControl/>
              <w:tabs>
                <w:tab w:val="left" w:pos="630"/>
              </w:tabs>
              <w:spacing w:after="40" w:line="280" w:lineRule="exact"/>
              <w:ind w:left="50"/>
              <w:jc w:val="center"/>
              <w:rPr>
                <w:rFonts w:ascii="KaiTi_GB2312" w:eastAsia="KaiTi_GB2312"/>
                <w:iCs/>
                <w:sz w:val="18"/>
              </w:rPr>
            </w:pPr>
            <w:r>
              <w:rPr>
                <w:rFonts w:ascii="KaiTi_GB2312" w:eastAsia="KaiTi_GB2312"/>
                <w:iCs/>
                <w:sz w:val="18"/>
              </w:rPr>
              <w:t>1999</w:t>
            </w:r>
            <w:r>
              <w:rPr>
                <w:rFonts w:ascii="KaiTi_GB2312" w:eastAsia="KaiTi_GB2312" w:hint="eastAsia"/>
                <w:iCs/>
                <w:sz w:val="18"/>
              </w:rPr>
              <w:t>年</w:t>
            </w:r>
          </w:p>
        </w:tc>
        <w:tc>
          <w:tcPr>
            <w:tcW w:w="255" w:type="pct"/>
            <w:tcBorders>
              <w:top w:val="single" w:sz="4" w:space="0" w:color="auto"/>
              <w:bottom w:val="single" w:sz="4" w:space="0" w:color="auto"/>
            </w:tcBorders>
            <w:vAlign w:val="center"/>
          </w:tcPr>
          <w:p w:rsidR="00000000" w:rsidRDefault="00457650">
            <w:pPr>
              <w:widowControl/>
              <w:tabs>
                <w:tab w:val="left" w:pos="630"/>
              </w:tabs>
              <w:spacing w:after="40" w:line="280" w:lineRule="exact"/>
              <w:ind w:left="50"/>
              <w:jc w:val="center"/>
              <w:rPr>
                <w:rFonts w:ascii="KaiTi_GB2312" w:eastAsia="KaiTi_GB2312"/>
                <w:iCs/>
                <w:sz w:val="18"/>
              </w:rPr>
            </w:pPr>
            <w:r>
              <w:rPr>
                <w:rFonts w:ascii="KaiTi_GB2312" w:eastAsia="KaiTi_GB2312"/>
                <w:iCs/>
                <w:sz w:val="18"/>
              </w:rPr>
              <w:t>2000</w:t>
            </w:r>
            <w:r>
              <w:rPr>
                <w:rFonts w:ascii="KaiTi_GB2312" w:eastAsia="KaiTi_GB2312" w:hint="eastAsia"/>
                <w:iCs/>
                <w:sz w:val="18"/>
              </w:rPr>
              <w:t>年</w:t>
            </w:r>
          </w:p>
        </w:tc>
        <w:tc>
          <w:tcPr>
            <w:tcW w:w="256" w:type="pct"/>
            <w:tcBorders>
              <w:top w:val="single" w:sz="4" w:space="0" w:color="auto"/>
              <w:bottom w:val="single" w:sz="4" w:space="0" w:color="auto"/>
            </w:tcBorders>
            <w:vAlign w:val="center"/>
          </w:tcPr>
          <w:p w:rsidR="00000000" w:rsidRDefault="00457650">
            <w:pPr>
              <w:widowControl/>
              <w:tabs>
                <w:tab w:val="left" w:pos="630"/>
              </w:tabs>
              <w:spacing w:after="40" w:line="280" w:lineRule="exact"/>
              <w:ind w:left="50"/>
              <w:jc w:val="center"/>
              <w:rPr>
                <w:rFonts w:ascii="KaiTi_GB2312" w:eastAsia="KaiTi_GB2312"/>
                <w:iCs/>
                <w:sz w:val="18"/>
              </w:rPr>
            </w:pPr>
            <w:r>
              <w:rPr>
                <w:rFonts w:ascii="KaiTi_GB2312" w:eastAsia="KaiTi_GB2312"/>
                <w:iCs/>
                <w:sz w:val="18"/>
              </w:rPr>
              <w:t>2001</w:t>
            </w:r>
            <w:r>
              <w:rPr>
                <w:rFonts w:ascii="KaiTi_GB2312" w:eastAsia="KaiTi_GB2312" w:hint="eastAsia"/>
                <w:iCs/>
                <w:sz w:val="18"/>
              </w:rPr>
              <w:t>年</w:t>
            </w:r>
          </w:p>
        </w:tc>
        <w:tc>
          <w:tcPr>
            <w:tcW w:w="256" w:type="pct"/>
            <w:tcBorders>
              <w:top w:val="single" w:sz="4" w:space="0" w:color="auto"/>
              <w:bottom w:val="single" w:sz="4" w:space="0" w:color="auto"/>
            </w:tcBorders>
            <w:vAlign w:val="center"/>
          </w:tcPr>
          <w:p w:rsidR="00000000" w:rsidRDefault="00457650">
            <w:pPr>
              <w:widowControl/>
              <w:tabs>
                <w:tab w:val="left" w:pos="630"/>
              </w:tabs>
              <w:spacing w:after="40" w:line="280" w:lineRule="exact"/>
              <w:ind w:left="50"/>
              <w:jc w:val="center"/>
              <w:rPr>
                <w:rFonts w:ascii="KaiTi_GB2312" w:eastAsia="KaiTi_GB2312"/>
                <w:iCs/>
                <w:sz w:val="18"/>
              </w:rPr>
            </w:pPr>
            <w:r>
              <w:rPr>
                <w:rFonts w:ascii="KaiTi_GB2312" w:eastAsia="KaiTi_GB2312"/>
                <w:iCs/>
                <w:sz w:val="18"/>
              </w:rPr>
              <w:t>2002</w:t>
            </w:r>
            <w:r>
              <w:rPr>
                <w:rFonts w:ascii="KaiTi_GB2312" w:eastAsia="KaiTi_GB2312" w:hint="eastAsia"/>
                <w:iCs/>
                <w:sz w:val="18"/>
              </w:rPr>
              <w:t>年</w:t>
            </w:r>
          </w:p>
        </w:tc>
      </w:tr>
      <w:tr w:rsidR="00000000">
        <w:tblPrEx>
          <w:tblCellMar>
            <w:top w:w="0" w:type="dxa"/>
            <w:bottom w:w="0" w:type="dxa"/>
          </w:tblCellMar>
        </w:tblPrEx>
        <w:tc>
          <w:tcPr>
            <w:tcW w:w="1675" w:type="pct"/>
            <w:tcBorders>
              <w:top w:val="single" w:sz="4" w:space="0" w:color="auto"/>
            </w:tcBorders>
            <w:vAlign w:val="bottom"/>
          </w:tcPr>
          <w:p w:rsidR="00000000" w:rsidRDefault="00457650" w:rsidP="00457650">
            <w:pPr>
              <w:widowControl/>
              <w:tabs>
                <w:tab w:val="left" w:pos="630"/>
              </w:tabs>
              <w:spacing w:after="40" w:line="320" w:lineRule="exact"/>
              <w:ind w:leftChars="50" w:left="31680"/>
              <w:rPr>
                <w:rFonts w:hint="eastAsia"/>
                <w:bCs/>
                <w:sz w:val="18"/>
              </w:rPr>
            </w:pPr>
            <w:r>
              <w:rPr>
                <w:rFonts w:hint="eastAsia"/>
                <w:bCs/>
                <w:sz w:val="18"/>
              </w:rPr>
              <w:t>总数</w:t>
            </w:r>
          </w:p>
        </w:tc>
        <w:tc>
          <w:tcPr>
            <w:tcW w:w="255" w:type="pct"/>
            <w:tcBorders>
              <w:top w:val="single" w:sz="4" w:space="0" w:color="auto"/>
            </w:tcBorders>
            <w:vAlign w:val="bottom"/>
          </w:tcPr>
          <w:p w:rsidR="00000000" w:rsidRDefault="00457650">
            <w:pPr>
              <w:widowControl/>
              <w:tabs>
                <w:tab w:val="left" w:pos="630"/>
              </w:tabs>
              <w:spacing w:after="40" w:line="320" w:lineRule="exact"/>
              <w:ind w:left="50"/>
              <w:jc w:val="center"/>
              <w:rPr>
                <w:bCs/>
                <w:sz w:val="18"/>
              </w:rPr>
            </w:pPr>
            <w:r>
              <w:rPr>
                <w:bCs/>
                <w:sz w:val="18"/>
              </w:rPr>
              <w:t>100.0</w:t>
            </w:r>
          </w:p>
        </w:tc>
        <w:tc>
          <w:tcPr>
            <w:tcW w:w="256" w:type="pct"/>
            <w:tcBorders>
              <w:top w:val="single" w:sz="4" w:space="0" w:color="auto"/>
            </w:tcBorders>
            <w:vAlign w:val="bottom"/>
          </w:tcPr>
          <w:p w:rsidR="00000000" w:rsidRDefault="00457650">
            <w:pPr>
              <w:widowControl/>
              <w:tabs>
                <w:tab w:val="left" w:pos="630"/>
              </w:tabs>
              <w:spacing w:after="40" w:line="320" w:lineRule="exact"/>
              <w:ind w:left="50"/>
              <w:jc w:val="center"/>
              <w:rPr>
                <w:bCs/>
                <w:sz w:val="18"/>
              </w:rPr>
            </w:pPr>
            <w:r>
              <w:rPr>
                <w:bCs/>
                <w:sz w:val="18"/>
              </w:rPr>
              <w:t>100.0</w:t>
            </w:r>
          </w:p>
        </w:tc>
        <w:tc>
          <w:tcPr>
            <w:tcW w:w="255" w:type="pct"/>
            <w:tcBorders>
              <w:top w:val="single" w:sz="4" w:space="0" w:color="auto"/>
            </w:tcBorders>
            <w:vAlign w:val="bottom"/>
          </w:tcPr>
          <w:p w:rsidR="00000000" w:rsidRDefault="00457650">
            <w:pPr>
              <w:widowControl/>
              <w:tabs>
                <w:tab w:val="left" w:pos="630"/>
              </w:tabs>
              <w:spacing w:after="40" w:line="320" w:lineRule="exact"/>
              <w:ind w:left="50"/>
              <w:jc w:val="center"/>
              <w:rPr>
                <w:bCs/>
                <w:sz w:val="18"/>
              </w:rPr>
            </w:pPr>
            <w:r>
              <w:rPr>
                <w:bCs/>
                <w:sz w:val="18"/>
              </w:rPr>
              <w:t>100.</w:t>
            </w:r>
            <w:r>
              <w:rPr>
                <w:bCs/>
                <w:sz w:val="18"/>
              </w:rPr>
              <w:t>0</w:t>
            </w:r>
          </w:p>
        </w:tc>
        <w:tc>
          <w:tcPr>
            <w:tcW w:w="256" w:type="pct"/>
            <w:tcBorders>
              <w:top w:val="single" w:sz="4" w:space="0" w:color="auto"/>
            </w:tcBorders>
            <w:vAlign w:val="bottom"/>
          </w:tcPr>
          <w:p w:rsidR="00000000" w:rsidRDefault="00457650">
            <w:pPr>
              <w:widowControl/>
              <w:tabs>
                <w:tab w:val="left" w:pos="630"/>
              </w:tabs>
              <w:spacing w:after="40" w:line="320" w:lineRule="exact"/>
              <w:ind w:left="50"/>
              <w:jc w:val="center"/>
              <w:rPr>
                <w:bCs/>
                <w:sz w:val="18"/>
              </w:rPr>
            </w:pPr>
            <w:r>
              <w:rPr>
                <w:bCs/>
                <w:sz w:val="18"/>
              </w:rPr>
              <w:t>100.0</w:t>
            </w:r>
          </w:p>
        </w:tc>
        <w:tc>
          <w:tcPr>
            <w:tcW w:w="256" w:type="pct"/>
            <w:tcBorders>
              <w:top w:val="single" w:sz="4" w:space="0" w:color="auto"/>
            </w:tcBorders>
            <w:vAlign w:val="bottom"/>
          </w:tcPr>
          <w:p w:rsidR="00000000" w:rsidRDefault="00457650">
            <w:pPr>
              <w:widowControl/>
              <w:tabs>
                <w:tab w:val="left" w:pos="630"/>
              </w:tabs>
              <w:spacing w:after="40" w:line="320" w:lineRule="exact"/>
              <w:ind w:left="50"/>
              <w:jc w:val="center"/>
              <w:rPr>
                <w:bCs/>
                <w:sz w:val="18"/>
              </w:rPr>
            </w:pPr>
            <w:r>
              <w:rPr>
                <w:bCs/>
                <w:sz w:val="18"/>
              </w:rPr>
              <w:t>100.0</w:t>
            </w:r>
          </w:p>
        </w:tc>
        <w:tc>
          <w:tcPr>
            <w:tcW w:w="255" w:type="pct"/>
            <w:tcBorders>
              <w:top w:val="single" w:sz="4" w:space="0" w:color="auto"/>
            </w:tcBorders>
            <w:vAlign w:val="bottom"/>
          </w:tcPr>
          <w:p w:rsidR="00000000" w:rsidRDefault="00457650">
            <w:pPr>
              <w:widowControl/>
              <w:tabs>
                <w:tab w:val="left" w:pos="630"/>
              </w:tabs>
              <w:spacing w:after="40" w:line="320" w:lineRule="exact"/>
              <w:ind w:left="50"/>
              <w:jc w:val="center"/>
              <w:rPr>
                <w:bCs/>
                <w:sz w:val="18"/>
              </w:rPr>
            </w:pPr>
            <w:r>
              <w:rPr>
                <w:bCs/>
                <w:sz w:val="18"/>
              </w:rPr>
              <w:t>100.0</w:t>
            </w:r>
          </w:p>
        </w:tc>
        <w:tc>
          <w:tcPr>
            <w:tcW w:w="256" w:type="pct"/>
            <w:tcBorders>
              <w:top w:val="single" w:sz="4" w:space="0" w:color="auto"/>
            </w:tcBorders>
            <w:vAlign w:val="bottom"/>
          </w:tcPr>
          <w:p w:rsidR="00000000" w:rsidRDefault="00457650">
            <w:pPr>
              <w:widowControl/>
              <w:tabs>
                <w:tab w:val="left" w:pos="630"/>
              </w:tabs>
              <w:spacing w:after="40" w:line="320" w:lineRule="exact"/>
              <w:ind w:left="50"/>
              <w:jc w:val="center"/>
              <w:rPr>
                <w:bCs/>
                <w:sz w:val="18"/>
              </w:rPr>
            </w:pPr>
            <w:r>
              <w:rPr>
                <w:bCs/>
                <w:sz w:val="18"/>
              </w:rPr>
              <w:t>100.0</w:t>
            </w:r>
          </w:p>
        </w:tc>
        <w:tc>
          <w:tcPr>
            <w:tcW w:w="255" w:type="pct"/>
            <w:tcBorders>
              <w:top w:val="single" w:sz="4" w:space="0" w:color="auto"/>
            </w:tcBorders>
            <w:vAlign w:val="bottom"/>
          </w:tcPr>
          <w:p w:rsidR="00000000" w:rsidRDefault="00457650">
            <w:pPr>
              <w:widowControl/>
              <w:tabs>
                <w:tab w:val="left" w:pos="630"/>
              </w:tabs>
              <w:spacing w:after="40" w:line="320" w:lineRule="exact"/>
              <w:ind w:left="50"/>
              <w:jc w:val="center"/>
              <w:rPr>
                <w:bCs/>
                <w:sz w:val="18"/>
              </w:rPr>
            </w:pPr>
            <w:r>
              <w:rPr>
                <w:bCs/>
                <w:sz w:val="18"/>
              </w:rPr>
              <w:t>100.0</w:t>
            </w:r>
          </w:p>
        </w:tc>
        <w:tc>
          <w:tcPr>
            <w:tcW w:w="256" w:type="pct"/>
            <w:tcBorders>
              <w:top w:val="single" w:sz="4" w:space="0" w:color="auto"/>
            </w:tcBorders>
            <w:vAlign w:val="bottom"/>
          </w:tcPr>
          <w:p w:rsidR="00000000" w:rsidRDefault="00457650">
            <w:pPr>
              <w:widowControl/>
              <w:tabs>
                <w:tab w:val="left" w:pos="630"/>
              </w:tabs>
              <w:spacing w:after="40" w:line="320" w:lineRule="exact"/>
              <w:ind w:left="50"/>
              <w:jc w:val="center"/>
              <w:rPr>
                <w:bCs/>
                <w:sz w:val="18"/>
              </w:rPr>
            </w:pPr>
            <w:r>
              <w:rPr>
                <w:bCs/>
                <w:sz w:val="18"/>
              </w:rPr>
              <w:t>100.0</w:t>
            </w:r>
          </w:p>
        </w:tc>
        <w:tc>
          <w:tcPr>
            <w:tcW w:w="256" w:type="pct"/>
            <w:tcBorders>
              <w:top w:val="single" w:sz="4" w:space="0" w:color="auto"/>
            </w:tcBorders>
            <w:vAlign w:val="bottom"/>
          </w:tcPr>
          <w:p w:rsidR="00000000" w:rsidRDefault="00457650">
            <w:pPr>
              <w:widowControl/>
              <w:tabs>
                <w:tab w:val="left" w:pos="630"/>
              </w:tabs>
              <w:spacing w:after="40" w:line="320" w:lineRule="exact"/>
              <w:ind w:left="50"/>
              <w:jc w:val="center"/>
              <w:rPr>
                <w:bCs/>
                <w:sz w:val="18"/>
              </w:rPr>
            </w:pPr>
            <w:r>
              <w:rPr>
                <w:bCs/>
                <w:sz w:val="18"/>
              </w:rPr>
              <w:t>100.0</w:t>
            </w:r>
          </w:p>
        </w:tc>
        <w:tc>
          <w:tcPr>
            <w:tcW w:w="255" w:type="pct"/>
            <w:tcBorders>
              <w:top w:val="single" w:sz="4" w:space="0" w:color="auto"/>
            </w:tcBorders>
            <w:vAlign w:val="bottom"/>
          </w:tcPr>
          <w:p w:rsidR="00000000" w:rsidRDefault="00457650">
            <w:pPr>
              <w:widowControl/>
              <w:tabs>
                <w:tab w:val="left" w:pos="630"/>
              </w:tabs>
              <w:spacing w:after="40" w:line="320" w:lineRule="exact"/>
              <w:ind w:left="50"/>
              <w:jc w:val="center"/>
              <w:rPr>
                <w:bCs/>
                <w:sz w:val="18"/>
              </w:rPr>
            </w:pPr>
            <w:r>
              <w:rPr>
                <w:bCs/>
                <w:sz w:val="18"/>
              </w:rPr>
              <w:t>100.0</w:t>
            </w:r>
          </w:p>
        </w:tc>
        <w:tc>
          <w:tcPr>
            <w:tcW w:w="256" w:type="pct"/>
            <w:tcBorders>
              <w:top w:val="single" w:sz="4" w:space="0" w:color="auto"/>
            </w:tcBorders>
            <w:vAlign w:val="bottom"/>
          </w:tcPr>
          <w:p w:rsidR="00000000" w:rsidRDefault="00457650">
            <w:pPr>
              <w:widowControl/>
              <w:tabs>
                <w:tab w:val="left" w:pos="630"/>
              </w:tabs>
              <w:spacing w:after="40" w:line="320" w:lineRule="exact"/>
              <w:ind w:left="50"/>
              <w:jc w:val="center"/>
              <w:rPr>
                <w:bCs/>
                <w:sz w:val="18"/>
              </w:rPr>
            </w:pPr>
            <w:r>
              <w:rPr>
                <w:bCs/>
                <w:sz w:val="18"/>
              </w:rPr>
              <w:t>100.0</w:t>
            </w:r>
          </w:p>
        </w:tc>
        <w:tc>
          <w:tcPr>
            <w:tcW w:w="256" w:type="pct"/>
            <w:tcBorders>
              <w:top w:val="single" w:sz="4" w:space="0" w:color="auto"/>
            </w:tcBorders>
            <w:vAlign w:val="bottom"/>
          </w:tcPr>
          <w:p w:rsidR="00000000" w:rsidRDefault="00457650">
            <w:pPr>
              <w:widowControl/>
              <w:tabs>
                <w:tab w:val="left" w:pos="630"/>
              </w:tabs>
              <w:spacing w:after="40" w:line="320" w:lineRule="exact"/>
              <w:ind w:left="50"/>
              <w:jc w:val="center"/>
              <w:rPr>
                <w:bCs/>
                <w:sz w:val="18"/>
              </w:rPr>
            </w:pPr>
            <w:r>
              <w:rPr>
                <w:bCs/>
                <w:sz w:val="18"/>
              </w:rPr>
              <w:t>100.0</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心脏病</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12.5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13.2</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13.6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14.0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14.5</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14.8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15.0</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15.4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15.4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15.6</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15.7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15.9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16.2</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恶性肿瘤</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9.7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10.2</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10.7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10.8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11.1</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11.2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11.4</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11.6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11.8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12.1</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12.6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12.7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12.7</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糖尿病</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6.1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6.6</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6.9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7.1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7.2</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7.7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8.0</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8.2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9.4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10.3</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10.7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11.</w:t>
            </w:r>
            <w:r>
              <w:rPr>
                <w:sz w:val="18"/>
              </w:rPr>
              <w:t>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11.9</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意外事故</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9.3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9.5</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9.3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8.9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8.9</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8.3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8.0</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8.1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8.0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8.0</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8.1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8.0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7.8</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vertAlign w:val="superscript"/>
              </w:rPr>
            </w:pPr>
            <w:r>
              <w:rPr>
                <w:rFonts w:hint="eastAsia"/>
                <w:sz w:val="18"/>
              </w:rPr>
              <w:t>肝脏疾病</w:t>
            </w:r>
            <w:r>
              <w:rPr>
                <w:rFonts w:hint="eastAsia"/>
                <w:sz w:val="18"/>
                <w:vertAlign w:val="superscript"/>
              </w:rPr>
              <w:t>a</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4.5</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5.0</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5.0</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6.1</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6.3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6.2</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脑血管疾病</w:t>
            </w:r>
            <w:r>
              <w:rPr>
                <w:rFonts w:hint="eastAsia"/>
                <w:sz w:val="18"/>
                <w:vertAlign w:val="superscript"/>
              </w:rPr>
              <w:t>b</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5.1</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5.4</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5.6</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5.8</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5.8</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围产期疾病</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5.4</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4.9</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4.5</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4.3</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4.0</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慢性梗阻性肺病</w:t>
            </w:r>
            <w:r>
              <w:rPr>
                <w:rFonts w:hint="eastAsia"/>
                <w:sz w:val="18"/>
                <w:vertAlign w:val="superscript"/>
              </w:rPr>
              <w:t>c</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NA</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NA</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NA</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NA</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NA</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NA</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NA</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NA</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NA</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2.5</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2.6</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流行性感冒和肺炎</w:t>
            </w:r>
            <w:r>
              <w:rPr>
                <w:rFonts w:hint="eastAsia"/>
                <w:sz w:val="18"/>
                <w:vertAlign w:val="superscript"/>
              </w:rPr>
              <w:t>d</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4.7</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4.6</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4.7</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3.2</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2.5</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故意伤害（杀人）</w:t>
            </w:r>
            <w:r>
              <w:rPr>
                <w:rFonts w:hint="eastAsia"/>
                <w:sz w:val="18"/>
                <w:vertAlign w:val="superscript"/>
              </w:rPr>
              <w:t>e</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3.7</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3.8</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3.3</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2.8</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2.2</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传染性肠道疾病</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4.6</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2.4</w:t>
            </w:r>
          </w:p>
        </w:tc>
        <w:tc>
          <w:tcPr>
            <w:tcW w:w="255" w:type="pct"/>
            <w:vAlign w:val="bottom"/>
          </w:tcPr>
          <w:p w:rsidR="00000000" w:rsidRDefault="00457650">
            <w:pPr>
              <w:widowControl/>
              <w:tabs>
                <w:tab w:val="left" w:pos="630"/>
              </w:tabs>
              <w:spacing w:after="40" w:line="320" w:lineRule="exact"/>
              <w:ind w:left="50"/>
              <w:jc w:val="center"/>
              <w:rPr>
                <w:sz w:val="18"/>
              </w:rPr>
            </w:pPr>
            <w:hyperlink r:id="rId31" w:history="1">
              <w:r>
                <w:rPr>
                  <w:sz w:val="18"/>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32" w:history="1">
              <w:r>
                <w:rPr>
                  <w:sz w:val="18"/>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33" w:history="1">
              <w:r>
                <w:rPr>
                  <w:sz w:val="18"/>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34" w:history="1">
              <w:r>
                <w:rPr>
                  <w:sz w:val="18"/>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35" w:history="1">
              <w:r>
                <w:rPr>
                  <w:sz w:val="18"/>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36" w:history="1">
              <w:r>
                <w:rPr>
                  <w:sz w:val="18"/>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37" w:history="1">
              <w:r>
                <w:rPr>
                  <w:sz w:val="18"/>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38" w:history="1">
              <w:r>
                <w:rPr>
                  <w:rStyle w:val="FollowedHyperlink"/>
                  <w:color w:val="000000"/>
                  <w:sz w:val="18"/>
                  <w:szCs w:val="21"/>
                  <w:u w:val="none"/>
                </w:rPr>
                <w:t>NA</w:t>
              </w:r>
            </w:hyperlink>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营养不良</w:t>
            </w:r>
            <w:r>
              <w:rPr>
                <w:rFonts w:hint="eastAsia"/>
                <w:sz w:val="18"/>
              </w:rPr>
              <w:t>和其他营养缺乏</w:t>
            </w:r>
            <w:r>
              <w:rPr>
                <w:rFonts w:hint="eastAsia"/>
                <w:sz w:val="18"/>
                <w:vertAlign w:val="superscript"/>
              </w:rPr>
              <w:t>f</w:t>
            </w:r>
          </w:p>
        </w:tc>
        <w:tc>
          <w:tcPr>
            <w:tcW w:w="255" w:type="pct"/>
            <w:vAlign w:val="bottom"/>
          </w:tcPr>
          <w:p w:rsidR="00000000" w:rsidRDefault="00457650">
            <w:pPr>
              <w:widowControl/>
              <w:tabs>
                <w:tab w:val="left" w:pos="630"/>
              </w:tabs>
              <w:spacing w:after="40" w:line="320" w:lineRule="exact"/>
              <w:ind w:left="50"/>
              <w:jc w:val="center"/>
              <w:rPr>
                <w:sz w:val="18"/>
              </w:rPr>
            </w:pPr>
            <w:hyperlink r:id="rId39" w:history="1">
              <w:r>
                <w:rPr>
                  <w:sz w:val="18"/>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40" w:history="1">
              <w:r>
                <w:rPr>
                  <w:sz w:val="18"/>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41" w:history="1">
              <w:r>
                <w:rPr>
                  <w:sz w:val="18"/>
                </w:rPr>
                <w:t>N</w:t>
              </w:r>
              <w:r>
                <w:rPr>
                  <w:sz w:val="18"/>
                </w:rPr>
                <w:t>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42" w:history="1">
              <w:r>
                <w:rPr>
                  <w:sz w:val="18"/>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43" w:history="1">
              <w:r>
                <w:rPr>
                  <w:sz w:val="18"/>
                </w:rPr>
                <w:t>NA</w:t>
              </w:r>
            </w:hyperlink>
          </w:p>
        </w:tc>
        <w:tc>
          <w:tcPr>
            <w:tcW w:w="255" w:type="pct"/>
            <w:vAlign w:val="bottom"/>
          </w:tcPr>
          <w:p w:rsidR="00000000" w:rsidRDefault="00457650">
            <w:pPr>
              <w:widowControl/>
              <w:tabs>
                <w:tab w:val="left" w:pos="630"/>
              </w:tabs>
              <w:spacing w:after="40" w:line="320" w:lineRule="exact"/>
              <w:ind w:left="50"/>
              <w:jc w:val="center"/>
              <w:rPr>
                <w:sz w:val="18"/>
              </w:rPr>
            </w:pPr>
            <w:r>
              <w:rPr>
                <w:sz w:val="18"/>
              </w:rPr>
              <w:t>2.4</w:t>
            </w:r>
          </w:p>
        </w:tc>
        <w:tc>
          <w:tcPr>
            <w:tcW w:w="256" w:type="pct"/>
            <w:vAlign w:val="bottom"/>
          </w:tcPr>
          <w:p w:rsidR="00000000" w:rsidRDefault="00457650">
            <w:pPr>
              <w:widowControl/>
              <w:tabs>
                <w:tab w:val="left" w:pos="630"/>
              </w:tabs>
              <w:spacing w:after="40" w:line="320" w:lineRule="exact"/>
              <w:ind w:left="50"/>
              <w:jc w:val="center"/>
              <w:rPr>
                <w:sz w:val="18"/>
              </w:rPr>
            </w:pPr>
            <w:hyperlink r:id="rId44" w:history="1">
              <w:r>
                <w:rPr>
                  <w:sz w:val="18"/>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45" w:history="1">
              <w:r>
                <w:rPr>
                  <w:sz w:val="18"/>
                </w:rPr>
                <w:t>NA</w:t>
              </w:r>
            </w:hyperlink>
          </w:p>
        </w:tc>
        <w:tc>
          <w:tcPr>
            <w:tcW w:w="256" w:type="pct"/>
            <w:vAlign w:val="bottom"/>
          </w:tcPr>
          <w:p w:rsidR="00000000" w:rsidRDefault="00457650">
            <w:pPr>
              <w:widowControl/>
              <w:tabs>
                <w:tab w:val="left" w:pos="630"/>
              </w:tabs>
              <w:spacing w:after="40" w:line="320" w:lineRule="exact"/>
              <w:ind w:left="50"/>
              <w:jc w:val="center"/>
              <w:rPr>
                <w:sz w:val="18"/>
              </w:rPr>
            </w:pPr>
            <w:r>
              <w:rPr>
                <w:sz w:val="18"/>
              </w:rPr>
              <w:t>2.4</w:t>
            </w:r>
          </w:p>
        </w:tc>
        <w:tc>
          <w:tcPr>
            <w:tcW w:w="256" w:type="pct"/>
            <w:vAlign w:val="bottom"/>
          </w:tcPr>
          <w:p w:rsidR="00000000" w:rsidRDefault="00457650">
            <w:pPr>
              <w:widowControl/>
              <w:tabs>
                <w:tab w:val="left" w:pos="630"/>
              </w:tabs>
              <w:spacing w:after="40" w:line="320" w:lineRule="exact"/>
              <w:ind w:left="50"/>
              <w:jc w:val="center"/>
              <w:rPr>
                <w:sz w:val="18"/>
              </w:rPr>
            </w:pPr>
            <w:hyperlink r:id="rId46" w:history="1">
              <w:r>
                <w:rPr>
                  <w:sz w:val="18"/>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47"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48"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49" w:history="1">
              <w:r>
                <w:rPr>
                  <w:rStyle w:val="FollowedHyperlink"/>
                  <w:color w:val="000000"/>
                  <w:sz w:val="18"/>
                  <w:szCs w:val="21"/>
                  <w:u w:val="none"/>
                </w:rPr>
                <w:t>NA</w:t>
              </w:r>
            </w:hyperlink>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急性肾炎综合症和急进性肾炎综合症</w:t>
            </w:r>
            <w:r>
              <w:rPr>
                <w:rFonts w:hint="eastAsia"/>
                <w:sz w:val="18"/>
                <w:vertAlign w:val="superscript"/>
              </w:rPr>
              <w:t>g</w:t>
            </w:r>
          </w:p>
        </w:tc>
        <w:tc>
          <w:tcPr>
            <w:tcW w:w="255" w:type="pct"/>
            <w:vAlign w:val="bottom"/>
          </w:tcPr>
          <w:p w:rsidR="00000000" w:rsidRDefault="00457650">
            <w:pPr>
              <w:widowControl/>
              <w:tabs>
                <w:tab w:val="left" w:pos="630"/>
              </w:tabs>
              <w:spacing w:after="40" w:line="320" w:lineRule="exact"/>
              <w:ind w:left="50"/>
              <w:jc w:val="center"/>
              <w:rPr>
                <w:sz w:val="18"/>
              </w:rPr>
            </w:pPr>
            <w:hyperlink r:id="rId50" w:history="1">
              <w:r>
                <w:rPr>
                  <w:sz w:val="18"/>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51" w:history="1">
              <w:r>
                <w:rPr>
                  <w:sz w:val="18"/>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52" w:history="1">
              <w:r>
                <w:rPr>
                  <w:sz w:val="18"/>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53" w:history="1">
              <w:r>
                <w:rPr>
                  <w:sz w:val="18"/>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54"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55"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r>
              <w:rPr>
                <w:sz w:val="18"/>
              </w:rPr>
              <w:t>2.4</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2.3</w:t>
            </w:r>
          </w:p>
        </w:tc>
        <w:tc>
          <w:tcPr>
            <w:tcW w:w="256" w:type="pct"/>
            <w:vAlign w:val="bottom"/>
          </w:tcPr>
          <w:p w:rsidR="00000000" w:rsidRDefault="00457650">
            <w:pPr>
              <w:widowControl/>
              <w:tabs>
                <w:tab w:val="left" w:pos="630"/>
              </w:tabs>
              <w:spacing w:after="40" w:line="320" w:lineRule="exact"/>
              <w:ind w:left="50"/>
              <w:jc w:val="center"/>
              <w:rPr>
                <w:sz w:val="18"/>
              </w:rPr>
            </w:pPr>
            <w:hyperlink r:id="rId56"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r>
              <w:rPr>
                <w:sz w:val="18"/>
              </w:rPr>
              <w:fldChar w:fldCharType="begin"/>
            </w:r>
            <w:r>
              <w:rPr>
                <w:sz w:val="18"/>
              </w:rPr>
              <w:instrText xml:space="preserve"> HYPERLINK "javascrip</w:instrText>
            </w:r>
            <w:r>
              <w:rPr>
                <w:sz w:val="18"/>
              </w:rPr>
              <w:instrText xml:space="preserve">t:void(0);" </w:instrText>
            </w:r>
            <w:r>
              <w:rPr>
                <w:sz w:val="18"/>
              </w:rPr>
              <w:fldChar w:fldCharType="separate"/>
            </w:r>
            <w:r>
              <w:rPr>
                <w:rStyle w:val="FollowedHyperlink"/>
                <w:color w:val="000000"/>
                <w:sz w:val="18"/>
                <w:szCs w:val="21"/>
                <w:u w:val="none"/>
              </w:rPr>
              <w:t>NA</w:t>
            </w:r>
            <w:r>
              <w:rPr>
                <w:sz w:val="18"/>
              </w:rPr>
              <w:fldChar w:fldCharType="end"/>
            </w:r>
          </w:p>
        </w:tc>
        <w:tc>
          <w:tcPr>
            <w:tcW w:w="255" w:type="pct"/>
            <w:vAlign w:val="bottom"/>
          </w:tcPr>
          <w:p w:rsidR="00000000" w:rsidRDefault="00457650">
            <w:pPr>
              <w:widowControl/>
              <w:tabs>
                <w:tab w:val="left" w:pos="630"/>
              </w:tabs>
              <w:spacing w:after="40" w:line="320" w:lineRule="exact"/>
              <w:ind w:left="50"/>
              <w:jc w:val="center"/>
              <w:rPr>
                <w:sz w:val="18"/>
              </w:rPr>
            </w:pPr>
            <w:hyperlink r:id="rId57"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58"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59" w:history="1">
              <w:r>
                <w:rPr>
                  <w:rStyle w:val="FollowedHyperlink"/>
                  <w:color w:val="000000"/>
                  <w:sz w:val="18"/>
                  <w:szCs w:val="21"/>
                  <w:u w:val="none"/>
                </w:rPr>
                <w:t>NA</w:t>
              </w:r>
            </w:hyperlink>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其他原因</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34.1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32.5</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32.2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32.5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32.2</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32.3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32.1</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31.5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30.3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29.3</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28.6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28.5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28.1</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eastAsia="SimHei" w:hint="eastAsia"/>
                <w:sz w:val="18"/>
              </w:rPr>
            </w:pPr>
            <w:r>
              <w:rPr>
                <w:rFonts w:eastAsia="SimHei" w:hint="eastAsia"/>
                <w:sz w:val="18"/>
              </w:rPr>
              <w:t>男</w:t>
            </w:r>
          </w:p>
        </w:tc>
        <w:tc>
          <w:tcPr>
            <w:tcW w:w="255" w:type="pct"/>
            <w:vAlign w:val="bottom"/>
          </w:tcPr>
          <w:p w:rsidR="00000000" w:rsidRDefault="00457650">
            <w:pPr>
              <w:widowControl/>
              <w:tabs>
                <w:tab w:val="left" w:pos="630"/>
              </w:tabs>
              <w:spacing w:after="40" w:line="320" w:lineRule="exact"/>
              <w:ind w:left="50"/>
              <w:jc w:val="center"/>
              <w:rPr>
                <w:b/>
                <w:bCs/>
                <w:sz w:val="18"/>
              </w:rPr>
            </w:pPr>
            <w:r>
              <w:rPr>
                <w:b/>
                <w:bCs/>
                <w:sz w:val="18"/>
              </w:rPr>
              <w:t>100.0</w:t>
            </w:r>
          </w:p>
        </w:tc>
        <w:tc>
          <w:tcPr>
            <w:tcW w:w="256" w:type="pct"/>
            <w:vAlign w:val="bottom"/>
          </w:tcPr>
          <w:p w:rsidR="00000000" w:rsidRDefault="00457650">
            <w:pPr>
              <w:widowControl/>
              <w:tabs>
                <w:tab w:val="left" w:pos="630"/>
              </w:tabs>
              <w:spacing w:after="40" w:line="320" w:lineRule="exact"/>
              <w:ind w:left="50"/>
              <w:jc w:val="center"/>
              <w:rPr>
                <w:b/>
                <w:bCs/>
                <w:sz w:val="18"/>
              </w:rPr>
            </w:pPr>
            <w:r>
              <w:rPr>
                <w:b/>
                <w:bCs/>
                <w:sz w:val="18"/>
              </w:rPr>
              <w:t>100.0</w:t>
            </w:r>
          </w:p>
        </w:tc>
        <w:tc>
          <w:tcPr>
            <w:tcW w:w="255" w:type="pct"/>
            <w:vAlign w:val="bottom"/>
          </w:tcPr>
          <w:p w:rsidR="00000000" w:rsidRDefault="00457650">
            <w:pPr>
              <w:widowControl/>
              <w:tabs>
                <w:tab w:val="left" w:pos="630"/>
              </w:tabs>
              <w:spacing w:after="40" w:line="320" w:lineRule="exact"/>
              <w:ind w:left="50"/>
              <w:jc w:val="center"/>
              <w:rPr>
                <w:b/>
                <w:bCs/>
                <w:sz w:val="18"/>
              </w:rPr>
            </w:pPr>
            <w:r>
              <w:rPr>
                <w:b/>
                <w:bCs/>
                <w:sz w:val="18"/>
              </w:rPr>
              <w:t>100.0</w:t>
            </w:r>
          </w:p>
        </w:tc>
        <w:tc>
          <w:tcPr>
            <w:tcW w:w="256" w:type="pct"/>
            <w:vAlign w:val="bottom"/>
          </w:tcPr>
          <w:p w:rsidR="00000000" w:rsidRDefault="00457650">
            <w:pPr>
              <w:widowControl/>
              <w:tabs>
                <w:tab w:val="left" w:pos="630"/>
              </w:tabs>
              <w:spacing w:after="40" w:line="320" w:lineRule="exact"/>
              <w:ind w:left="50"/>
              <w:jc w:val="center"/>
              <w:rPr>
                <w:b/>
                <w:bCs/>
                <w:sz w:val="18"/>
              </w:rPr>
            </w:pPr>
            <w:r>
              <w:rPr>
                <w:b/>
                <w:bCs/>
                <w:sz w:val="18"/>
              </w:rPr>
              <w:t>100.0</w:t>
            </w:r>
          </w:p>
        </w:tc>
        <w:tc>
          <w:tcPr>
            <w:tcW w:w="256" w:type="pct"/>
            <w:vAlign w:val="bottom"/>
          </w:tcPr>
          <w:p w:rsidR="00000000" w:rsidRDefault="00457650">
            <w:pPr>
              <w:widowControl/>
              <w:tabs>
                <w:tab w:val="left" w:pos="630"/>
              </w:tabs>
              <w:spacing w:after="40" w:line="320" w:lineRule="exact"/>
              <w:ind w:left="50"/>
              <w:jc w:val="center"/>
              <w:rPr>
                <w:b/>
                <w:bCs/>
                <w:sz w:val="18"/>
              </w:rPr>
            </w:pPr>
            <w:r>
              <w:rPr>
                <w:b/>
                <w:bCs/>
                <w:sz w:val="18"/>
              </w:rPr>
              <w:t>100.0</w:t>
            </w:r>
          </w:p>
        </w:tc>
        <w:tc>
          <w:tcPr>
            <w:tcW w:w="255" w:type="pct"/>
            <w:vAlign w:val="bottom"/>
          </w:tcPr>
          <w:p w:rsidR="00000000" w:rsidRDefault="00457650">
            <w:pPr>
              <w:widowControl/>
              <w:tabs>
                <w:tab w:val="left" w:pos="630"/>
              </w:tabs>
              <w:spacing w:after="40" w:line="320" w:lineRule="exact"/>
              <w:ind w:left="50"/>
              <w:jc w:val="center"/>
              <w:rPr>
                <w:b/>
                <w:bCs/>
                <w:sz w:val="18"/>
              </w:rPr>
            </w:pPr>
            <w:r>
              <w:rPr>
                <w:b/>
                <w:bCs/>
                <w:sz w:val="18"/>
              </w:rPr>
              <w:t>100.0</w:t>
            </w:r>
          </w:p>
        </w:tc>
        <w:tc>
          <w:tcPr>
            <w:tcW w:w="256" w:type="pct"/>
            <w:vAlign w:val="bottom"/>
          </w:tcPr>
          <w:p w:rsidR="00000000" w:rsidRDefault="00457650">
            <w:pPr>
              <w:widowControl/>
              <w:tabs>
                <w:tab w:val="left" w:pos="630"/>
              </w:tabs>
              <w:spacing w:after="40" w:line="320" w:lineRule="exact"/>
              <w:ind w:left="50"/>
              <w:jc w:val="center"/>
              <w:rPr>
                <w:b/>
                <w:bCs/>
                <w:sz w:val="18"/>
              </w:rPr>
            </w:pPr>
            <w:r>
              <w:rPr>
                <w:b/>
                <w:bCs/>
                <w:sz w:val="18"/>
              </w:rPr>
              <w:t>100.0</w:t>
            </w:r>
          </w:p>
        </w:tc>
        <w:tc>
          <w:tcPr>
            <w:tcW w:w="255" w:type="pct"/>
            <w:vAlign w:val="bottom"/>
          </w:tcPr>
          <w:p w:rsidR="00000000" w:rsidRDefault="00457650">
            <w:pPr>
              <w:widowControl/>
              <w:tabs>
                <w:tab w:val="left" w:pos="630"/>
              </w:tabs>
              <w:spacing w:after="40" w:line="320" w:lineRule="exact"/>
              <w:ind w:left="50"/>
              <w:jc w:val="center"/>
              <w:rPr>
                <w:b/>
                <w:bCs/>
                <w:sz w:val="18"/>
              </w:rPr>
            </w:pPr>
            <w:r>
              <w:rPr>
                <w:b/>
                <w:bCs/>
                <w:sz w:val="18"/>
              </w:rPr>
              <w:t>100.0</w:t>
            </w:r>
          </w:p>
        </w:tc>
        <w:tc>
          <w:tcPr>
            <w:tcW w:w="256" w:type="pct"/>
            <w:vAlign w:val="bottom"/>
          </w:tcPr>
          <w:p w:rsidR="00000000" w:rsidRDefault="00457650">
            <w:pPr>
              <w:widowControl/>
              <w:tabs>
                <w:tab w:val="left" w:pos="630"/>
              </w:tabs>
              <w:spacing w:after="40" w:line="320" w:lineRule="exact"/>
              <w:ind w:left="50"/>
              <w:jc w:val="center"/>
              <w:rPr>
                <w:b/>
                <w:bCs/>
                <w:sz w:val="18"/>
              </w:rPr>
            </w:pPr>
            <w:r>
              <w:rPr>
                <w:b/>
                <w:bCs/>
                <w:sz w:val="18"/>
              </w:rPr>
              <w:t>100.0</w:t>
            </w:r>
          </w:p>
        </w:tc>
        <w:tc>
          <w:tcPr>
            <w:tcW w:w="256" w:type="pct"/>
            <w:vAlign w:val="bottom"/>
          </w:tcPr>
          <w:p w:rsidR="00000000" w:rsidRDefault="00457650">
            <w:pPr>
              <w:widowControl/>
              <w:tabs>
                <w:tab w:val="left" w:pos="630"/>
              </w:tabs>
              <w:spacing w:after="40" w:line="320" w:lineRule="exact"/>
              <w:ind w:left="50"/>
              <w:jc w:val="center"/>
              <w:rPr>
                <w:b/>
                <w:bCs/>
                <w:sz w:val="18"/>
              </w:rPr>
            </w:pPr>
            <w:r>
              <w:rPr>
                <w:b/>
                <w:bCs/>
                <w:sz w:val="18"/>
              </w:rPr>
              <w:t>100.0</w:t>
            </w:r>
          </w:p>
        </w:tc>
        <w:tc>
          <w:tcPr>
            <w:tcW w:w="255" w:type="pct"/>
            <w:vAlign w:val="bottom"/>
          </w:tcPr>
          <w:p w:rsidR="00000000" w:rsidRDefault="00457650">
            <w:pPr>
              <w:widowControl/>
              <w:tabs>
                <w:tab w:val="left" w:pos="630"/>
              </w:tabs>
              <w:spacing w:after="40" w:line="320" w:lineRule="exact"/>
              <w:ind w:left="50"/>
              <w:jc w:val="center"/>
              <w:rPr>
                <w:b/>
                <w:bCs/>
                <w:sz w:val="18"/>
              </w:rPr>
            </w:pPr>
            <w:r>
              <w:rPr>
                <w:b/>
                <w:bCs/>
                <w:sz w:val="18"/>
              </w:rPr>
              <w:t>100.0</w:t>
            </w:r>
          </w:p>
        </w:tc>
        <w:tc>
          <w:tcPr>
            <w:tcW w:w="256" w:type="pct"/>
            <w:vAlign w:val="bottom"/>
          </w:tcPr>
          <w:p w:rsidR="00000000" w:rsidRDefault="00457650">
            <w:pPr>
              <w:widowControl/>
              <w:tabs>
                <w:tab w:val="left" w:pos="630"/>
              </w:tabs>
              <w:spacing w:after="40" w:line="320" w:lineRule="exact"/>
              <w:ind w:left="50"/>
              <w:jc w:val="center"/>
              <w:rPr>
                <w:b/>
                <w:bCs/>
                <w:sz w:val="18"/>
              </w:rPr>
            </w:pPr>
            <w:r>
              <w:rPr>
                <w:b/>
                <w:bCs/>
                <w:sz w:val="18"/>
              </w:rPr>
              <w:t>100.0</w:t>
            </w:r>
          </w:p>
        </w:tc>
        <w:tc>
          <w:tcPr>
            <w:tcW w:w="256" w:type="pct"/>
            <w:vAlign w:val="bottom"/>
          </w:tcPr>
          <w:p w:rsidR="00000000" w:rsidRDefault="00457650">
            <w:pPr>
              <w:widowControl/>
              <w:tabs>
                <w:tab w:val="left" w:pos="630"/>
              </w:tabs>
              <w:spacing w:after="40" w:line="320" w:lineRule="exact"/>
              <w:ind w:left="50"/>
              <w:jc w:val="center"/>
              <w:rPr>
                <w:b/>
                <w:bCs/>
                <w:sz w:val="18"/>
              </w:rPr>
            </w:pPr>
            <w:r>
              <w:rPr>
                <w:b/>
                <w:bCs/>
                <w:sz w:val="18"/>
              </w:rPr>
              <w:t>100.0</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心脏病</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11.1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11.7</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12.1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12.5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12.8</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13.2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13.5</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13.9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13.9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14.1</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14.1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14.6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14.9</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恶性肿瘤</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8.1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8.5</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8.8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9.0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9.3</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9.5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9.6</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9</w:t>
            </w:r>
            <w:r>
              <w:rPr>
                <w:sz w:val="18"/>
              </w:rPr>
              <w:t>.9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10.1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10.4</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10.8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11.0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11.2</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意外事故</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12.7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12.9</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12.8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12.2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12.2</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11.3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11.2</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11.2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11.0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11.1</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11.2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11.0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10.6</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糖尿病</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5.1</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5.6</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6.1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6.3</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6.4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7.5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8.2</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8.5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9.1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9.9</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肝脏疾病</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6.3</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6.4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6.8</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6.7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6.7</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7.0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8.2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8.2</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8.5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8.5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8.3</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vertAlign w:val="superscript"/>
              </w:rPr>
            </w:pPr>
            <w:r>
              <w:rPr>
                <w:rFonts w:hint="eastAsia"/>
                <w:sz w:val="18"/>
              </w:rPr>
              <w:t>脑血管疾病</w:t>
            </w:r>
            <w:r>
              <w:rPr>
                <w:rFonts w:hint="eastAsia"/>
                <w:sz w:val="18"/>
                <w:vertAlign w:val="superscript"/>
              </w:rPr>
              <w:t>b</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4.2</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4.4</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4.6</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w:t>
            </w:r>
            <w:r>
              <w:rPr>
                <w:sz w:val="18"/>
              </w:rPr>
              <w:t>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4.9</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4.9</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围产期疾病</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5.6</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5.1</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4.8</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4.5</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4.2</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故意伤害（杀人）</w:t>
            </w:r>
            <w:r>
              <w:rPr>
                <w:rFonts w:hint="eastAsia"/>
                <w:sz w:val="18"/>
                <w:vertAlign w:val="superscript"/>
              </w:rPr>
              <w:t>e</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5.8</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6.4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6.0</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5.3</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4.4</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3.4</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慢性梗阻性肺病</w:t>
            </w:r>
            <w:r>
              <w:rPr>
                <w:rFonts w:hint="eastAsia"/>
                <w:sz w:val="18"/>
                <w:vertAlign w:val="superscript"/>
              </w:rPr>
              <w:t>c</w:t>
            </w:r>
          </w:p>
        </w:tc>
        <w:tc>
          <w:tcPr>
            <w:tcW w:w="255" w:type="pct"/>
            <w:vAlign w:val="bottom"/>
          </w:tcPr>
          <w:p w:rsidR="00000000" w:rsidRDefault="00457650">
            <w:pPr>
              <w:widowControl/>
              <w:tabs>
                <w:tab w:val="left" w:pos="630"/>
              </w:tabs>
              <w:spacing w:after="40" w:line="320" w:lineRule="exact"/>
              <w:ind w:left="50"/>
              <w:jc w:val="center"/>
              <w:rPr>
                <w:sz w:val="18"/>
              </w:rPr>
            </w:pPr>
            <w:hyperlink r:id="rId60"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61"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62"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63"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64"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65"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66"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67"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r>
              <w:rPr>
                <w:sz w:val="18"/>
              </w:rPr>
              <w:t>2.3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2.6</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2.6</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流行性感冒和肺炎</w:t>
            </w:r>
            <w:r>
              <w:rPr>
                <w:rFonts w:hint="eastAsia"/>
                <w:sz w:val="18"/>
                <w:vertAlign w:val="superscript"/>
              </w:rPr>
              <w:t>d</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4.4</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4.4</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4.5</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3.0</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2.4</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传染性肠道疾病</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4.2</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2.2</w:t>
            </w:r>
          </w:p>
        </w:tc>
        <w:tc>
          <w:tcPr>
            <w:tcW w:w="255" w:type="pct"/>
            <w:vAlign w:val="bottom"/>
          </w:tcPr>
          <w:p w:rsidR="00000000" w:rsidRDefault="00457650">
            <w:pPr>
              <w:widowControl/>
              <w:tabs>
                <w:tab w:val="left" w:pos="630"/>
              </w:tabs>
              <w:spacing w:after="40" w:line="320" w:lineRule="exact"/>
              <w:ind w:left="50"/>
              <w:jc w:val="center"/>
              <w:rPr>
                <w:sz w:val="18"/>
              </w:rPr>
            </w:pPr>
            <w:hyperlink r:id="rId68"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69"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70"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71"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72"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73"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74"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75" w:history="1">
              <w:r>
                <w:rPr>
                  <w:rStyle w:val="FollowedHyperlink"/>
                  <w:color w:val="000000"/>
                  <w:sz w:val="18"/>
                  <w:szCs w:val="21"/>
                  <w:u w:val="none"/>
                </w:rPr>
                <w:t>NA</w:t>
              </w:r>
            </w:hyperlink>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先天畸形，缺陷和染色体异常</w:t>
            </w:r>
            <w:r>
              <w:rPr>
                <w:rFonts w:hint="eastAsia"/>
                <w:sz w:val="18"/>
                <w:vertAlign w:val="superscript"/>
              </w:rPr>
              <w:t>h</w:t>
            </w:r>
          </w:p>
        </w:tc>
        <w:tc>
          <w:tcPr>
            <w:tcW w:w="255" w:type="pct"/>
            <w:vAlign w:val="bottom"/>
          </w:tcPr>
          <w:p w:rsidR="00000000" w:rsidRDefault="00457650">
            <w:pPr>
              <w:widowControl/>
              <w:tabs>
                <w:tab w:val="left" w:pos="630"/>
              </w:tabs>
              <w:spacing w:after="40" w:line="320" w:lineRule="exact"/>
              <w:ind w:left="50"/>
              <w:jc w:val="center"/>
              <w:rPr>
                <w:sz w:val="18"/>
              </w:rPr>
            </w:pPr>
            <w:hyperlink r:id="rId76"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r>
              <w:rPr>
                <w:sz w:val="18"/>
              </w:rPr>
              <w:fldChar w:fldCharType="begin"/>
            </w:r>
            <w:r>
              <w:rPr>
                <w:sz w:val="18"/>
              </w:rPr>
              <w:instrText xml:space="preserve"> HYPERLINK "javascript:void(0);" </w:instrText>
            </w:r>
            <w:r>
              <w:rPr>
                <w:sz w:val="18"/>
              </w:rPr>
              <w:fldChar w:fldCharType="separate"/>
            </w:r>
            <w:r>
              <w:rPr>
                <w:rStyle w:val="FollowedHyperlink"/>
                <w:color w:val="000000"/>
                <w:sz w:val="18"/>
                <w:szCs w:val="21"/>
                <w:u w:val="none"/>
              </w:rPr>
              <w:t>NA</w:t>
            </w:r>
            <w:r>
              <w:rPr>
                <w:sz w:val="18"/>
              </w:rPr>
              <w:fldChar w:fldCharType="end"/>
            </w:r>
          </w:p>
        </w:tc>
        <w:tc>
          <w:tcPr>
            <w:tcW w:w="255" w:type="pct"/>
            <w:vAlign w:val="bottom"/>
          </w:tcPr>
          <w:p w:rsidR="00000000" w:rsidRDefault="00457650">
            <w:pPr>
              <w:widowControl/>
              <w:tabs>
                <w:tab w:val="left" w:pos="630"/>
              </w:tabs>
              <w:spacing w:after="40" w:line="320" w:lineRule="exact"/>
              <w:ind w:left="50"/>
              <w:jc w:val="center"/>
              <w:rPr>
                <w:sz w:val="18"/>
              </w:rPr>
            </w:pPr>
            <w:hyperlink r:id="rId77"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78"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79"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r>
              <w:rPr>
                <w:sz w:val="18"/>
              </w:rPr>
              <w:t>2.1</w:t>
            </w:r>
          </w:p>
        </w:tc>
        <w:tc>
          <w:tcPr>
            <w:tcW w:w="256" w:type="pct"/>
            <w:vAlign w:val="bottom"/>
          </w:tcPr>
          <w:p w:rsidR="00000000" w:rsidRDefault="00457650">
            <w:pPr>
              <w:widowControl/>
              <w:tabs>
                <w:tab w:val="left" w:pos="630"/>
              </w:tabs>
              <w:spacing w:after="40" w:line="320" w:lineRule="exact"/>
              <w:ind w:left="50"/>
              <w:jc w:val="center"/>
              <w:rPr>
                <w:sz w:val="18"/>
              </w:rPr>
            </w:pPr>
            <w:hyperlink r:id="rId80"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81"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82"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83"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84"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85"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86" w:history="1">
              <w:r>
                <w:rPr>
                  <w:rStyle w:val="FollowedHyperlink"/>
                  <w:color w:val="000000"/>
                  <w:sz w:val="18"/>
                  <w:szCs w:val="21"/>
                  <w:u w:val="none"/>
                </w:rPr>
                <w:t>NA</w:t>
              </w:r>
            </w:hyperlink>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vertAlign w:val="superscript"/>
              </w:rPr>
            </w:pPr>
            <w:r>
              <w:rPr>
                <w:rFonts w:hint="eastAsia"/>
                <w:sz w:val="18"/>
              </w:rPr>
              <w:t>急性肾炎综合症和急进性肾炎综合症</w:t>
            </w:r>
            <w:r>
              <w:rPr>
                <w:rFonts w:hint="eastAsia"/>
                <w:sz w:val="18"/>
                <w:vertAlign w:val="superscript"/>
              </w:rPr>
              <w:t>g</w:t>
            </w:r>
          </w:p>
        </w:tc>
        <w:tc>
          <w:tcPr>
            <w:tcW w:w="255" w:type="pct"/>
            <w:vAlign w:val="bottom"/>
          </w:tcPr>
          <w:p w:rsidR="00000000" w:rsidRDefault="00457650">
            <w:pPr>
              <w:widowControl/>
              <w:tabs>
                <w:tab w:val="left" w:pos="630"/>
              </w:tabs>
              <w:spacing w:after="40" w:line="320" w:lineRule="exact"/>
              <w:ind w:left="50"/>
              <w:jc w:val="center"/>
              <w:rPr>
                <w:sz w:val="18"/>
              </w:rPr>
            </w:pPr>
            <w:hyperlink r:id="rId87"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88"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89"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90"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91"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92"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r>
              <w:rPr>
                <w:sz w:val="18"/>
              </w:rPr>
              <w:t>2.1</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2.1</w:t>
            </w:r>
          </w:p>
        </w:tc>
        <w:tc>
          <w:tcPr>
            <w:tcW w:w="256" w:type="pct"/>
            <w:vAlign w:val="bottom"/>
          </w:tcPr>
          <w:p w:rsidR="00000000" w:rsidRDefault="00457650">
            <w:pPr>
              <w:widowControl/>
              <w:tabs>
                <w:tab w:val="left" w:pos="630"/>
              </w:tabs>
              <w:spacing w:after="40" w:line="320" w:lineRule="exact"/>
              <w:ind w:left="50"/>
              <w:jc w:val="center"/>
              <w:rPr>
                <w:sz w:val="18"/>
              </w:rPr>
            </w:pPr>
            <w:hyperlink r:id="rId93"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94"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95"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96"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97" w:history="1">
              <w:r>
                <w:rPr>
                  <w:rStyle w:val="FollowedHyperlink"/>
                  <w:color w:val="000000"/>
                  <w:sz w:val="18"/>
                  <w:szCs w:val="21"/>
                  <w:u w:val="none"/>
                </w:rPr>
                <w:t>NA</w:t>
              </w:r>
            </w:hyperlink>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其他原因</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32.8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31.3</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30.8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31.4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31.2</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31.4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31.4</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30.9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29.6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28.6</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w:t>
            </w:r>
            <w:r>
              <w:rPr>
                <w:sz w:val="18"/>
              </w:rPr>
              <w:t>8.3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27.9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27.6</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eastAsia="SimHei" w:hint="eastAsia"/>
                <w:sz w:val="18"/>
              </w:rPr>
              <w:t>女</w:t>
            </w:r>
          </w:p>
        </w:tc>
        <w:tc>
          <w:tcPr>
            <w:tcW w:w="255" w:type="pct"/>
            <w:vAlign w:val="bottom"/>
          </w:tcPr>
          <w:p w:rsidR="00000000" w:rsidRDefault="00457650">
            <w:pPr>
              <w:widowControl/>
              <w:tabs>
                <w:tab w:val="left" w:pos="630"/>
              </w:tabs>
              <w:spacing w:after="40" w:line="320" w:lineRule="exact"/>
              <w:ind w:left="50"/>
              <w:jc w:val="center"/>
              <w:rPr>
                <w:b/>
                <w:sz w:val="18"/>
              </w:rPr>
            </w:pPr>
            <w:r>
              <w:rPr>
                <w:b/>
                <w:sz w:val="18"/>
              </w:rPr>
              <w:t>100.0</w:t>
            </w:r>
          </w:p>
        </w:tc>
        <w:tc>
          <w:tcPr>
            <w:tcW w:w="256" w:type="pct"/>
            <w:vAlign w:val="bottom"/>
          </w:tcPr>
          <w:p w:rsidR="00000000" w:rsidRDefault="00457650">
            <w:pPr>
              <w:widowControl/>
              <w:tabs>
                <w:tab w:val="left" w:pos="630"/>
              </w:tabs>
              <w:spacing w:after="40" w:line="320" w:lineRule="exact"/>
              <w:ind w:left="50"/>
              <w:jc w:val="center"/>
              <w:rPr>
                <w:b/>
                <w:sz w:val="18"/>
              </w:rPr>
            </w:pPr>
            <w:r>
              <w:rPr>
                <w:b/>
                <w:sz w:val="18"/>
              </w:rPr>
              <w:t>100.0</w:t>
            </w:r>
          </w:p>
        </w:tc>
        <w:tc>
          <w:tcPr>
            <w:tcW w:w="255" w:type="pct"/>
            <w:vAlign w:val="bottom"/>
          </w:tcPr>
          <w:p w:rsidR="00000000" w:rsidRDefault="00457650">
            <w:pPr>
              <w:widowControl/>
              <w:tabs>
                <w:tab w:val="left" w:pos="630"/>
              </w:tabs>
              <w:spacing w:after="40" w:line="320" w:lineRule="exact"/>
              <w:ind w:left="50"/>
              <w:jc w:val="center"/>
              <w:rPr>
                <w:b/>
                <w:sz w:val="18"/>
              </w:rPr>
            </w:pPr>
            <w:r>
              <w:rPr>
                <w:b/>
                <w:sz w:val="18"/>
              </w:rPr>
              <w:t>100.0</w:t>
            </w:r>
          </w:p>
        </w:tc>
        <w:tc>
          <w:tcPr>
            <w:tcW w:w="256" w:type="pct"/>
            <w:vAlign w:val="bottom"/>
          </w:tcPr>
          <w:p w:rsidR="00000000" w:rsidRDefault="00457650">
            <w:pPr>
              <w:widowControl/>
              <w:tabs>
                <w:tab w:val="left" w:pos="630"/>
              </w:tabs>
              <w:spacing w:after="40" w:line="320" w:lineRule="exact"/>
              <w:ind w:left="50"/>
              <w:jc w:val="center"/>
              <w:rPr>
                <w:b/>
                <w:sz w:val="18"/>
              </w:rPr>
            </w:pPr>
            <w:r>
              <w:rPr>
                <w:b/>
                <w:sz w:val="18"/>
              </w:rPr>
              <w:t>100.0</w:t>
            </w:r>
          </w:p>
        </w:tc>
        <w:tc>
          <w:tcPr>
            <w:tcW w:w="256" w:type="pct"/>
            <w:vAlign w:val="bottom"/>
          </w:tcPr>
          <w:p w:rsidR="00000000" w:rsidRDefault="00457650">
            <w:pPr>
              <w:widowControl/>
              <w:tabs>
                <w:tab w:val="left" w:pos="630"/>
              </w:tabs>
              <w:spacing w:after="40" w:line="320" w:lineRule="exact"/>
              <w:ind w:left="50"/>
              <w:jc w:val="center"/>
              <w:rPr>
                <w:b/>
                <w:sz w:val="18"/>
              </w:rPr>
            </w:pPr>
            <w:r>
              <w:rPr>
                <w:b/>
                <w:sz w:val="18"/>
              </w:rPr>
              <w:t>100.0</w:t>
            </w:r>
          </w:p>
        </w:tc>
        <w:tc>
          <w:tcPr>
            <w:tcW w:w="255" w:type="pct"/>
            <w:vAlign w:val="bottom"/>
          </w:tcPr>
          <w:p w:rsidR="00000000" w:rsidRDefault="00457650">
            <w:pPr>
              <w:widowControl/>
              <w:tabs>
                <w:tab w:val="left" w:pos="630"/>
              </w:tabs>
              <w:spacing w:after="40" w:line="320" w:lineRule="exact"/>
              <w:ind w:left="50"/>
              <w:jc w:val="center"/>
              <w:rPr>
                <w:b/>
                <w:sz w:val="18"/>
              </w:rPr>
            </w:pPr>
            <w:r>
              <w:rPr>
                <w:b/>
                <w:sz w:val="18"/>
              </w:rPr>
              <w:t>100.0</w:t>
            </w:r>
          </w:p>
        </w:tc>
        <w:tc>
          <w:tcPr>
            <w:tcW w:w="256" w:type="pct"/>
            <w:vAlign w:val="bottom"/>
          </w:tcPr>
          <w:p w:rsidR="00000000" w:rsidRDefault="00457650">
            <w:pPr>
              <w:widowControl/>
              <w:tabs>
                <w:tab w:val="left" w:pos="630"/>
              </w:tabs>
              <w:spacing w:after="40" w:line="320" w:lineRule="exact"/>
              <w:ind w:left="50"/>
              <w:jc w:val="center"/>
              <w:rPr>
                <w:b/>
                <w:sz w:val="18"/>
              </w:rPr>
            </w:pPr>
            <w:r>
              <w:rPr>
                <w:b/>
                <w:sz w:val="18"/>
              </w:rPr>
              <w:t>100.0</w:t>
            </w:r>
          </w:p>
        </w:tc>
        <w:tc>
          <w:tcPr>
            <w:tcW w:w="255" w:type="pct"/>
            <w:vAlign w:val="bottom"/>
          </w:tcPr>
          <w:p w:rsidR="00000000" w:rsidRDefault="00457650">
            <w:pPr>
              <w:widowControl/>
              <w:tabs>
                <w:tab w:val="left" w:pos="630"/>
              </w:tabs>
              <w:spacing w:after="40" w:line="320" w:lineRule="exact"/>
              <w:ind w:left="50"/>
              <w:jc w:val="center"/>
              <w:rPr>
                <w:b/>
                <w:sz w:val="18"/>
              </w:rPr>
            </w:pPr>
            <w:r>
              <w:rPr>
                <w:b/>
                <w:sz w:val="18"/>
              </w:rPr>
              <w:t>100.0</w:t>
            </w:r>
          </w:p>
        </w:tc>
        <w:tc>
          <w:tcPr>
            <w:tcW w:w="256" w:type="pct"/>
            <w:vAlign w:val="bottom"/>
          </w:tcPr>
          <w:p w:rsidR="00000000" w:rsidRDefault="00457650">
            <w:pPr>
              <w:widowControl/>
              <w:tabs>
                <w:tab w:val="left" w:pos="630"/>
              </w:tabs>
              <w:spacing w:after="40" w:line="320" w:lineRule="exact"/>
              <w:ind w:left="50"/>
              <w:jc w:val="center"/>
              <w:rPr>
                <w:b/>
                <w:sz w:val="18"/>
              </w:rPr>
            </w:pPr>
            <w:r>
              <w:rPr>
                <w:b/>
                <w:sz w:val="18"/>
              </w:rPr>
              <w:t>100.0</w:t>
            </w:r>
          </w:p>
        </w:tc>
        <w:tc>
          <w:tcPr>
            <w:tcW w:w="256" w:type="pct"/>
            <w:vAlign w:val="bottom"/>
          </w:tcPr>
          <w:p w:rsidR="00000000" w:rsidRDefault="00457650">
            <w:pPr>
              <w:widowControl/>
              <w:tabs>
                <w:tab w:val="left" w:pos="630"/>
              </w:tabs>
              <w:spacing w:after="40" w:line="320" w:lineRule="exact"/>
              <w:ind w:left="50"/>
              <w:jc w:val="center"/>
              <w:rPr>
                <w:b/>
                <w:sz w:val="18"/>
              </w:rPr>
            </w:pPr>
            <w:r>
              <w:rPr>
                <w:b/>
                <w:sz w:val="18"/>
              </w:rPr>
              <w:t>100.0</w:t>
            </w:r>
          </w:p>
        </w:tc>
        <w:tc>
          <w:tcPr>
            <w:tcW w:w="255" w:type="pct"/>
            <w:vAlign w:val="bottom"/>
          </w:tcPr>
          <w:p w:rsidR="00000000" w:rsidRDefault="00457650">
            <w:pPr>
              <w:widowControl/>
              <w:tabs>
                <w:tab w:val="left" w:pos="630"/>
              </w:tabs>
              <w:spacing w:after="40" w:line="320" w:lineRule="exact"/>
              <w:ind w:left="50"/>
              <w:jc w:val="center"/>
              <w:rPr>
                <w:b/>
                <w:sz w:val="18"/>
              </w:rPr>
            </w:pPr>
            <w:r>
              <w:rPr>
                <w:b/>
                <w:sz w:val="18"/>
              </w:rPr>
              <w:t>100.0</w:t>
            </w:r>
          </w:p>
        </w:tc>
        <w:tc>
          <w:tcPr>
            <w:tcW w:w="256" w:type="pct"/>
            <w:vAlign w:val="bottom"/>
          </w:tcPr>
          <w:p w:rsidR="00000000" w:rsidRDefault="00457650">
            <w:pPr>
              <w:widowControl/>
              <w:tabs>
                <w:tab w:val="left" w:pos="630"/>
              </w:tabs>
              <w:spacing w:after="40" w:line="320" w:lineRule="exact"/>
              <w:ind w:left="50"/>
              <w:jc w:val="center"/>
              <w:rPr>
                <w:b/>
                <w:sz w:val="18"/>
              </w:rPr>
            </w:pPr>
            <w:r>
              <w:rPr>
                <w:b/>
                <w:sz w:val="18"/>
              </w:rPr>
              <w:t>100.0</w:t>
            </w:r>
          </w:p>
        </w:tc>
        <w:tc>
          <w:tcPr>
            <w:tcW w:w="256" w:type="pct"/>
            <w:vAlign w:val="bottom"/>
          </w:tcPr>
          <w:p w:rsidR="00000000" w:rsidRDefault="00457650">
            <w:pPr>
              <w:widowControl/>
              <w:tabs>
                <w:tab w:val="left" w:pos="630"/>
              </w:tabs>
              <w:spacing w:after="40" w:line="320" w:lineRule="exact"/>
              <w:ind w:left="50"/>
              <w:jc w:val="center"/>
              <w:rPr>
                <w:b/>
                <w:sz w:val="18"/>
              </w:rPr>
            </w:pPr>
            <w:r>
              <w:rPr>
                <w:b/>
                <w:sz w:val="18"/>
              </w:rPr>
              <w:t>100.0</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心脏病</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14.4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15.1</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15.6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16.1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16.7</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16.9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17.0</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17.4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17.4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17.5</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17.7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17.6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17.8</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恶性肿瘤</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11.9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12.6</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13.2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13.2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13.4</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13.4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13.8</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13.9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14.1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14.3</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14.8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14.8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14.7</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糖尿病</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8.0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8.6</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9.0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9.3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9.4</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9.9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10.1</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10.4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11.9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12.9</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13.3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14.0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14.6</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vertAlign w:val="superscript"/>
              </w:rPr>
            </w:pPr>
            <w:r>
              <w:rPr>
                <w:rFonts w:hint="eastAsia"/>
                <w:sz w:val="18"/>
              </w:rPr>
              <w:t>脑血管疾病</w:t>
            </w:r>
            <w:r>
              <w:rPr>
                <w:rFonts w:hint="eastAsia"/>
                <w:sz w:val="18"/>
                <w:vertAlign w:val="superscript"/>
              </w:rPr>
              <w:t>b</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6.3</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6.5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6.7</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6.7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6.8</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6.8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7.0</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6.9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7.0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6.9</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意外事故</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5.0</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4.6</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4.0</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4.2</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4.2</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围产期疾病</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5.2</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4.6</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4.2</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4.3</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4.1</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4.2</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3.8</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肝脏疾病</w:t>
            </w:r>
          </w:p>
        </w:tc>
        <w:tc>
          <w:tcPr>
            <w:tcW w:w="255" w:type="pct"/>
            <w:vAlign w:val="bottom"/>
          </w:tcPr>
          <w:p w:rsidR="00000000" w:rsidRDefault="00457650">
            <w:pPr>
              <w:widowControl/>
              <w:tabs>
                <w:tab w:val="left" w:pos="630"/>
              </w:tabs>
              <w:spacing w:after="40" w:line="320" w:lineRule="exact"/>
              <w:ind w:left="50"/>
              <w:jc w:val="center"/>
              <w:rPr>
                <w:sz w:val="18"/>
              </w:rPr>
            </w:pPr>
            <w:hyperlink r:id="rId98"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99"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100"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01"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02"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r>
              <w:rPr>
                <w:sz w:val="18"/>
              </w:rPr>
              <w:t>2.7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2.8</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3.4</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3.5</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流行性感冒和肺炎</w:t>
            </w:r>
            <w:r>
              <w:rPr>
                <w:rFonts w:hint="eastAsia"/>
                <w:sz w:val="18"/>
                <w:vertAlign w:val="superscript"/>
              </w:rPr>
              <w:t>d</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5.1</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4.9</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5.0</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4.8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3.4</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2.9</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2.7</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慢性梗阻性肺病</w:t>
            </w:r>
            <w:r>
              <w:rPr>
                <w:rFonts w:hint="eastAsia"/>
                <w:sz w:val="18"/>
                <w:vertAlign w:val="superscript"/>
              </w:rPr>
              <w:t>c</w:t>
            </w:r>
          </w:p>
        </w:tc>
        <w:tc>
          <w:tcPr>
            <w:tcW w:w="255" w:type="pct"/>
            <w:vAlign w:val="bottom"/>
          </w:tcPr>
          <w:p w:rsidR="00000000" w:rsidRDefault="00457650">
            <w:pPr>
              <w:widowControl/>
              <w:tabs>
                <w:tab w:val="left" w:pos="630"/>
              </w:tabs>
              <w:spacing w:after="40" w:line="320" w:lineRule="exact"/>
              <w:ind w:left="50"/>
              <w:jc w:val="center"/>
              <w:rPr>
                <w:sz w:val="18"/>
              </w:rPr>
            </w:pPr>
            <w:hyperlink r:id="rId103"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04"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105"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06"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07"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108"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09"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110"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11"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r>
              <w:rPr>
                <w:sz w:val="18"/>
              </w:rPr>
              <w:t>2.5</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2.4</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2.6</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营养不良和其他营养缺乏</w:t>
            </w:r>
            <w:r>
              <w:rPr>
                <w:rFonts w:hint="eastAsia"/>
                <w:sz w:val="18"/>
                <w:vertAlign w:val="superscript"/>
              </w:rPr>
              <w:t>f</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3.1</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3.1</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3.0</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2.7</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2.7</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2.6</w:t>
            </w:r>
          </w:p>
        </w:tc>
        <w:tc>
          <w:tcPr>
            <w:tcW w:w="255" w:type="pct"/>
            <w:vAlign w:val="bottom"/>
          </w:tcPr>
          <w:p w:rsidR="00000000" w:rsidRDefault="00457650">
            <w:pPr>
              <w:widowControl/>
              <w:tabs>
                <w:tab w:val="left" w:pos="630"/>
              </w:tabs>
              <w:spacing w:after="40" w:line="320" w:lineRule="exact"/>
              <w:ind w:left="50"/>
              <w:jc w:val="center"/>
              <w:rPr>
                <w:sz w:val="18"/>
              </w:rPr>
            </w:pPr>
            <w:hyperlink r:id="rId112"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13"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r>
              <w:rPr>
                <w:sz w:val="18"/>
              </w:rPr>
              <w:t>2.3</w:t>
            </w:r>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肾虚</w:t>
            </w:r>
          </w:p>
        </w:tc>
        <w:tc>
          <w:tcPr>
            <w:tcW w:w="255" w:type="pct"/>
            <w:vAlign w:val="bottom"/>
          </w:tcPr>
          <w:p w:rsidR="00000000" w:rsidRDefault="00457650">
            <w:pPr>
              <w:widowControl/>
              <w:tabs>
                <w:tab w:val="left" w:pos="630"/>
              </w:tabs>
              <w:spacing w:after="40" w:line="320" w:lineRule="exact"/>
              <w:ind w:left="50"/>
              <w:jc w:val="center"/>
              <w:rPr>
                <w:sz w:val="18"/>
              </w:rPr>
            </w:pPr>
            <w:hyperlink r:id="rId114"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15"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116"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17"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18"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119"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20"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r>
              <w:rPr>
                <w:sz w:val="18"/>
              </w:rPr>
              <w:fldChar w:fldCharType="begin"/>
            </w:r>
            <w:r>
              <w:rPr>
                <w:sz w:val="18"/>
              </w:rPr>
              <w:instrText xml:space="preserve"> HYPERLINK "javascript:void(0);" </w:instrText>
            </w:r>
            <w:r>
              <w:rPr>
                <w:sz w:val="18"/>
              </w:rPr>
              <w:fldChar w:fldCharType="separate"/>
            </w:r>
            <w:r>
              <w:rPr>
                <w:rStyle w:val="FollowedHyperlink"/>
                <w:color w:val="000000"/>
                <w:sz w:val="18"/>
                <w:szCs w:val="21"/>
                <w:u w:val="none"/>
              </w:rPr>
              <w:t>NA</w:t>
            </w:r>
            <w:r>
              <w:rPr>
                <w:sz w:val="18"/>
              </w:rPr>
              <w:fldChar w:fldCharType="end"/>
            </w:r>
          </w:p>
        </w:tc>
        <w:tc>
          <w:tcPr>
            <w:tcW w:w="256" w:type="pct"/>
            <w:vAlign w:val="bottom"/>
          </w:tcPr>
          <w:p w:rsidR="00000000" w:rsidRDefault="00457650">
            <w:pPr>
              <w:widowControl/>
              <w:tabs>
                <w:tab w:val="left" w:pos="630"/>
              </w:tabs>
              <w:spacing w:after="40" w:line="320" w:lineRule="exact"/>
              <w:ind w:left="50"/>
              <w:jc w:val="center"/>
              <w:rPr>
                <w:sz w:val="18"/>
              </w:rPr>
            </w:pPr>
            <w:hyperlink r:id="rId121"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22"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123"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r>
              <w:rPr>
                <w:sz w:val="18"/>
              </w:rPr>
              <w:t>2.3</w:t>
            </w:r>
          </w:p>
        </w:tc>
        <w:tc>
          <w:tcPr>
            <w:tcW w:w="256" w:type="pct"/>
            <w:vAlign w:val="bottom"/>
          </w:tcPr>
          <w:p w:rsidR="00000000" w:rsidRDefault="00457650">
            <w:pPr>
              <w:widowControl/>
              <w:tabs>
                <w:tab w:val="left" w:pos="630"/>
              </w:tabs>
              <w:spacing w:after="40" w:line="320" w:lineRule="exact"/>
              <w:ind w:left="50"/>
              <w:jc w:val="center"/>
              <w:rPr>
                <w:sz w:val="18"/>
              </w:rPr>
            </w:pPr>
            <w:hyperlink r:id="rId124" w:history="1">
              <w:r>
                <w:rPr>
                  <w:rStyle w:val="FollowedHyperlink"/>
                  <w:color w:val="000000"/>
                  <w:sz w:val="18"/>
                  <w:szCs w:val="21"/>
                  <w:u w:val="none"/>
                </w:rPr>
                <w:t>NA</w:t>
              </w:r>
            </w:hyperlink>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传染性肠道疾病</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5.7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5.1</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3.8</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3.5</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2.7</w:t>
            </w:r>
          </w:p>
        </w:tc>
        <w:tc>
          <w:tcPr>
            <w:tcW w:w="255" w:type="pct"/>
            <w:vAlign w:val="bottom"/>
          </w:tcPr>
          <w:p w:rsidR="00000000" w:rsidRDefault="00457650">
            <w:pPr>
              <w:widowControl/>
              <w:tabs>
                <w:tab w:val="left" w:pos="630"/>
              </w:tabs>
              <w:spacing w:after="40" w:line="320" w:lineRule="exact"/>
              <w:ind w:left="50"/>
              <w:jc w:val="center"/>
              <w:rPr>
                <w:sz w:val="18"/>
              </w:rPr>
            </w:pPr>
            <w:hyperlink r:id="rId125"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26"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127"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28"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29"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130"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31"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32" w:history="1">
              <w:r>
                <w:rPr>
                  <w:rStyle w:val="FollowedHyperlink"/>
                  <w:color w:val="000000"/>
                  <w:sz w:val="18"/>
                  <w:szCs w:val="21"/>
                  <w:u w:val="none"/>
                </w:rPr>
                <w:t>NA</w:t>
              </w:r>
            </w:hyperlink>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慢性或不明支气管炎，肺气肿和哮喘</w:t>
            </w:r>
            <w:r>
              <w:rPr>
                <w:rFonts w:hint="eastAsia"/>
                <w:sz w:val="18"/>
                <w:vertAlign w:val="superscript"/>
              </w:rPr>
              <w:t>i</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2.4</w:t>
            </w:r>
          </w:p>
        </w:tc>
        <w:tc>
          <w:tcPr>
            <w:tcW w:w="256" w:type="pct"/>
            <w:vAlign w:val="bottom"/>
          </w:tcPr>
          <w:p w:rsidR="00000000" w:rsidRDefault="00457650">
            <w:pPr>
              <w:widowControl/>
              <w:tabs>
                <w:tab w:val="left" w:pos="630"/>
              </w:tabs>
              <w:spacing w:after="40" w:line="320" w:lineRule="exact"/>
              <w:ind w:left="50"/>
              <w:jc w:val="center"/>
              <w:rPr>
                <w:sz w:val="18"/>
              </w:rPr>
            </w:pPr>
            <w:hyperlink r:id="rId133"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134"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35"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36"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137"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38"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139"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40"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41"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142"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43"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44" w:history="1">
              <w:r>
                <w:rPr>
                  <w:rStyle w:val="FollowedHyperlink"/>
                  <w:color w:val="000000"/>
                  <w:sz w:val="18"/>
                  <w:szCs w:val="21"/>
                  <w:u w:val="none"/>
                </w:rPr>
                <w:t>NA</w:t>
              </w:r>
            </w:hyperlink>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vertAlign w:val="superscript"/>
              </w:rPr>
            </w:pPr>
            <w:r>
              <w:rPr>
                <w:rFonts w:hint="eastAsia"/>
                <w:sz w:val="18"/>
              </w:rPr>
              <w:t>急性肾炎综合症和急进性肾炎综合症</w:t>
            </w:r>
            <w:r>
              <w:rPr>
                <w:rFonts w:hint="eastAsia"/>
                <w:sz w:val="18"/>
                <w:vertAlign w:val="superscript"/>
              </w:rPr>
              <w:t>g</w:t>
            </w:r>
          </w:p>
        </w:tc>
        <w:tc>
          <w:tcPr>
            <w:tcW w:w="255" w:type="pct"/>
            <w:vAlign w:val="bottom"/>
          </w:tcPr>
          <w:p w:rsidR="00000000" w:rsidRDefault="00457650">
            <w:pPr>
              <w:widowControl/>
              <w:tabs>
                <w:tab w:val="left" w:pos="630"/>
              </w:tabs>
              <w:spacing w:after="40" w:line="320" w:lineRule="exact"/>
              <w:ind w:left="50"/>
              <w:jc w:val="center"/>
              <w:rPr>
                <w:sz w:val="18"/>
              </w:rPr>
            </w:pPr>
            <w:hyperlink r:id="rId145"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r>
              <w:rPr>
                <w:sz w:val="18"/>
              </w:rPr>
              <w:t>2.4</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2.6</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2.6</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2.7</w:t>
            </w:r>
          </w:p>
        </w:tc>
        <w:tc>
          <w:tcPr>
            <w:tcW w:w="256" w:type="pct"/>
            <w:vAlign w:val="bottom"/>
          </w:tcPr>
          <w:p w:rsidR="00000000" w:rsidRDefault="00457650">
            <w:pPr>
              <w:widowControl/>
              <w:tabs>
                <w:tab w:val="left" w:pos="630"/>
              </w:tabs>
              <w:spacing w:after="40" w:line="320" w:lineRule="exact"/>
              <w:ind w:left="50"/>
              <w:jc w:val="center"/>
              <w:rPr>
                <w:sz w:val="18"/>
              </w:rPr>
            </w:pPr>
            <w:r>
              <w:rPr>
                <w:sz w:val="18"/>
              </w:rPr>
              <w:t>2.6</w:t>
            </w:r>
          </w:p>
        </w:tc>
        <w:tc>
          <w:tcPr>
            <w:tcW w:w="255" w:type="pct"/>
            <w:vAlign w:val="bottom"/>
          </w:tcPr>
          <w:p w:rsidR="00000000" w:rsidRDefault="00457650">
            <w:pPr>
              <w:widowControl/>
              <w:tabs>
                <w:tab w:val="left" w:pos="630"/>
              </w:tabs>
              <w:spacing w:after="40" w:line="320" w:lineRule="exact"/>
              <w:ind w:left="50"/>
              <w:jc w:val="center"/>
              <w:rPr>
                <w:sz w:val="18"/>
              </w:rPr>
            </w:pPr>
            <w:r>
              <w:rPr>
                <w:sz w:val="18"/>
              </w:rPr>
              <w:t>2.6</w:t>
            </w:r>
          </w:p>
        </w:tc>
        <w:tc>
          <w:tcPr>
            <w:tcW w:w="256" w:type="pct"/>
            <w:vAlign w:val="bottom"/>
          </w:tcPr>
          <w:p w:rsidR="00000000" w:rsidRDefault="00457650">
            <w:pPr>
              <w:widowControl/>
              <w:tabs>
                <w:tab w:val="left" w:pos="630"/>
              </w:tabs>
              <w:spacing w:after="40" w:line="320" w:lineRule="exact"/>
              <w:ind w:left="50"/>
              <w:jc w:val="center"/>
              <w:rPr>
                <w:sz w:val="18"/>
              </w:rPr>
            </w:pPr>
            <w:hyperlink r:id="rId146"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47"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148"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49"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50" w:history="1">
              <w:r>
                <w:rPr>
                  <w:rStyle w:val="FollowedHyperlink"/>
                  <w:color w:val="000000"/>
                  <w:sz w:val="18"/>
                  <w:szCs w:val="21"/>
                  <w:u w:val="none"/>
                </w:rPr>
                <w:t>N</w:t>
              </w:r>
              <w:r>
                <w:rPr>
                  <w:rStyle w:val="FollowedHyperlink"/>
                  <w:color w:val="000000"/>
                  <w:sz w:val="18"/>
                  <w:szCs w:val="21"/>
                  <w:u w:val="none"/>
                </w:rPr>
                <w:t>A</w:t>
              </w:r>
            </w:hyperlink>
          </w:p>
        </w:tc>
      </w:tr>
      <w:tr w:rsidR="00000000">
        <w:tblPrEx>
          <w:tblCellMar>
            <w:top w:w="0" w:type="dxa"/>
            <w:bottom w:w="0" w:type="dxa"/>
          </w:tblCellMar>
        </w:tblPrEx>
        <w:tc>
          <w:tcPr>
            <w:tcW w:w="1675" w:type="pct"/>
          </w:tcPr>
          <w:p w:rsidR="00000000" w:rsidRDefault="00457650" w:rsidP="00457650">
            <w:pPr>
              <w:widowControl/>
              <w:tabs>
                <w:tab w:val="left" w:pos="630"/>
              </w:tabs>
              <w:spacing w:after="40" w:line="320" w:lineRule="exact"/>
              <w:ind w:leftChars="50" w:left="31680"/>
              <w:rPr>
                <w:rFonts w:hint="eastAsia"/>
                <w:sz w:val="18"/>
                <w:vertAlign w:val="superscript"/>
              </w:rPr>
            </w:pPr>
            <w:r>
              <w:rPr>
                <w:rFonts w:hint="eastAsia"/>
                <w:sz w:val="18"/>
              </w:rPr>
              <w:t>先天畸形，缺陷和染色体异常</w:t>
            </w:r>
            <w:r>
              <w:rPr>
                <w:rFonts w:hint="eastAsia"/>
                <w:sz w:val="18"/>
                <w:vertAlign w:val="superscript"/>
              </w:rPr>
              <w:t>h</w:t>
            </w:r>
          </w:p>
        </w:tc>
        <w:tc>
          <w:tcPr>
            <w:tcW w:w="255" w:type="pct"/>
            <w:vAlign w:val="bottom"/>
          </w:tcPr>
          <w:p w:rsidR="00000000" w:rsidRDefault="00457650">
            <w:pPr>
              <w:widowControl/>
              <w:tabs>
                <w:tab w:val="left" w:pos="630"/>
              </w:tabs>
              <w:spacing w:after="40" w:line="320" w:lineRule="exact"/>
              <w:ind w:left="50"/>
              <w:jc w:val="center"/>
              <w:rPr>
                <w:sz w:val="18"/>
              </w:rPr>
            </w:pPr>
            <w:r>
              <w:rPr>
                <w:rStyle w:val="FollowedHyperlink"/>
                <w:color w:val="000000"/>
                <w:sz w:val="18"/>
                <w:szCs w:val="21"/>
                <w:u w:val="none"/>
              </w:rPr>
              <w:t>NA</w:t>
            </w:r>
          </w:p>
        </w:tc>
        <w:tc>
          <w:tcPr>
            <w:tcW w:w="256" w:type="pct"/>
            <w:vAlign w:val="bottom"/>
          </w:tcPr>
          <w:p w:rsidR="00000000" w:rsidRDefault="00457650">
            <w:pPr>
              <w:widowControl/>
              <w:tabs>
                <w:tab w:val="left" w:pos="630"/>
              </w:tabs>
              <w:spacing w:after="40" w:line="320" w:lineRule="exact"/>
              <w:ind w:left="50"/>
              <w:jc w:val="center"/>
              <w:rPr>
                <w:sz w:val="18"/>
              </w:rPr>
            </w:pPr>
            <w:hyperlink r:id="rId151"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152"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53"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54"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155"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56"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hyperlink r:id="rId157"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r>
              <w:rPr>
                <w:sz w:val="18"/>
              </w:rPr>
              <w:t>2.5</w:t>
            </w:r>
          </w:p>
        </w:tc>
        <w:tc>
          <w:tcPr>
            <w:tcW w:w="256" w:type="pct"/>
            <w:vAlign w:val="bottom"/>
          </w:tcPr>
          <w:p w:rsidR="00000000" w:rsidRDefault="00457650">
            <w:pPr>
              <w:widowControl/>
              <w:tabs>
                <w:tab w:val="left" w:pos="630"/>
              </w:tabs>
              <w:spacing w:after="40" w:line="320" w:lineRule="exact"/>
              <w:ind w:left="50"/>
              <w:jc w:val="center"/>
              <w:rPr>
                <w:sz w:val="18"/>
              </w:rPr>
            </w:pPr>
            <w:hyperlink r:id="rId158" w:history="1">
              <w:r>
                <w:rPr>
                  <w:rStyle w:val="FollowedHyperlink"/>
                  <w:color w:val="000000"/>
                  <w:sz w:val="18"/>
                  <w:szCs w:val="21"/>
                  <w:u w:val="none"/>
                </w:rPr>
                <w:t>NA</w:t>
              </w:r>
            </w:hyperlink>
          </w:p>
        </w:tc>
        <w:tc>
          <w:tcPr>
            <w:tcW w:w="255" w:type="pct"/>
            <w:vAlign w:val="bottom"/>
          </w:tcPr>
          <w:p w:rsidR="00000000" w:rsidRDefault="00457650">
            <w:pPr>
              <w:widowControl/>
              <w:tabs>
                <w:tab w:val="left" w:pos="630"/>
              </w:tabs>
              <w:spacing w:after="40" w:line="320" w:lineRule="exact"/>
              <w:ind w:left="50"/>
              <w:jc w:val="center"/>
              <w:rPr>
                <w:sz w:val="18"/>
              </w:rPr>
            </w:pPr>
            <w:r>
              <w:rPr>
                <w:sz w:val="18"/>
              </w:rPr>
              <w:t>2.4</w:t>
            </w:r>
          </w:p>
        </w:tc>
        <w:tc>
          <w:tcPr>
            <w:tcW w:w="256" w:type="pct"/>
            <w:vAlign w:val="bottom"/>
          </w:tcPr>
          <w:p w:rsidR="00000000" w:rsidRDefault="00457650">
            <w:pPr>
              <w:widowControl/>
              <w:tabs>
                <w:tab w:val="left" w:pos="630"/>
              </w:tabs>
              <w:spacing w:after="40" w:line="320" w:lineRule="exact"/>
              <w:ind w:left="50"/>
              <w:jc w:val="center"/>
              <w:rPr>
                <w:sz w:val="18"/>
              </w:rPr>
            </w:pPr>
            <w:hyperlink r:id="rId159" w:history="1">
              <w:r>
                <w:rPr>
                  <w:rStyle w:val="FollowedHyperlink"/>
                  <w:color w:val="000000"/>
                  <w:sz w:val="18"/>
                  <w:szCs w:val="21"/>
                  <w:u w:val="none"/>
                </w:rPr>
                <w:t>NA</w:t>
              </w:r>
            </w:hyperlink>
          </w:p>
        </w:tc>
        <w:tc>
          <w:tcPr>
            <w:tcW w:w="256" w:type="pct"/>
            <w:vAlign w:val="bottom"/>
          </w:tcPr>
          <w:p w:rsidR="00000000" w:rsidRDefault="00457650">
            <w:pPr>
              <w:widowControl/>
              <w:tabs>
                <w:tab w:val="left" w:pos="630"/>
              </w:tabs>
              <w:spacing w:after="40" w:line="320" w:lineRule="exact"/>
              <w:ind w:left="50"/>
              <w:jc w:val="center"/>
              <w:rPr>
                <w:sz w:val="18"/>
              </w:rPr>
            </w:pPr>
            <w:hyperlink r:id="rId160" w:history="1">
              <w:r>
                <w:rPr>
                  <w:rStyle w:val="FollowedHyperlink"/>
                  <w:color w:val="000000"/>
                  <w:sz w:val="18"/>
                  <w:szCs w:val="21"/>
                  <w:u w:val="none"/>
                </w:rPr>
                <w:t>NA</w:t>
              </w:r>
            </w:hyperlink>
          </w:p>
        </w:tc>
      </w:tr>
      <w:tr w:rsidR="00000000">
        <w:tblPrEx>
          <w:tblCellMar>
            <w:top w:w="0" w:type="dxa"/>
            <w:bottom w:w="0" w:type="dxa"/>
          </w:tblCellMar>
        </w:tblPrEx>
        <w:tc>
          <w:tcPr>
            <w:tcW w:w="1675" w:type="pct"/>
            <w:tcBorders>
              <w:bottom w:val="single" w:sz="4" w:space="0" w:color="auto"/>
            </w:tcBorders>
          </w:tcPr>
          <w:p w:rsidR="00000000" w:rsidRDefault="00457650" w:rsidP="00457650">
            <w:pPr>
              <w:widowControl/>
              <w:tabs>
                <w:tab w:val="left" w:pos="630"/>
              </w:tabs>
              <w:spacing w:after="40" w:line="320" w:lineRule="exact"/>
              <w:ind w:leftChars="50" w:left="31680"/>
              <w:rPr>
                <w:rFonts w:hint="eastAsia"/>
                <w:sz w:val="18"/>
              </w:rPr>
            </w:pPr>
            <w:r>
              <w:rPr>
                <w:rFonts w:hint="eastAsia"/>
                <w:sz w:val="18"/>
              </w:rPr>
              <w:t>其他原因</w:t>
            </w:r>
          </w:p>
        </w:tc>
        <w:tc>
          <w:tcPr>
            <w:tcW w:w="255" w:type="pct"/>
            <w:tcBorders>
              <w:bottom w:val="single" w:sz="4" w:space="0" w:color="auto"/>
            </w:tcBorders>
            <w:vAlign w:val="bottom"/>
          </w:tcPr>
          <w:p w:rsidR="00000000" w:rsidRDefault="00457650">
            <w:pPr>
              <w:widowControl/>
              <w:tabs>
                <w:tab w:val="left" w:pos="630"/>
              </w:tabs>
              <w:spacing w:after="40" w:line="320" w:lineRule="exact"/>
              <w:ind w:left="50"/>
              <w:jc w:val="center"/>
              <w:rPr>
                <w:sz w:val="18"/>
              </w:rPr>
            </w:pPr>
            <w:r>
              <w:rPr>
                <w:sz w:val="18"/>
              </w:rPr>
              <w:t>33.0</w:t>
            </w:r>
          </w:p>
        </w:tc>
        <w:tc>
          <w:tcPr>
            <w:tcW w:w="256" w:type="pct"/>
            <w:tcBorders>
              <w:bottom w:val="single" w:sz="4" w:space="0" w:color="auto"/>
            </w:tcBorders>
            <w:vAlign w:val="bottom"/>
          </w:tcPr>
          <w:p w:rsidR="00000000" w:rsidRDefault="00457650">
            <w:pPr>
              <w:widowControl/>
              <w:tabs>
                <w:tab w:val="left" w:pos="630"/>
              </w:tabs>
              <w:spacing w:after="40" w:line="320" w:lineRule="exact"/>
              <w:ind w:left="50"/>
              <w:jc w:val="center"/>
              <w:rPr>
                <w:sz w:val="18"/>
              </w:rPr>
            </w:pPr>
            <w:r>
              <w:rPr>
                <w:sz w:val="18"/>
              </w:rPr>
              <w:t>31.5</w:t>
            </w:r>
          </w:p>
        </w:tc>
        <w:tc>
          <w:tcPr>
            <w:tcW w:w="255" w:type="pct"/>
            <w:tcBorders>
              <w:bottom w:val="single" w:sz="4" w:space="0" w:color="auto"/>
            </w:tcBorders>
            <w:vAlign w:val="bottom"/>
          </w:tcPr>
          <w:p w:rsidR="00000000" w:rsidRDefault="00457650">
            <w:pPr>
              <w:widowControl/>
              <w:tabs>
                <w:tab w:val="left" w:pos="630"/>
              </w:tabs>
              <w:spacing w:after="40" w:line="320" w:lineRule="exact"/>
              <w:ind w:left="50"/>
              <w:jc w:val="center"/>
              <w:rPr>
                <w:sz w:val="18"/>
              </w:rPr>
            </w:pPr>
            <w:r>
              <w:rPr>
                <w:sz w:val="18"/>
              </w:rPr>
              <w:t>31.7</w:t>
            </w:r>
          </w:p>
        </w:tc>
        <w:tc>
          <w:tcPr>
            <w:tcW w:w="256" w:type="pct"/>
            <w:tcBorders>
              <w:bottom w:val="single" w:sz="4" w:space="0" w:color="auto"/>
            </w:tcBorders>
            <w:vAlign w:val="bottom"/>
          </w:tcPr>
          <w:p w:rsidR="00000000" w:rsidRDefault="00457650">
            <w:pPr>
              <w:widowControl/>
              <w:tabs>
                <w:tab w:val="left" w:pos="630"/>
              </w:tabs>
              <w:spacing w:after="40" w:line="320" w:lineRule="exact"/>
              <w:ind w:left="50"/>
              <w:jc w:val="center"/>
              <w:rPr>
                <w:sz w:val="18"/>
              </w:rPr>
            </w:pPr>
            <w:r>
              <w:rPr>
                <w:sz w:val="18"/>
              </w:rPr>
              <w:t>31.9</w:t>
            </w:r>
          </w:p>
        </w:tc>
        <w:tc>
          <w:tcPr>
            <w:tcW w:w="256" w:type="pct"/>
            <w:tcBorders>
              <w:bottom w:val="single" w:sz="4" w:space="0" w:color="auto"/>
            </w:tcBorders>
            <w:vAlign w:val="bottom"/>
          </w:tcPr>
          <w:p w:rsidR="00000000" w:rsidRDefault="00457650">
            <w:pPr>
              <w:widowControl/>
              <w:tabs>
                <w:tab w:val="left" w:pos="630"/>
              </w:tabs>
              <w:spacing w:after="40" w:line="320" w:lineRule="exact"/>
              <w:ind w:left="50"/>
              <w:jc w:val="center"/>
              <w:rPr>
                <w:sz w:val="18"/>
              </w:rPr>
            </w:pPr>
            <w:r>
              <w:rPr>
                <w:sz w:val="18"/>
              </w:rPr>
              <w:t>31.7</w:t>
            </w:r>
          </w:p>
        </w:tc>
        <w:tc>
          <w:tcPr>
            <w:tcW w:w="255" w:type="pct"/>
            <w:tcBorders>
              <w:bottom w:val="single" w:sz="4" w:space="0" w:color="auto"/>
            </w:tcBorders>
            <w:vAlign w:val="bottom"/>
          </w:tcPr>
          <w:p w:rsidR="00000000" w:rsidRDefault="00457650">
            <w:pPr>
              <w:widowControl/>
              <w:tabs>
                <w:tab w:val="left" w:pos="630"/>
              </w:tabs>
              <w:spacing w:after="40" w:line="320" w:lineRule="exact"/>
              <w:ind w:left="50"/>
              <w:jc w:val="center"/>
              <w:rPr>
                <w:sz w:val="18"/>
              </w:rPr>
            </w:pPr>
            <w:r>
              <w:rPr>
                <w:sz w:val="18"/>
              </w:rPr>
              <w:t>31.2</w:t>
            </w:r>
          </w:p>
        </w:tc>
        <w:tc>
          <w:tcPr>
            <w:tcW w:w="256" w:type="pct"/>
            <w:tcBorders>
              <w:bottom w:val="single" w:sz="4" w:space="0" w:color="auto"/>
            </w:tcBorders>
            <w:vAlign w:val="bottom"/>
          </w:tcPr>
          <w:p w:rsidR="00000000" w:rsidRDefault="00457650">
            <w:pPr>
              <w:widowControl/>
              <w:tabs>
                <w:tab w:val="left" w:pos="630"/>
              </w:tabs>
              <w:spacing w:after="40" w:line="320" w:lineRule="exact"/>
              <w:ind w:left="50"/>
              <w:jc w:val="center"/>
              <w:rPr>
                <w:sz w:val="18"/>
              </w:rPr>
            </w:pPr>
            <w:r>
              <w:rPr>
                <w:sz w:val="18"/>
              </w:rPr>
              <w:t>31.0</w:t>
            </w:r>
          </w:p>
        </w:tc>
        <w:tc>
          <w:tcPr>
            <w:tcW w:w="255" w:type="pct"/>
            <w:tcBorders>
              <w:bottom w:val="single" w:sz="4" w:space="0" w:color="auto"/>
            </w:tcBorders>
            <w:vAlign w:val="bottom"/>
          </w:tcPr>
          <w:p w:rsidR="00000000" w:rsidRDefault="00457650">
            <w:pPr>
              <w:widowControl/>
              <w:tabs>
                <w:tab w:val="left" w:pos="630"/>
              </w:tabs>
              <w:spacing w:after="40" w:line="320" w:lineRule="exact"/>
              <w:ind w:left="50"/>
              <w:jc w:val="center"/>
              <w:rPr>
                <w:sz w:val="18"/>
              </w:rPr>
            </w:pPr>
            <w:r>
              <w:rPr>
                <w:sz w:val="18"/>
              </w:rPr>
              <w:t>30.1</w:t>
            </w:r>
          </w:p>
        </w:tc>
        <w:tc>
          <w:tcPr>
            <w:tcW w:w="256" w:type="pct"/>
            <w:tcBorders>
              <w:bottom w:val="single" w:sz="4" w:space="0" w:color="auto"/>
            </w:tcBorders>
            <w:vAlign w:val="bottom"/>
          </w:tcPr>
          <w:p w:rsidR="00000000" w:rsidRDefault="00457650">
            <w:pPr>
              <w:widowControl/>
              <w:tabs>
                <w:tab w:val="left" w:pos="630"/>
              </w:tabs>
              <w:spacing w:after="40" w:line="320" w:lineRule="exact"/>
              <w:ind w:left="50"/>
              <w:jc w:val="center"/>
              <w:rPr>
                <w:sz w:val="18"/>
              </w:rPr>
            </w:pPr>
            <w:r>
              <w:rPr>
                <w:sz w:val="18"/>
              </w:rPr>
              <w:t>29.0</w:t>
            </w:r>
          </w:p>
        </w:tc>
        <w:tc>
          <w:tcPr>
            <w:tcW w:w="256" w:type="pct"/>
            <w:tcBorders>
              <w:bottom w:val="single" w:sz="4" w:space="0" w:color="auto"/>
            </w:tcBorders>
            <w:vAlign w:val="bottom"/>
          </w:tcPr>
          <w:p w:rsidR="00000000" w:rsidRDefault="00457650">
            <w:pPr>
              <w:widowControl/>
              <w:tabs>
                <w:tab w:val="left" w:pos="630"/>
              </w:tabs>
              <w:spacing w:after="40" w:line="320" w:lineRule="exact"/>
              <w:ind w:left="50"/>
              <w:jc w:val="center"/>
              <w:rPr>
                <w:sz w:val="18"/>
              </w:rPr>
            </w:pPr>
            <w:r>
              <w:rPr>
                <w:sz w:val="18"/>
              </w:rPr>
              <w:t>28.1</w:t>
            </w:r>
          </w:p>
        </w:tc>
        <w:tc>
          <w:tcPr>
            <w:tcW w:w="255" w:type="pct"/>
            <w:tcBorders>
              <w:bottom w:val="single" w:sz="4" w:space="0" w:color="auto"/>
            </w:tcBorders>
            <w:vAlign w:val="bottom"/>
          </w:tcPr>
          <w:p w:rsidR="00000000" w:rsidRDefault="00457650">
            <w:pPr>
              <w:widowControl/>
              <w:tabs>
                <w:tab w:val="left" w:pos="630"/>
              </w:tabs>
              <w:spacing w:after="40" w:line="320" w:lineRule="exact"/>
              <w:ind w:left="50"/>
              <w:jc w:val="center"/>
              <w:rPr>
                <w:sz w:val="18"/>
              </w:rPr>
            </w:pPr>
            <w:r>
              <w:rPr>
                <w:sz w:val="18"/>
              </w:rPr>
              <w:t>27.8</w:t>
            </w:r>
          </w:p>
        </w:tc>
        <w:tc>
          <w:tcPr>
            <w:tcW w:w="256" w:type="pct"/>
            <w:tcBorders>
              <w:bottom w:val="single" w:sz="4" w:space="0" w:color="auto"/>
            </w:tcBorders>
            <w:vAlign w:val="bottom"/>
          </w:tcPr>
          <w:p w:rsidR="00000000" w:rsidRDefault="00457650">
            <w:pPr>
              <w:widowControl/>
              <w:tabs>
                <w:tab w:val="left" w:pos="630"/>
              </w:tabs>
              <w:spacing w:after="40" w:line="320" w:lineRule="exact"/>
              <w:ind w:left="50"/>
              <w:jc w:val="center"/>
              <w:rPr>
                <w:sz w:val="18"/>
              </w:rPr>
            </w:pPr>
            <w:r>
              <w:rPr>
                <w:sz w:val="18"/>
              </w:rPr>
              <w:t>27.5</w:t>
            </w:r>
          </w:p>
        </w:tc>
        <w:tc>
          <w:tcPr>
            <w:tcW w:w="256" w:type="pct"/>
            <w:tcBorders>
              <w:bottom w:val="single" w:sz="4" w:space="0" w:color="auto"/>
            </w:tcBorders>
            <w:vAlign w:val="bottom"/>
          </w:tcPr>
          <w:p w:rsidR="00000000" w:rsidRDefault="00457650">
            <w:pPr>
              <w:pStyle w:val="Header"/>
              <w:widowControl/>
              <w:pBdr>
                <w:bottom w:val="none" w:sz="0" w:space="0" w:color="auto"/>
              </w:pBdr>
              <w:tabs>
                <w:tab w:val="clear" w:pos="4320"/>
                <w:tab w:val="clear" w:pos="8640"/>
                <w:tab w:val="left" w:pos="630"/>
              </w:tabs>
              <w:spacing w:after="40" w:line="320" w:lineRule="exact"/>
              <w:ind w:left="50"/>
            </w:pPr>
            <w:r>
              <w:t>26.9</w:t>
            </w:r>
          </w:p>
        </w:tc>
      </w:tr>
    </w:tbl>
    <w:p w:rsidR="00000000" w:rsidRDefault="00457650">
      <w:pPr>
        <w:pStyle w:val="a3"/>
        <w:widowControl/>
        <w:tabs>
          <w:tab w:val="left" w:pos="630"/>
        </w:tabs>
        <w:adjustRightInd w:val="0"/>
        <w:spacing w:line="360" w:lineRule="exact"/>
        <w:textAlignment w:val="baseline"/>
        <w:rPr>
          <w:rFonts w:hint="eastAsia"/>
          <w:iCs/>
          <w:kern w:val="0"/>
          <w:szCs w:val="20"/>
        </w:rPr>
      </w:pPr>
      <w:r>
        <w:rPr>
          <w:rFonts w:eastAsia="KaiTi_GB2312" w:hint="eastAsia"/>
          <w:iCs/>
          <w:kern w:val="0"/>
          <w:szCs w:val="20"/>
        </w:rPr>
        <w:t>资料来源</w:t>
      </w:r>
      <w:r>
        <w:rPr>
          <w:rFonts w:hint="eastAsia"/>
          <w:iCs/>
          <w:kern w:val="0"/>
          <w:szCs w:val="20"/>
        </w:rPr>
        <w:t>：国家统计、地理和信息技术研究所，死亡率</w:t>
      </w:r>
      <w:r>
        <w:rPr>
          <w:rFonts w:hint="eastAsia"/>
          <w:iCs/>
          <w:kern w:val="0"/>
          <w:szCs w:val="20"/>
        </w:rPr>
        <w:t>统计。</w:t>
      </w:r>
    </w:p>
    <w:p w:rsidR="00000000" w:rsidRDefault="00457650">
      <w:pPr>
        <w:widowControl/>
        <w:tabs>
          <w:tab w:val="left" w:pos="630"/>
        </w:tabs>
        <w:spacing w:line="360" w:lineRule="exact"/>
        <w:rPr>
          <w:rFonts w:hint="eastAsia"/>
          <w:sz w:val="18"/>
        </w:rPr>
      </w:pPr>
      <w:r>
        <w:rPr>
          <w:rFonts w:eastAsia="KaiTi_GB2312" w:hint="eastAsia"/>
          <w:iCs/>
          <w:sz w:val="18"/>
        </w:rPr>
        <w:t>注</w:t>
      </w:r>
      <w:r>
        <w:rPr>
          <w:rFonts w:hint="eastAsia"/>
          <w:iCs/>
          <w:sz w:val="18"/>
        </w:rPr>
        <w:t>：</w:t>
      </w:r>
      <w:r>
        <w:rPr>
          <w:rFonts w:hint="eastAsia"/>
          <w:sz w:val="18"/>
        </w:rPr>
        <w:t>每年考虑十大主要死因。</w:t>
      </w:r>
      <w:r>
        <w:rPr>
          <w:rFonts w:hint="eastAsia"/>
          <w:sz w:val="18"/>
        </w:rPr>
        <w:t>1990</w:t>
      </w:r>
      <w:r>
        <w:rPr>
          <w:rFonts w:hint="eastAsia"/>
          <w:sz w:val="18"/>
        </w:rPr>
        <w:t>年至</w:t>
      </w:r>
      <w:r>
        <w:rPr>
          <w:rFonts w:hint="eastAsia"/>
          <w:sz w:val="18"/>
        </w:rPr>
        <w:t>1997</w:t>
      </w:r>
      <w:r>
        <w:rPr>
          <w:rFonts w:hint="eastAsia"/>
          <w:sz w:val="18"/>
        </w:rPr>
        <w:t>年使用了</w:t>
      </w:r>
      <w:r>
        <w:rPr>
          <w:rFonts w:hint="eastAsia"/>
          <w:sz w:val="18"/>
        </w:rPr>
        <w:t>ICD-9</w:t>
      </w:r>
      <w:r>
        <w:rPr>
          <w:rFonts w:hint="eastAsia"/>
          <w:sz w:val="18"/>
        </w:rPr>
        <w:t>国际疾病分类方法，</w:t>
      </w:r>
      <w:r>
        <w:rPr>
          <w:rFonts w:hint="eastAsia"/>
          <w:sz w:val="18"/>
        </w:rPr>
        <w:t>1998</w:t>
      </w:r>
      <w:r>
        <w:rPr>
          <w:rFonts w:hint="eastAsia"/>
          <w:sz w:val="18"/>
        </w:rPr>
        <w:t>年至</w:t>
      </w:r>
      <w:r>
        <w:rPr>
          <w:rFonts w:hint="eastAsia"/>
          <w:sz w:val="18"/>
        </w:rPr>
        <w:t>2002</w:t>
      </w:r>
      <w:r>
        <w:rPr>
          <w:rFonts w:hint="eastAsia"/>
          <w:sz w:val="18"/>
        </w:rPr>
        <w:t>年使用了</w:t>
      </w:r>
      <w:r>
        <w:rPr>
          <w:rFonts w:hint="eastAsia"/>
          <w:sz w:val="18"/>
        </w:rPr>
        <w:t>C</w:t>
      </w:r>
      <w:r>
        <w:rPr>
          <w:rFonts w:hint="eastAsia"/>
          <w:sz w:val="18"/>
        </w:rPr>
        <w:t>国际疾病分类。</w:t>
      </w:r>
    </w:p>
    <w:p w:rsidR="00000000" w:rsidRDefault="00457650">
      <w:pPr>
        <w:widowControl/>
        <w:tabs>
          <w:tab w:val="left" w:pos="630"/>
        </w:tabs>
        <w:spacing w:line="360" w:lineRule="exact"/>
        <w:rPr>
          <w:rFonts w:hint="eastAsia"/>
          <w:sz w:val="18"/>
        </w:rPr>
      </w:pPr>
      <w:r>
        <w:rPr>
          <w:rFonts w:hint="eastAsia"/>
          <w:sz w:val="18"/>
          <w:vertAlign w:val="superscript"/>
        </w:rPr>
        <w:t>a</w:t>
      </w:r>
      <w:r>
        <w:rPr>
          <w:rFonts w:hint="eastAsia"/>
          <w:sz w:val="18"/>
        </w:rPr>
        <w:t xml:space="preserve">  1990</w:t>
      </w:r>
      <w:r>
        <w:rPr>
          <w:rFonts w:hint="eastAsia"/>
          <w:sz w:val="18"/>
        </w:rPr>
        <w:t>年至</w:t>
      </w:r>
      <w:r>
        <w:rPr>
          <w:rFonts w:hint="eastAsia"/>
          <w:sz w:val="18"/>
        </w:rPr>
        <w:t>1997</w:t>
      </w:r>
      <w:r>
        <w:rPr>
          <w:rFonts w:hint="eastAsia"/>
          <w:sz w:val="18"/>
        </w:rPr>
        <w:t>年，它指肝硬化和其他慢性肝病。</w:t>
      </w:r>
      <w:r>
        <w:rPr>
          <w:rFonts w:hint="eastAsia"/>
          <w:sz w:val="18"/>
        </w:rPr>
        <w:t>1998</w:t>
      </w:r>
      <w:r>
        <w:rPr>
          <w:rFonts w:hint="eastAsia"/>
          <w:sz w:val="18"/>
        </w:rPr>
        <w:t>年，这一术语指酒精中毒性疾病和其他慢性肝病。</w:t>
      </w:r>
    </w:p>
    <w:p w:rsidR="00000000" w:rsidRDefault="00457650">
      <w:pPr>
        <w:widowControl/>
        <w:tabs>
          <w:tab w:val="left" w:pos="630"/>
        </w:tabs>
        <w:spacing w:line="360" w:lineRule="exact"/>
        <w:rPr>
          <w:rFonts w:hint="eastAsia"/>
          <w:sz w:val="18"/>
        </w:rPr>
      </w:pPr>
      <w:r>
        <w:rPr>
          <w:rFonts w:hint="eastAsia"/>
          <w:sz w:val="18"/>
          <w:vertAlign w:val="superscript"/>
        </w:rPr>
        <w:t>b</w:t>
      </w:r>
      <w:r>
        <w:rPr>
          <w:rFonts w:hint="eastAsia"/>
          <w:sz w:val="18"/>
        </w:rPr>
        <w:t xml:space="preserve">  1997</w:t>
      </w:r>
      <w:r>
        <w:rPr>
          <w:rFonts w:hint="eastAsia"/>
          <w:sz w:val="18"/>
        </w:rPr>
        <w:t>年以前称脑血管疾病。</w:t>
      </w:r>
    </w:p>
    <w:p w:rsidR="00000000" w:rsidRDefault="00457650">
      <w:pPr>
        <w:widowControl/>
        <w:tabs>
          <w:tab w:val="left" w:pos="630"/>
        </w:tabs>
        <w:spacing w:line="360" w:lineRule="exact"/>
        <w:rPr>
          <w:rFonts w:hint="eastAsia"/>
          <w:sz w:val="18"/>
        </w:rPr>
      </w:pPr>
      <w:r>
        <w:rPr>
          <w:rFonts w:hint="eastAsia"/>
          <w:sz w:val="18"/>
          <w:vertAlign w:val="superscript"/>
        </w:rPr>
        <w:t>c</w:t>
      </w:r>
      <w:r>
        <w:rPr>
          <w:rFonts w:hint="eastAsia"/>
          <w:sz w:val="18"/>
        </w:rPr>
        <w:t xml:space="preserve">  1997</w:t>
      </w:r>
      <w:r>
        <w:rPr>
          <w:rFonts w:hint="eastAsia"/>
          <w:sz w:val="18"/>
        </w:rPr>
        <w:t>年以前称其他慢性梗阻性肺病。</w:t>
      </w:r>
    </w:p>
    <w:p w:rsidR="00000000" w:rsidRDefault="00457650">
      <w:pPr>
        <w:widowControl/>
        <w:tabs>
          <w:tab w:val="left" w:pos="630"/>
        </w:tabs>
        <w:spacing w:line="360" w:lineRule="exact"/>
        <w:rPr>
          <w:rFonts w:hint="eastAsia"/>
          <w:sz w:val="18"/>
        </w:rPr>
      </w:pPr>
      <w:r>
        <w:rPr>
          <w:rFonts w:hint="eastAsia"/>
          <w:sz w:val="18"/>
          <w:vertAlign w:val="superscript"/>
        </w:rPr>
        <w:t>d</w:t>
      </w:r>
      <w:r>
        <w:rPr>
          <w:rFonts w:hint="eastAsia"/>
          <w:sz w:val="18"/>
        </w:rPr>
        <w:t xml:space="preserve">  1997</w:t>
      </w:r>
      <w:r>
        <w:rPr>
          <w:rFonts w:hint="eastAsia"/>
          <w:sz w:val="18"/>
        </w:rPr>
        <w:t>年以前称肺炎和流行性感冒。</w:t>
      </w:r>
    </w:p>
    <w:p w:rsidR="00000000" w:rsidRDefault="00457650">
      <w:pPr>
        <w:widowControl/>
        <w:tabs>
          <w:tab w:val="left" w:pos="630"/>
        </w:tabs>
        <w:spacing w:line="360" w:lineRule="exact"/>
        <w:rPr>
          <w:rFonts w:hint="eastAsia"/>
          <w:sz w:val="18"/>
        </w:rPr>
      </w:pPr>
      <w:r>
        <w:rPr>
          <w:rFonts w:hint="eastAsia"/>
          <w:sz w:val="18"/>
          <w:vertAlign w:val="superscript"/>
        </w:rPr>
        <w:t>e</w:t>
      </w:r>
      <w:r>
        <w:rPr>
          <w:rFonts w:hint="eastAsia"/>
          <w:sz w:val="18"/>
        </w:rPr>
        <w:t xml:space="preserve">  1997</w:t>
      </w:r>
      <w:r>
        <w:rPr>
          <w:rFonts w:hint="eastAsia"/>
          <w:sz w:val="18"/>
        </w:rPr>
        <w:t>年以前称他杀和他人故意伤害。</w:t>
      </w:r>
    </w:p>
    <w:p w:rsidR="00000000" w:rsidRDefault="00457650">
      <w:pPr>
        <w:widowControl/>
        <w:tabs>
          <w:tab w:val="left" w:pos="630"/>
        </w:tabs>
        <w:spacing w:line="360" w:lineRule="exact"/>
        <w:rPr>
          <w:rFonts w:hint="eastAsia"/>
          <w:sz w:val="18"/>
        </w:rPr>
      </w:pPr>
      <w:r>
        <w:rPr>
          <w:rFonts w:hint="eastAsia"/>
          <w:sz w:val="18"/>
          <w:vertAlign w:val="superscript"/>
        </w:rPr>
        <w:t>f</w:t>
      </w:r>
      <w:r>
        <w:rPr>
          <w:rFonts w:hint="eastAsia"/>
          <w:sz w:val="18"/>
        </w:rPr>
        <w:t xml:space="preserve">  1997</w:t>
      </w:r>
      <w:r>
        <w:rPr>
          <w:rFonts w:hint="eastAsia"/>
          <w:sz w:val="18"/>
        </w:rPr>
        <w:t>年以前称营养缺乏。</w:t>
      </w:r>
    </w:p>
    <w:p w:rsidR="00000000" w:rsidRDefault="00457650">
      <w:pPr>
        <w:widowControl/>
        <w:tabs>
          <w:tab w:val="left" w:pos="630"/>
        </w:tabs>
        <w:spacing w:line="360" w:lineRule="exact"/>
        <w:rPr>
          <w:rFonts w:hint="eastAsia"/>
          <w:sz w:val="18"/>
        </w:rPr>
      </w:pPr>
      <w:r>
        <w:rPr>
          <w:rFonts w:hint="eastAsia"/>
          <w:sz w:val="18"/>
          <w:vertAlign w:val="superscript"/>
        </w:rPr>
        <w:t>g</w:t>
      </w:r>
      <w:r>
        <w:rPr>
          <w:rFonts w:hint="eastAsia"/>
          <w:sz w:val="18"/>
        </w:rPr>
        <w:t xml:space="preserve">  1997</w:t>
      </w:r>
      <w:r>
        <w:rPr>
          <w:rFonts w:hint="eastAsia"/>
          <w:sz w:val="18"/>
        </w:rPr>
        <w:t>年以前称肾炎、肾炎综合症和肾变病。</w:t>
      </w:r>
    </w:p>
    <w:p w:rsidR="00000000" w:rsidRDefault="00457650">
      <w:pPr>
        <w:widowControl/>
        <w:tabs>
          <w:tab w:val="left" w:pos="630"/>
        </w:tabs>
        <w:spacing w:line="360" w:lineRule="exact"/>
        <w:rPr>
          <w:rFonts w:hint="eastAsia"/>
          <w:sz w:val="18"/>
        </w:rPr>
      </w:pPr>
      <w:r>
        <w:rPr>
          <w:rFonts w:hint="eastAsia"/>
          <w:sz w:val="18"/>
          <w:vertAlign w:val="superscript"/>
        </w:rPr>
        <w:t>h</w:t>
      </w:r>
      <w:r>
        <w:rPr>
          <w:rFonts w:hint="eastAsia"/>
          <w:sz w:val="18"/>
        </w:rPr>
        <w:t xml:space="preserve">  1997</w:t>
      </w:r>
      <w:r>
        <w:rPr>
          <w:rFonts w:hint="eastAsia"/>
          <w:sz w:val="18"/>
        </w:rPr>
        <w:t>年</w:t>
      </w:r>
      <w:r>
        <w:rPr>
          <w:rFonts w:hint="eastAsia"/>
          <w:sz w:val="18"/>
        </w:rPr>
        <w:t>以前称先天性异常。</w:t>
      </w:r>
    </w:p>
    <w:p w:rsidR="00000000" w:rsidRDefault="00457650">
      <w:pPr>
        <w:widowControl/>
        <w:tabs>
          <w:tab w:val="left" w:pos="630"/>
        </w:tabs>
        <w:spacing w:line="360" w:lineRule="exact"/>
        <w:rPr>
          <w:rFonts w:hint="eastAsia"/>
          <w:sz w:val="18"/>
        </w:rPr>
      </w:pPr>
      <w:r>
        <w:rPr>
          <w:sz w:val="18"/>
          <w:vertAlign w:val="superscript"/>
        </w:rPr>
        <w:t>i</w:t>
      </w:r>
      <w:r>
        <w:rPr>
          <w:rFonts w:hint="eastAsia"/>
          <w:sz w:val="18"/>
        </w:rPr>
        <w:t xml:space="preserve">  1998</w:t>
      </w:r>
      <w:r>
        <w:rPr>
          <w:rFonts w:hint="eastAsia"/>
          <w:sz w:val="18"/>
        </w:rPr>
        <w:t>年以前称为慢性或不明支气管炎和肺气肿。</w:t>
      </w:r>
    </w:p>
    <w:p w:rsidR="00000000" w:rsidRDefault="00457650">
      <w:pPr>
        <w:widowControl/>
        <w:tabs>
          <w:tab w:val="left" w:pos="630"/>
        </w:tabs>
        <w:spacing w:after="240" w:line="360" w:lineRule="exact"/>
        <w:rPr>
          <w:rFonts w:hint="eastAsia"/>
          <w:sz w:val="18"/>
        </w:rPr>
      </w:pPr>
      <w:r>
        <w:rPr>
          <w:rFonts w:hint="eastAsia"/>
          <w:sz w:val="18"/>
        </w:rPr>
        <w:t>NA</w:t>
      </w:r>
      <w:r>
        <w:rPr>
          <w:rFonts w:hint="eastAsia"/>
          <w:sz w:val="18"/>
        </w:rPr>
        <w:t>＝不详。</w:t>
      </w:r>
    </w:p>
    <w:p w:rsidR="00000000" w:rsidRDefault="00457650">
      <w:pPr>
        <w:keepNext/>
        <w:keepLines/>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50</w:t>
      </w:r>
      <w:r>
        <w:rPr>
          <w:rFonts w:ascii="SimHei" w:eastAsia="SimHei" w:hint="eastAsia"/>
        </w:rPr>
        <w:t>段（</w:t>
      </w:r>
      <w:r>
        <w:rPr>
          <w:rFonts w:ascii="SimHei" w:eastAsia="SimHei" w:hint="eastAsia"/>
        </w:rPr>
        <w:t>g</w:t>
      </w:r>
      <w:r>
        <w:rPr>
          <w:rFonts w:ascii="SimHei" w:eastAsia="SimHei" w:hint="eastAsia"/>
        </w:rPr>
        <w:t>）</w:t>
      </w:r>
    </w:p>
    <w:tbl>
      <w:tblPr>
        <w:tblW w:w="5000" w:type="pct"/>
        <w:jc w:val="center"/>
        <w:tblCellMar>
          <w:left w:w="0" w:type="dxa"/>
          <w:right w:w="0" w:type="dxa"/>
        </w:tblCellMar>
        <w:tblLook w:val="0000" w:firstRow="0" w:lastRow="0" w:firstColumn="0" w:lastColumn="0" w:noHBand="0" w:noVBand="0"/>
      </w:tblPr>
      <w:tblGrid>
        <w:gridCol w:w="2567"/>
        <w:gridCol w:w="1896"/>
        <w:gridCol w:w="1470"/>
        <w:gridCol w:w="1995"/>
        <w:gridCol w:w="1938"/>
      </w:tblGrid>
      <w:tr w:rsidR="00000000">
        <w:tblPrEx>
          <w:tblCellMar>
            <w:top w:w="0" w:type="dxa"/>
            <w:bottom w:w="0" w:type="dxa"/>
          </w:tblCellMar>
        </w:tblPrEx>
        <w:trPr>
          <w:tblHeader/>
          <w:jc w:val="center"/>
        </w:trPr>
        <w:tc>
          <w:tcPr>
            <w:tcW w:w="1301" w:type="pct"/>
            <w:tcBorders>
              <w:top w:val="single" w:sz="4" w:space="0" w:color="auto"/>
              <w:bottom w:val="single" w:sz="4" w:space="0" w:color="auto"/>
            </w:tcBorders>
          </w:tcPr>
          <w:p w:rsidR="00000000" w:rsidRDefault="00457650" w:rsidP="00457650">
            <w:pPr>
              <w:pStyle w:val="Date"/>
              <w:keepNext/>
              <w:keepLines/>
              <w:widowControl/>
              <w:tabs>
                <w:tab w:val="left" w:pos="630"/>
              </w:tabs>
              <w:spacing w:after="100" w:line="320" w:lineRule="exact"/>
              <w:ind w:leftChars="50" w:left="31680" w:rightChars="50" w:right="31680"/>
              <w:rPr>
                <w:rFonts w:hint="eastAsia"/>
                <w:sz w:val="18"/>
              </w:rPr>
            </w:pPr>
            <w:r>
              <w:rPr>
                <w:rFonts w:hint="eastAsia"/>
                <w:sz w:val="18"/>
              </w:rPr>
              <w:t>性别年龄组</w:t>
            </w:r>
          </w:p>
        </w:tc>
        <w:tc>
          <w:tcPr>
            <w:tcW w:w="961" w:type="pct"/>
            <w:tcBorders>
              <w:top w:val="single" w:sz="4" w:space="0" w:color="auto"/>
              <w:bottom w:val="single" w:sz="4" w:space="0" w:color="auto"/>
            </w:tcBorders>
          </w:tcPr>
          <w:p w:rsidR="00000000" w:rsidRDefault="00457650" w:rsidP="00457650">
            <w:pPr>
              <w:keepNext/>
              <w:keepLines/>
              <w:widowControl/>
              <w:tabs>
                <w:tab w:val="left" w:pos="630"/>
              </w:tabs>
              <w:spacing w:after="100" w:line="320" w:lineRule="exact"/>
              <w:ind w:leftChars="50" w:left="31680" w:rightChars="50" w:right="31680"/>
              <w:jc w:val="center"/>
              <w:rPr>
                <w:rFonts w:hint="eastAsia"/>
                <w:sz w:val="18"/>
              </w:rPr>
            </w:pPr>
            <w:r>
              <w:rPr>
                <w:rFonts w:hint="eastAsia"/>
                <w:sz w:val="18"/>
              </w:rPr>
              <w:t>受益人</w:t>
            </w:r>
          </w:p>
        </w:tc>
        <w:tc>
          <w:tcPr>
            <w:tcW w:w="745" w:type="pct"/>
            <w:tcBorders>
              <w:top w:val="single" w:sz="4" w:space="0" w:color="auto"/>
              <w:bottom w:val="single" w:sz="4" w:space="0" w:color="auto"/>
            </w:tcBorders>
          </w:tcPr>
          <w:p w:rsidR="00000000" w:rsidRDefault="00457650" w:rsidP="00457650">
            <w:pPr>
              <w:keepNext/>
              <w:keepLines/>
              <w:widowControl/>
              <w:tabs>
                <w:tab w:val="left" w:pos="630"/>
              </w:tabs>
              <w:spacing w:after="100" w:line="320" w:lineRule="exact"/>
              <w:ind w:leftChars="50" w:left="31680" w:rightChars="50" w:right="31680"/>
              <w:jc w:val="center"/>
              <w:rPr>
                <w:rFonts w:hint="eastAsia"/>
                <w:sz w:val="18"/>
              </w:rPr>
            </w:pPr>
            <w:r>
              <w:rPr>
                <w:rFonts w:hint="eastAsia"/>
                <w:sz w:val="18"/>
              </w:rPr>
              <w:t>社会保险</w:t>
            </w:r>
            <w:r>
              <w:rPr>
                <w:rFonts w:hint="eastAsia"/>
                <w:sz w:val="18"/>
                <w:vertAlign w:val="superscript"/>
              </w:rPr>
              <w:t>a</w:t>
            </w:r>
          </w:p>
        </w:tc>
        <w:tc>
          <w:tcPr>
            <w:tcW w:w="1011" w:type="pct"/>
            <w:tcBorders>
              <w:top w:val="single" w:sz="4" w:space="0" w:color="auto"/>
              <w:bottom w:val="single" w:sz="4" w:space="0" w:color="auto"/>
            </w:tcBorders>
          </w:tcPr>
          <w:p w:rsidR="00000000" w:rsidRDefault="00457650" w:rsidP="00457650">
            <w:pPr>
              <w:keepNext/>
              <w:keepLines/>
              <w:widowControl/>
              <w:tabs>
                <w:tab w:val="left" w:pos="630"/>
              </w:tabs>
              <w:spacing w:after="100" w:line="320" w:lineRule="exact"/>
              <w:ind w:leftChars="50" w:left="31680" w:rightChars="50" w:right="31680"/>
              <w:jc w:val="center"/>
              <w:rPr>
                <w:rFonts w:hint="eastAsia"/>
                <w:sz w:val="18"/>
              </w:rPr>
            </w:pPr>
            <w:r>
              <w:rPr>
                <w:rFonts w:hint="eastAsia"/>
                <w:sz w:val="18"/>
              </w:rPr>
              <w:t>私人医疗服务</w:t>
            </w:r>
            <w:r>
              <w:rPr>
                <w:rFonts w:hint="eastAsia"/>
                <w:sz w:val="18"/>
                <w:vertAlign w:val="superscript"/>
              </w:rPr>
              <w:t>b</w:t>
            </w:r>
          </w:p>
        </w:tc>
        <w:tc>
          <w:tcPr>
            <w:tcW w:w="982" w:type="pct"/>
            <w:tcBorders>
              <w:top w:val="single" w:sz="4" w:space="0" w:color="auto"/>
              <w:bottom w:val="single" w:sz="4" w:space="0" w:color="auto"/>
            </w:tcBorders>
          </w:tcPr>
          <w:p w:rsidR="00000000" w:rsidRDefault="00457650" w:rsidP="00457650">
            <w:pPr>
              <w:keepNext/>
              <w:keepLines/>
              <w:widowControl/>
              <w:tabs>
                <w:tab w:val="left" w:pos="630"/>
              </w:tabs>
              <w:spacing w:after="100" w:line="320" w:lineRule="exact"/>
              <w:ind w:leftChars="50" w:left="31680" w:rightChars="50" w:right="31680"/>
              <w:jc w:val="center"/>
              <w:rPr>
                <w:rFonts w:hint="eastAsia"/>
                <w:sz w:val="18"/>
              </w:rPr>
            </w:pPr>
            <w:r>
              <w:rPr>
                <w:rFonts w:hint="eastAsia"/>
                <w:sz w:val="18"/>
              </w:rPr>
              <w:t>公共服务</w:t>
            </w:r>
          </w:p>
        </w:tc>
      </w:tr>
      <w:tr w:rsidR="00000000">
        <w:tblPrEx>
          <w:tblCellMar>
            <w:top w:w="0" w:type="dxa"/>
            <w:bottom w:w="0" w:type="dxa"/>
          </w:tblCellMar>
        </w:tblPrEx>
        <w:trPr>
          <w:jc w:val="center"/>
        </w:trPr>
        <w:tc>
          <w:tcPr>
            <w:tcW w:w="1301" w:type="pct"/>
            <w:tcBorders>
              <w:top w:val="single" w:sz="4" w:space="0" w:color="auto"/>
            </w:tcBorders>
          </w:tcPr>
          <w:p w:rsidR="00000000" w:rsidRDefault="00457650" w:rsidP="00457650">
            <w:pPr>
              <w:widowControl/>
              <w:tabs>
                <w:tab w:val="left" w:pos="630"/>
              </w:tabs>
              <w:spacing w:after="100" w:line="320" w:lineRule="exact"/>
              <w:ind w:leftChars="50" w:left="31680" w:rightChars="50" w:right="31680"/>
              <w:rPr>
                <w:rFonts w:hint="eastAsia"/>
                <w:sz w:val="18"/>
              </w:rPr>
            </w:pPr>
            <w:r>
              <w:rPr>
                <w:rFonts w:hint="eastAsia"/>
                <w:sz w:val="18"/>
              </w:rPr>
              <w:t>男</w:t>
            </w:r>
          </w:p>
        </w:tc>
        <w:tc>
          <w:tcPr>
            <w:tcW w:w="961" w:type="pct"/>
            <w:tcBorders>
              <w:top w:val="single" w:sz="4" w:space="0" w:color="auto"/>
            </w:tcBorders>
          </w:tcPr>
          <w:p w:rsidR="00000000" w:rsidRDefault="00457650" w:rsidP="00457650">
            <w:pPr>
              <w:widowControl/>
              <w:tabs>
                <w:tab w:val="left" w:pos="630"/>
              </w:tabs>
              <w:spacing w:after="100" w:line="320" w:lineRule="exact"/>
              <w:ind w:leftChars="50" w:left="31680" w:rightChars="235" w:right="31680"/>
              <w:jc w:val="right"/>
              <w:rPr>
                <w:sz w:val="18"/>
              </w:rPr>
            </w:pPr>
            <w:r>
              <w:rPr>
                <w:sz w:val="18"/>
              </w:rPr>
              <w:t>45 352 031</w:t>
            </w:r>
          </w:p>
        </w:tc>
        <w:tc>
          <w:tcPr>
            <w:tcW w:w="745" w:type="pct"/>
            <w:tcBorders>
              <w:top w:val="single" w:sz="4" w:space="0" w:color="auto"/>
            </w:tcBorders>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38.5</w:t>
            </w:r>
          </w:p>
        </w:tc>
        <w:tc>
          <w:tcPr>
            <w:tcW w:w="1011" w:type="pct"/>
            <w:tcBorders>
              <w:top w:val="single" w:sz="4" w:space="0" w:color="auto"/>
            </w:tcBorders>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34.7</w:t>
            </w:r>
          </w:p>
        </w:tc>
        <w:tc>
          <w:tcPr>
            <w:tcW w:w="982" w:type="pct"/>
            <w:tcBorders>
              <w:top w:val="single" w:sz="4" w:space="0" w:color="auto"/>
            </w:tcBorders>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26.8</w:t>
            </w:r>
          </w:p>
        </w:tc>
      </w:tr>
      <w:tr w:rsidR="00000000">
        <w:tblPrEx>
          <w:tblCellMar>
            <w:top w:w="0" w:type="dxa"/>
            <w:bottom w:w="0" w:type="dxa"/>
          </w:tblCellMar>
        </w:tblPrEx>
        <w:trPr>
          <w:jc w:val="center"/>
        </w:trPr>
        <w:tc>
          <w:tcPr>
            <w:tcW w:w="1301" w:type="pct"/>
          </w:tcPr>
          <w:p w:rsidR="00000000" w:rsidRDefault="00457650" w:rsidP="00457650">
            <w:pPr>
              <w:widowControl/>
              <w:tabs>
                <w:tab w:val="left" w:pos="630"/>
              </w:tabs>
              <w:spacing w:after="100" w:line="320" w:lineRule="exact"/>
              <w:ind w:leftChars="50" w:left="31680" w:rightChars="50" w:right="31680"/>
              <w:rPr>
                <w:rFonts w:hint="eastAsia"/>
                <w:sz w:val="18"/>
              </w:rPr>
            </w:pPr>
            <w:r>
              <w:rPr>
                <w:rFonts w:hint="eastAsia"/>
                <w:sz w:val="18"/>
              </w:rPr>
              <w:t>0-4</w:t>
            </w:r>
            <w:r>
              <w:rPr>
                <w:rFonts w:hint="eastAsia"/>
                <w:sz w:val="18"/>
              </w:rPr>
              <w:t>岁</w:t>
            </w:r>
          </w:p>
        </w:tc>
        <w:tc>
          <w:tcPr>
            <w:tcW w:w="961" w:type="pct"/>
          </w:tcPr>
          <w:p w:rsidR="00000000" w:rsidRDefault="00457650" w:rsidP="00457650">
            <w:pPr>
              <w:widowControl/>
              <w:tabs>
                <w:tab w:val="left" w:pos="630"/>
              </w:tabs>
              <w:spacing w:after="100" w:line="320" w:lineRule="exact"/>
              <w:ind w:leftChars="50" w:left="31680" w:rightChars="235" w:right="31680"/>
              <w:jc w:val="right"/>
              <w:rPr>
                <w:sz w:val="18"/>
              </w:rPr>
            </w:pPr>
            <w:r>
              <w:rPr>
                <w:sz w:val="18"/>
              </w:rPr>
              <w:t>5 256 931</w:t>
            </w:r>
          </w:p>
        </w:tc>
        <w:tc>
          <w:tcPr>
            <w:tcW w:w="745"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35.6</w:t>
            </w:r>
          </w:p>
        </w:tc>
        <w:tc>
          <w:tcPr>
            <w:tcW w:w="1011"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32.6</w:t>
            </w:r>
          </w:p>
        </w:tc>
        <w:tc>
          <w:tcPr>
            <w:tcW w:w="982"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31.8</w:t>
            </w:r>
          </w:p>
        </w:tc>
      </w:tr>
      <w:tr w:rsidR="00000000">
        <w:tblPrEx>
          <w:tblCellMar>
            <w:top w:w="0" w:type="dxa"/>
            <w:bottom w:w="0" w:type="dxa"/>
          </w:tblCellMar>
        </w:tblPrEx>
        <w:trPr>
          <w:jc w:val="center"/>
        </w:trPr>
        <w:tc>
          <w:tcPr>
            <w:tcW w:w="1301" w:type="pct"/>
          </w:tcPr>
          <w:p w:rsidR="00000000" w:rsidRDefault="00457650" w:rsidP="00457650">
            <w:pPr>
              <w:widowControl/>
              <w:tabs>
                <w:tab w:val="left" w:pos="630"/>
              </w:tabs>
              <w:spacing w:after="100" w:line="320" w:lineRule="exact"/>
              <w:ind w:leftChars="50" w:left="31680" w:rightChars="50" w:right="31680"/>
              <w:rPr>
                <w:rFonts w:hint="eastAsia"/>
                <w:sz w:val="18"/>
              </w:rPr>
            </w:pPr>
            <w:r>
              <w:rPr>
                <w:rFonts w:hint="eastAsia"/>
                <w:sz w:val="18"/>
              </w:rPr>
              <w:t>6-14</w:t>
            </w:r>
            <w:r>
              <w:rPr>
                <w:rFonts w:hint="eastAsia"/>
                <w:sz w:val="18"/>
              </w:rPr>
              <w:t>岁</w:t>
            </w:r>
          </w:p>
        </w:tc>
        <w:tc>
          <w:tcPr>
            <w:tcW w:w="961" w:type="pct"/>
          </w:tcPr>
          <w:p w:rsidR="00000000" w:rsidRDefault="00457650" w:rsidP="00457650">
            <w:pPr>
              <w:widowControl/>
              <w:tabs>
                <w:tab w:val="left" w:pos="630"/>
              </w:tabs>
              <w:spacing w:after="100" w:line="320" w:lineRule="exact"/>
              <w:ind w:leftChars="50" w:left="31680" w:rightChars="235" w:right="31680"/>
              <w:jc w:val="right"/>
              <w:rPr>
                <w:sz w:val="18"/>
              </w:rPr>
            </w:pPr>
            <w:r>
              <w:rPr>
                <w:sz w:val="18"/>
              </w:rPr>
              <w:t>10 898 810</w:t>
            </w:r>
          </w:p>
        </w:tc>
        <w:tc>
          <w:tcPr>
            <w:tcW w:w="745"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35.4</w:t>
            </w:r>
          </w:p>
        </w:tc>
        <w:tc>
          <w:tcPr>
            <w:tcW w:w="1011"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31.2</w:t>
            </w:r>
          </w:p>
        </w:tc>
        <w:tc>
          <w:tcPr>
            <w:tcW w:w="982"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33.4</w:t>
            </w:r>
          </w:p>
        </w:tc>
      </w:tr>
      <w:tr w:rsidR="00000000">
        <w:tblPrEx>
          <w:tblCellMar>
            <w:top w:w="0" w:type="dxa"/>
            <w:bottom w:w="0" w:type="dxa"/>
          </w:tblCellMar>
        </w:tblPrEx>
        <w:trPr>
          <w:jc w:val="center"/>
        </w:trPr>
        <w:tc>
          <w:tcPr>
            <w:tcW w:w="1301" w:type="pct"/>
          </w:tcPr>
          <w:p w:rsidR="00000000" w:rsidRDefault="00457650" w:rsidP="00457650">
            <w:pPr>
              <w:widowControl/>
              <w:tabs>
                <w:tab w:val="left" w:pos="630"/>
              </w:tabs>
              <w:spacing w:after="100" w:line="320" w:lineRule="exact"/>
              <w:ind w:leftChars="50" w:left="31680" w:rightChars="50" w:right="31680"/>
              <w:rPr>
                <w:rFonts w:hint="eastAsia"/>
                <w:sz w:val="18"/>
              </w:rPr>
            </w:pPr>
            <w:r>
              <w:rPr>
                <w:rFonts w:hint="eastAsia"/>
                <w:sz w:val="18"/>
              </w:rPr>
              <w:t>15-64</w:t>
            </w:r>
            <w:r>
              <w:rPr>
                <w:rFonts w:hint="eastAsia"/>
                <w:sz w:val="18"/>
              </w:rPr>
              <w:t>岁</w:t>
            </w:r>
          </w:p>
        </w:tc>
        <w:tc>
          <w:tcPr>
            <w:tcW w:w="961" w:type="pct"/>
          </w:tcPr>
          <w:p w:rsidR="00000000" w:rsidRDefault="00457650" w:rsidP="00457650">
            <w:pPr>
              <w:widowControl/>
              <w:tabs>
                <w:tab w:val="left" w:pos="630"/>
              </w:tabs>
              <w:spacing w:after="100" w:line="320" w:lineRule="exact"/>
              <w:ind w:leftChars="50" w:left="31680" w:rightChars="235" w:right="31680"/>
              <w:jc w:val="right"/>
              <w:rPr>
                <w:sz w:val="18"/>
              </w:rPr>
            </w:pPr>
            <w:r>
              <w:rPr>
                <w:sz w:val="18"/>
              </w:rPr>
              <w:t>26 925 920</w:t>
            </w:r>
          </w:p>
        </w:tc>
        <w:tc>
          <w:tcPr>
            <w:tcW w:w="745"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39.6</w:t>
            </w:r>
          </w:p>
        </w:tc>
        <w:tc>
          <w:tcPr>
            <w:tcW w:w="1011"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36.7</w:t>
            </w:r>
          </w:p>
        </w:tc>
        <w:tc>
          <w:tcPr>
            <w:tcW w:w="982"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23.7</w:t>
            </w:r>
          </w:p>
        </w:tc>
      </w:tr>
      <w:tr w:rsidR="00000000">
        <w:tblPrEx>
          <w:tblCellMar>
            <w:top w:w="0" w:type="dxa"/>
            <w:bottom w:w="0" w:type="dxa"/>
          </w:tblCellMar>
        </w:tblPrEx>
        <w:trPr>
          <w:jc w:val="center"/>
        </w:trPr>
        <w:tc>
          <w:tcPr>
            <w:tcW w:w="1301" w:type="pct"/>
          </w:tcPr>
          <w:p w:rsidR="00000000" w:rsidRDefault="00457650" w:rsidP="00457650">
            <w:pPr>
              <w:widowControl/>
              <w:tabs>
                <w:tab w:val="left" w:pos="630"/>
              </w:tabs>
              <w:spacing w:after="100" w:line="320" w:lineRule="exact"/>
              <w:ind w:leftChars="50" w:left="31680" w:rightChars="50" w:right="31680"/>
              <w:rPr>
                <w:rFonts w:hint="eastAsia"/>
                <w:sz w:val="18"/>
              </w:rPr>
            </w:pPr>
            <w:r>
              <w:rPr>
                <w:rFonts w:hint="eastAsia"/>
                <w:sz w:val="18"/>
              </w:rPr>
              <w:t>65</w:t>
            </w:r>
            <w:r>
              <w:rPr>
                <w:rFonts w:hint="eastAsia"/>
                <w:sz w:val="18"/>
              </w:rPr>
              <w:t>岁及以上</w:t>
            </w:r>
          </w:p>
        </w:tc>
        <w:tc>
          <w:tcPr>
            <w:tcW w:w="961" w:type="pct"/>
          </w:tcPr>
          <w:p w:rsidR="00000000" w:rsidRDefault="00457650" w:rsidP="00457650">
            <w:pPr>
              <w:widowControl/>
              <w:tabs>
                <w:tab w:val="left" w:pos="630"/>
              </w:tabs>
              <w:spacing w:after="100" w:line="320" w:lineRule="exact"/>
              <w:ind w:leftChars="50" w:left="31680" w:rightChars="235" w:right="31680"/>
              <w:jc w:val="right"/>
              <w:rPr>
                <w:sz w:val="18"/>
              </w:rPr>
            </w:pPr>
            <w:r>
              <w:rPr>
                <w:sz w:val="18"/>
              </w:rPr>
              <w:t>2 140 382</w:t>
            </w:r>
          </w:p>
        </w:tc>
        <w:tc>
          <w:tcPr>
            <w:tcW w:w="745"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46.5</w:t>
            </w:r>
          </w:p>
        </w:tc>
        <w:tc>
          <w:tcPr>
            <w:tcW w:w="1011"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32.7</w:t>
            </w:r>
          </w:p>
        </w:tc>
        <w:tc>
          <w:tcPr>
            <w:tcW w:w="982"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20.8</w:t>
            </w:r>
          </w:p>
        </w:tc>
      </w:tr>
      <w:tr w:rsidR="00000000">
        <w:tblPrEx>
          <w:tblCellMar>
            <w:top w:w="0" w:type="dxa"/>
            <w:bottom w:w="0" w:type="dxa"/>
          </w:tblCellMar>
        </w:tblPrEx>
        <w:trPr>
          <w:jc w:val="center"/>
        </w:trPr>
        <w:tc>
          <w:tcPr>
            <w:tcW w:w="1301" w:type="pct"/>
          </w:tcPr>
          <w:p w:rsidR="00000000" w:rsidRDefault="00457650" w:rsidP="00457650">
            <w:pPr>
              <w:widowControl/>
              <w:tabs>
                <w:tab w:val="left" w:pos="630"/>
              </w:tabs>
              <w:spacing w:after="100" w:line="320" w:lineRule="exact"/>
              <w:ind w:leftChars="50" w:left="31680" w:rightChars="50" w:right="31680"/>
              <w:rPr>
                <w:rFonts w:hint="eastAsia"/>
                <w:sz w:val="18"/>
              </w:rPr>
            </w:pPr>
            <w:r>
              <w:rPr>
                <w:rFonts w:hint="eastAsia"/>
                <w:sz w:val="18"/>
              </w:rPr>
              <w:t>不明</w:t>
            </w:r>
          </w:p>
        </w:tc>
        <w:tc>
          <w:tcPr>
            <w:tcW w:w="961" w:type="pct"/>
          </w:tcPr>
          <w:p w:rsidR="00000000" w:rsidRDefault="00457650" w:rsidP="00457650">
            <w:pPr>
              <w:widowControl/>
              <w:tabs>
                <w:tab w:val="left" w:pos="630"/>
              </w:tabs>
              <w:spacing w:after="100" w:line="320" w:lineRule="exact"/>
              <w:ind w:leftChars="50" w:left="31680" w:rightChars="235" w:right="31680"/>
              <w:jc w:val="right"/>
              <w:rPr>
                <w:sz w:val="18"/>
              </w:rPr>
            </w:pPr>
            <w:r>
              <w:rPr>
                <w:sz w:val="18"/>
              </w:rPr>
              <w:t>129 988</w:t>
            </w:r>
          </w:p>
        </w:tc>
        <w:tc>
          <w:tcPr>
            <w:tcW w:w="745"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31.</w:t>
            </w:r>
            <w:r>
              <w:rPr>
                <w:sz w:val="18"/>
              </w:rPr>
              <w:t>3</w:t>
            </w:r>
          </w:p>
        </w:tc>
        <w:tc>
          <w:tcPr>
            <w:tcW w:w="1011"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36.9</w:t>
            </w:r>
          </w:p>
        </w:tc>
        <w:tc>
          <w:tcPr>
            <w:tcW w:w="982"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31.8</w:t>
            </w:r>
          </w:p>
        </w:tc>
      </w:tr>
      <w:tr w:rsidR="00000000">
        <w:tblPrEx>
          <w:tblCellMar>
            <w:top w:w="0" w:type="dxa"/>
            <w:bottom w:w="0" w:type="dxa"/>
          </w:tblCellMar>
        </w:tblPrEx>
        <w:trPr>
          <w:jc w:val="center"/>
        </w:trPr>
        <w:tc>
          <w:tcPr>
            <w:tcW w:w="1301" w:type="pct"/>
          </w:tcPr>
          <w:p w:rsidR="00000000" w:rsidRDefault="00457650" w:rsidP="00457650">
            <w:pPr>
              <w:widowControl/>
              <w:tabs>
                <w:tab w:val="left" w:pos="630"/>
              </w:tabs>
              <w:spacing w:after="100" w:line="320" w:lineRule="exact"/>
              <w:ind w:leftChars="50" w:left="31680" w:rightChars="50" w:right="31680"/>
              <w:rPr>
                <w:rFonts w:hint="eastAsia"/>
                <w:sz w:val="18"/>
              </w:rPr>
            </w:pPr>
            <w:r>
              <w:rPr>
                <w:rFonts w:hint="eastAsia"/>
                <w:sz w:val="18"/>
              </w:rPr>
              <w:t>女</w:t>
            </w:r>
          </w:p>
        </w:tc>
        <w:tc>
          <w:tcPr>
            <w:tcW w:w="961" w:type="pct"/>
          </w:tcPr>
          <w:p w:rsidR="00000000" w:rsidRDefault="00457650" w:rsidP="00457650">
            <w:pPr>
              <w:widowControl/>
              <w:tabs>
                <w:tab w:val="left" w:pos="630"/>
              </w:tabs>
              <w:spacing w:after="100" w:line="320" w:lineRule="exact"/>
              <w:ind w:leftChars="50" w:left="31680" w:rightChars="235" w:right="31680"/>
              <w:jc w:val="right"/>
              <w:rPr>
                <w:sz w:val="18"/>
              </w:rPr>
            </w:pPr>
            <w:r>
              <w:rPr>
                <w:sz w:val="18"/>
              </w:rPr>
              <w:t>48 119 229</w:t>
            </w:r>
          </w:p>
        </w:tc>
        <w:tc>
          <w:tcPr>
            <w:tcW w:w="745"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39.4</w:t>
            </w:r>
          </w:p>
        </w:tc>
        <w:tc>
          <w:tcPr>
            <w:tcW w:w="1011"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33.7</w:t>
            </w:r>
          </w:p>
        </w:tc>
        <w:tc>
          <w:tcPr>
            <w:tcW w:w="982"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26.9</w:t>
            </w:r>
          </w:p>
        </w:tc>
      </w:tr>
      <w:tr w:rsidR="00000000">
        <w:tblPrEx>
          <w:tblCellMar>
            <w:top w:w="0" w:type="dxa"/>
            <w:bottom w:w="0" w:type="dxa"/>
          </w:tblCellMar>
        </w:tblPrEx>
        <w:trPr>
          <w:jc w:val="center"/>
        </w:trPr>
        <w:tc>
          <w:tcPr>
            <w:tcW w:w="1301" w:type="pct"/>
          </w:tcPr>
          <w:p w:rsidR="00000000" w:rsidRDefault="00457650" w:rsidP="00457650">
            <w:pPr>
              <w:widowControl/>
              <w:tabs>
                <w:tab w:val="left" w:pos="630"/>
              </w:tabs>
              <w:spacing w:after="100" w:line="320" w:lineRule="exact"/>
              <w:ind w:leftChars="50" w:left="31680" w:rightChars="50" w:right="31680"/>
              <w:rPr>
                <w:rFonts w:hint="eastAsia"/>
                <w:sz w:val="18"/>
              </w:rPr>
            </w:pPr>
            <w:r>
              <w:rPr>
                <w:rFonts w:hint="eastAsia"/>
                <w:sz w:val="18"/>
              </w:rPr>
              <w:t>0-4</w:t>
            </w:r>
            <w:r>
              <w:rPr>
                <w:rFonts w:hint="eastAsia"/>
                <w:sz w:val="18"/>
              </w:rPr>
              <w:t>岁</w:t>
            </w:r>
          </w:p>
        </w:tc>
        <w:tc>
          <w:tcPr>
            <w:tcW w:w="961" w:type="pct"/>
          </w:tcPr>
          <w:p w:rsidR="00000000" w:rsidRDefault="00457650" w:rsidP="00457650">
            <w:pPr>
              <w:widowControl/>
              <w:tabs>
                <w:tab w:val="left" w:pos="630"/>
              </w:tabs>
              <w:spacing w:after="100" w:line="320" w:lineRule="exact"/>
              <w:ind w:leftChars="50" w:left="31680" w:rightChars="235" w:right="31680"/>
              <w:jc w:val="right"/>
              <w:rPr>
                <w:sz w:val="18"/>
              </w:rPr>
            </w:pPr>
            <w:r>
              <w:rPr>
                <w:sz w:val="18"/>
              </w:rPr>
              <w:t>5 080 100</w:t>
            </w:r>
          </w:p>
        </w:tc>
        <w:tc>
          <w:tcPr>
            <w:tcW w:w="745"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35.5</w:t>
            </w:r>
          </w:p>
        </w:tc>
        <w:tc>
          <w:tcPr>
            <w:tcW w:w="1011"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32.6</w:t>
            </w:r>
          </w:p>
        </w:tc>
        <w:tc>
          <w:tcPr>
            <w:tcW w:w="982"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31.9</w:t>
            </w:r>
          </w:p>
        </w:tc>
      </w:tr>
      <w:tr w:rsidR="00000000">
        <w:tblPrEx>
          <w:tblCellMar>
            <w:top w:w="0" w:type="dxa"/>
            <w:bottom w:w="0" w:type="dxa"/>
          </w:tblCellMar>
        </w:tblPrEx>
        <w:trPr>
          <w:jc w:val="center"/>
        </w:trPr>
        <w:tc>
          <w:tcPr>
            <w:tcW w:w="1301" w:type="pct"/>
          </w:tcPr>
          <w:p w:rsidR="00000000" w:rsidRDefault="00457650" w:rsidP="00457650">
            <w:pPr>
              <w:widowControl/>
              <w:tabs>
                <w:tab w:val="left" w:pos="630"/>
              </w:tabs>
              <w:spacing w:after="100" w:line="320" w:lineRule="exact"/>
              <w:ind w:leftChars="50" w:left="31680" w:rightChars="50" w:right="31680"/>
              <w:rPr>
                <w:rFonts w:hint="eastAsia"/>
                <w:sz w:val="18"/>
              </w:rPr>
            </w:pPr>
            <w:r>
              <w:rPr>
                <w:rFonts w:hint="eastAsia"/>
                <w:sz w:val="18"/>
              </w:rPr>
              <w:t>6-14</w:t>
            </w:r>
            <w:r>
              <w:rPr>
                <w:rFonts w:hint="eastAsia"/>
                <w:sz w:val="18"/>
              </w:rPr>
              <w:t>岁</w:t>
            </w:r>
          </w:p>
        </w:tc>
        <w:tc>
          <w:tcPr>
            <w:tcW w:w="961" w:type="pct"/>
          </w:tcPr>
          <w:p w:rsidR="00000000" w:rsidRDefault="00457650" w:rsidP="00457650">
            <w:pPr>
              <w:widowControl/>
              <w:tabs>
                <w:tab w:val="left" w:pos="630"/>
              </w:tabs>
              <w:spacing w:after="100" w:line="320" w:lineRule="exact"/>
              <w:ind w:leftChars="50" w:left="31680" w:rightChars="235" w:right="31680"/>
              <w:jc w:val="right"/>
              <w:rPr>
                <w:sz w:val="18"/>
              </w:rPr>
            </w:pPr>
            <w:r>
              <w:rPr>
                <w:sz w:val="18"/>
              </w:rPr>
              <w:t>10 632 394</w:t>
            </w:r>
          </w:p>
        </w:tc>
        <w:tc>
          <w:tcPr>
            <w:tcW w:w="745"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35.1</w:t>
            </w:r>
          </w:p>
        </w:tc>
        <w:tc>
          <w:tcPr>
            <w:tcW w:w="1011"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31.5</w:t>
            </w:r>
          </w:p>
        </w:tc>
        <w:tc>
          <w:tcPr>
            <w:tcW w:w="982"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33.4</w:t>
            </w:r>
          </w:p>
        </w:tc>
      </w:tr>
      <w:tr w:rsidR="00000000">
        <w:tblPrEx>
          <w:tblCellMar>
            <w:top w:w="0" w:type="dxa"/>
            <w:bottom w:w="0" w:type="dxa"/>
          </w:tblCellMar>
        </w:tblPrEx>
        <w:trPr>
          <w:jc w:val="center"/>
        </w:trPr>
        <w:tc>
          <w:tcPr>
            <w:tcW w:w="1301" w:type="pct"/>
          </w:tcPr>
          <w:p w:rsidR="00000000" w:rsidRDefault="00457650" w:rsidP="00457650">
            <w:pPr>
              <w:widowControl/>
              <w:tabs>
                <w:tab w:val="left" w:pos="630"/>
              </w:tabs>
              <w:spacing w:after="100" w:line="320" w:lineRule="exact"/>
              <w:ind w:leftChars="50" w:left="31680" w:rightChars="50" w:right="31680"/>
              <w:rPr>
                <w:rFonts w:hint="eastAsia"/>
                <w:sz w:val="18"/>
              </w:rPr>
            </w:pPr>
            <w:r>
              <w:rPr>
                <w:rFonts w:hint="eastAsia"/>
                <w:sz w:val="18"/>
              </w:rPr>
              <w:t>15-64</w:t>
            </w:r>
            <w:r>
              <w:rPr>
                <w:rFonts w:hint="eastAsia"/>
                <w:sz w:val="18"/>
              </w:rPr>
              <w:t>岁</w:t>
            </w:r>
          </w:p>
        </w:tc>
        <w:tc>
          <w:tcPr>
            <w:tcW w:w="961" w:type="pct"/>
          </w:tcPr>
          <w:p w:rsidR="00000000" w:rsidRDefault="00457650" w:rsidP="00457650">
            <w:pPr>
              <w:widowControl/>
              <w:tabs>
                <w:tab w:val="left" w:pos="630"/>
              </w:tabs>
              <w:spacing w:after="100" w:line="320" w:lineRule="exact"/>
              <w:ind w:leftChars="50" w:left="31680" w:rightChars="235" w:right="31680"/>
              <w:jc w:val="right"/>
              <w:rPr>
                <w:sz w:val="18"/>
              </w:rPr>
            </w:pPr>
            <w:r>
              <w:rPr>
                <w:sz w:val="18"/>
              </w:rPr>
              <w:t>29 785 096</w:t>
            </w:r>
          </w:p>
        </w:tc>
        <w:tc>
          <w:tcPr>
            <w:tcW w:w="745"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41.0</w:t>
            </w:r>
          </w:p>
        </w:tc>
        <w:tc>
          <w:tcPr>
            <w:tcW w:w="1011"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34.6</w:t>
            </w:r>
          </w:p>
        </w:tc>
        <w:tc>
          <w:tcPr>
            <w:tcW w:w="982"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24.4</w:t>
            </w:r>
          </w:p>
        </w:tc>
      </w:tr>
      <w:tr w:rsidR="00000000">
        <w:tblPrEx>
          <w:tblCellMar>
            <w:top w:w="0" w:type="dxa"/>
            <w:bottom w:w="0" w:type="dxa"/>
          </w:tblCellMar>
        </w:tblPrEx>
        <w:trPr>
          <w:jc w:val="center"/>
        </w:trPr>
        <w:tc>
          <w:tcPr>
            <w:tcW w:w="1301" w:type="pct"/>
          </w:tcPr>
          <w:p w:rsidR="00000000" w:rsidRDefault="00457650" w:rsidP="00457650">
            <w:pPr>
              <w:widowControl/>
              <w:tabs>
                <w:tab w:val="left" w:pos="630"/>
              </w:tabs>
              <w:spacing w:after="100" w:line="320" w:lineRule="exact"/>
              <w:ind w:leftChars="50" w:left="31680" w:rightChars="50" w:right="31680"/>
              <w:rPr>
                <w:rFonts w:hint="eastAsia"/>
                <w:sz w:val="18"/>
              </w:rPr>
            </w:pPr>
            <w:r>
              <w:rPr>
                <w:rFonts w:hint="eastAsia"/>
                <w:sz w:val="18"/>
              </w:rPr>
              <w:t>65</w:t>
            </w:r>
            <w:r>
              <w:rPr>
                <w:rFonts w:hint="eastAsia"/>
                <w:sz w:val="18"/>
              </w:rPr>
              <w:t>岁及以上</w:t>
            </w:r>
          </w:p>
        </w:tc>
        <w:tc>
          <w:tcPr>
            <w:tcW w:w="961" w:type="pct"/>
          </w:tcPr>
          <w:p w:rsidR="00000000" w:rsidRDefault="00457650" w:rsidP="00457650">
            <w:pPr>
              <w:widowControl/>
              <w:tabs>
                <w:tab w:val="left" w:pos="630"/>
              </w:tabs>
              <w:spacing w:after="100" w:line="320" w:lineRule="exact"/>
              <w:ind w:leftChars="50" w:left="31680" w:rightChars="235" w:right="31680"/>
              <w:jc w:val="right"/>
              <w:rPr>
                <w:sz w:val="18"/>
              </w:rPr>
            </w:pPr>
            <w:r>
              <w:rPr>
                <w:sz w:val="18"/>
              </w:rPr>
              <w:t>2 497 122</w:t>
            </w:r>
          </w:p>
        </w:tc>
        <w:tc>
          <w:tcPr>
            <w:tcW w:w="745"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45.8</w:t>
            </w:r>
          </w:p>
        </w:tc>
        <w:tc>
          <w:tcPr>
            <w:tcW w:w="1011"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34.5</w:t>
            </w:r>
          </w:p>
        </w:tc>
        <w:tc>
          <w:tcPr>
            <w:tcW w:w="982" w:type="pct"/>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19.7</w:t>
            </w:r>
          </w:p>
        </w:tc>
      </w:tr>
      <w:tr w:rsidR="00000000">
        <w:tblPrEx>
          <w:tblCellMar>
            <w:top w:w="0" w:type="dxa"/>
            <w:bottom w:w="0" w:type="dxa"/>
          </w:tblCellMar>
        </w:tblPrEx>
        <w:trPr>
          <w:jc w:val="center"/>
        </w:trPr>
        <w:tc>
          <w:tcPr>
            <w:tcW w:w="1301" w:type="pct"/>
            <w:tcBorders>
              <w:bottom w:val="single" w:sz="4" w:space="0" w:color="auto"/>
            </w:tcBorders>
          </w:tcPr>
          <w:p w:rsidR="00000000" w:rsidRDefault="00457650" w:rsidP="00457650">
            <w:pPr>
              <w:widowControl/>
              <w:tabs>
                <w:tab w:val="left" w:pos="630"/>
              </w:tabs>
              <w:spacing w:after="100" w:line="320" w:lineRule="exact"/>
              <w:ind w:leftChars="50" w:left="31680" w:rightChars="50" w:right="31680"/>
              <w:rPr>
                <w:rFonts w:hint="eastAsia"/>
                <w:sz w:val="18"/>
              </w:rPr>
            </w:pPr>
            <w:r>
              <w:rPr>
                <w:rFonts w:hint="eastAsia"/>
                <w:sz w:val="18"/>
              </w:rPr>
              <w:t>不明</w:t>
            </w:r>
          </w:p>
        </w:tc>
        <w:tc>
          <w:tcPr>
            <w:tcW w:w="961" w:type="pct"/>
            <w:tcBorders>
              <w:bottom w:val="single" w:sz="4" w:space="0" w:color="auto"/>
            </w:tcBorders>
          </w:tcPr>
          <w:p w:rsidR="00000000" w:rsidRDefault="00457650" w:rsidP="00457650">
            <w:pPr>
              <w:widowControl/>
              <w:tabs>
                <w:tab w:val="left" w:pos="630"/>
              </w:tabs>
              <w:spacing w:after="100" w:line="320" w:lineRule="exact"/>
              <w:ind w:leftChars="50" w:left="31680" w:rightChars="235" w:right="31680"/>
              <w:jc w:val="right"/>
              <w:rPr>
                <w:sz w:val="18"/>
              </w:rPr>
            </w:pPr>
            <w:r>
              <w:rPr>
                <w:sz w:val="18"/>
              </w:rPr>
              <w:t>124 517</w:t>
            </w:r>
          </w:p>
        </w:tc>
        <w:tc>
          <w:tcPr>
            <w:tcW w:w="745" w:type="pct"/>
            <w:tcBorders>
              <w:bottom w:val="single" w:sz="4" w:space="0" w:color="auto"/>
            </w:tcBorders>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32.4</w:t>
            </w:r>
          </w:p>
        </w:tc>
        <w:tc>
          <w:tcPr>
            <w:tcW w:w="1011" w:type="pct"/>
            <w:tcBorders>
              <w:bottom w:val="single" w:sz="4" w:space="0" w:color="auto"/>
            </w:tcBorders>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37.3</w:t>
            </w:r>
          </w:p>
        </w:tc>
        <w:tc>
          <w:tcPr>
            <w:tcW w:w="982" w:type="pct"/>
            <w:tcBorders>
              <w:bottom w:val="single" w:sz="4" w:space="0" w:color="auto"/>
            </w:tcBorders>
          </w:tcPr>
          <w:p w:rsidR="00000000" w:rsidRDefault="00457650" w:rsidP="00457650">
            <w:pPr>
              <w:widowControl/>
              <w:tabs>
                <w:tab w:val="left" w:pos="630"/>
              </w:tabs>
              <w:spacing w:after="100" w:line="320" w:lineRule="exact"/>
              <w:ind w:leftChars="50" w:left="31680" w:rightChars="50" w:right="31680"/>
              <w:jc w:val="center"/>
              <w:rPr>
                <w:sz w:val="18"/>
              </w:rPr>
            </w:pPr>
            <w:r>
              <w:rPr>
                <w:sz w:val="18"/>
              </w:rPr>
              <w:t>30.3</w:t>
            </w:r>
          </w:p>
        </w:tc>
      </w:tr>
    </w:tbl>
    <w:p w:rsidR="00000000" w:rsidRDefault="00457650">
      <w:pPr>
        <w:widowControl/>
        <w:tabs>
          <w:tab w:val="left" w:pos="630"/>
        </w:tabs>
        <w:spacing w:line="360" w:lineRule="exact"/>
        <w:rPr>
          <w:rFonts w:hint="eastAsia"/>
          <w:sz w:val="18"/>
        </w:rPr>
      </w:pPr>
      <w:r>
        <w:rPr>
          <w:rFonts w:eastAsia="KaiTi_GB2312" w:hint="eastAsia"/>
          <w:iCs/>
          <w:sz w:val="18"/>
        </w:rPr>
        <w:t>资料来源</w:t>
      </w:r>
      <w:r>
        <w:rPr>
          <w:rFonts w:hint="eastAsia"/>
          <w:sz w:val="18"/>
        </w:rPr>
        <w:t>：国家统计、地理和信息技术研究所，第</w:t>
      </w:r>
      <w:r>
        <w:rPr>
          <w:rFonts w:hint="eastAsia"/>
          <w:sz w:val="18"/>
        </w:rPr>
        <w:t>12</w:t>
      </w:r>
      <w:r>
        <w:rPr>
          <w:rFonts w:hint="eastAsia"/>
          <w:sz w:val="18"/>
        </w:rPr>
        <w:t>次一般人口和住房普查，</w:t>
      </w:r>
      <w:r>
        <w:rPr>
          <w:rFonts w:hint="eastAsia"/>
          <w:sz w:val="18"/>
        </w:rPr>
        <w:t>2000</w:t>
      </w:r>
      <w:r>
        <w:rPr>
          <w:rFonts w:hint="eastAsia"/>
          <w:sz w:val="18"/>
        </w:rPr>
        <w:t>年。普查采样数据库。</w:t>
      </w:r>
    </w:p>
    <w:p w:rsidR="00000000" w:rsidRDefault="00457650">
      <w:pPr>
        <w:widowControl/>
        <w:tabs>
          <w:tab w:val="left" w:pos="630"/>
        </w:tabs>
        <w:spacing w:line="360" w:lineRule="exact"/>
        <w:rPr>
          <w:rFonts w:hint="eastAsia"/>
          <w:sz w:val="18"/>
        </w:rPr>
      </w:pPr>
      <w:r>
        <w:rPr>
          <w:rFonts w:hint="eastAsia"/>
          <w:sz w:val="18"/>
          <w:vertAlign w:val="superscript"/>
        </w:rPr>
        <w:t>a</w:t>
      </w:r>
      <w:r>
        <w:rPr>
          <w:rFonts w:hint="eastAsia"/>
          <w:sz w:val="18"/>
        </w:rPr>
        <w:t xml:space="preserve">  </w:t>
      </w:r>
      <w:r>
        <w:rPr>
          <w:rFonts w:hint="eastAsia"/>
          <w:sz w:val="18"/>
        </w:rPr>
        <w:t>包括州</w:t>
      </w:r>
      <w:r>
        <w:rPr>
          <w:rFonts w:hint="eastAsia"/>
          <w:sz w:val="18"/>
        </w:rPr>
        <w:t>政府的社会保险服务。</w:t>
      </w:r>
    </w:p>
    <w:p w:rsidR="00000000" w:rsidRDefault="00457650">
      <w:pPr>
        <w:widowControl/>
        <w:tabs>
          <w:tab w:val="left" w:pos="630"/>
        </w:tabs>
        <w:spacing w:after="240" w:line="360" w:lineRule="exact"/>
        <w:rPr>
          <w:rFonts w:hint="eastAsia"/>
          <w:sz w:val="18"/>
        </w:rPr>
      </w:pPr>
      <w:r>
        <w:rPr>
          <w:rFonts w:hint="eastAsia"/>
          <w:sz w:val="18"/>
          <w:vertAlign w:val="superscript"/>
        </w:rPr>
        <w:t>b</w:t>
      </w:r>
      <w:r>
        <w:rPr>
          <w:rFonts w:hint="eastAsia"/>
          <w:sz w:val="18"/>
        </w:rPr>
        <w:t xml:space="preserve">  </w:t>
      </w:r>
      <w:r>
        <w:rPr>
          <w:rFonts w:hint="eastAsia"/>
          <w:sz w:val="18"/>
        </w:rPr>
        <w:t>包括私人医生治疗的病人。</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51</w:t>
      </w:r>
      <w:r>
        <w:rPr>
          <w:rFonts w:ascii="SimHei" w:eastAsia="SimHei" w:hint="eastAsia"/>
        </w:rPr>
        <w:t>段（</w:t>
      </w:r>
      <w:r>
        <w:rPr>
          <w:rFonts w:ascii="SimHei" w:eastAsia="SimHei" w:hint="eastAsia"/>
        </w:rPr>
        <w:t>a</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512.</w:t>
      </w:r>
      <w:r>
        <w:rPr>
          <w:rFonts w:hint="eastAsia"/>
        </w:rPr>
        <w:tab/>
        <w:t>2003</w:t>
      </w:r>
      <w:r>
        <w:rPr>
          <w:rFonts w:hint="eastAsia"/>
        </w:rPr>
        <w:t>年完成了国家卫生系统的结构改革，以纠正墨西哥卫生系统的五项财政不平衡。它的主要目的在于实现</w:t>
      </w:r>
      <w:r>
        <w:rPr>
          <w:rFonts w:hint="eastAsia"/>
        </w:rPr>
        <w:t>2001</w:t>
      </w:r>
      <w:r>
        <w:t>-</w:t>
      </w:r>
      <w:r>
        <w:rPr>
          <w:rFonts w:hint="eastAsia"/>
        </w:rPr>
        <w:t>2006</w:t>
      </w:r>
      <w:r>
        <w:rPr>
          <w:rFonts w:hint="eastAsia"/>
        </w:rPr>
        <w:t>年国家健康计划第四项目标，即保证公平的保健投资，以此落实财政保护目标的要求。</w:t>
      </w:r>
    </w:p>
    <w:p w:rsidR="00000000" w:rsidRDefault="00457650">
      <w:pPr>
        <w:widowControl/>
        <w:tabs>
          <w:tab w:val="left" w:pos="630"/>
        </w:tabs>
        <w:spacing w:after="240" w:line="360" w:lineRule="exact"/>
        <w:rPr>
          <w:rFonts w:hint="eastAsia"/>
        </w:rPr>
      </w:pPr>
      <w:r>
        <w:rPr>
          <w:rFonts w:hint="eastAsia"/>
        </w:rPr>
        <w:t>513.</w:t>
      </w:r>
      <w:r>
        <w:rPr>
          <w:rFonts w:hint="eastAsia"/>
        </w:rPr>
        <w:tab/>
      </w:r>
      <w:r>
        <w:rPr>
          <w:rFonts w:hint="eastAsia"/>
        </w:rPr>
        <w:t>改革还包括提供有利于实现其他四项目标的手段以及有利于增强公正性和提高服务问题的手段。这次改革旨在建立一个新的卫生系统，以更好地满足墨西哥人口和流行病学变化的需要，并抓住墨西哥政治、经济和社会发展所带来的机遇。</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51</w:t>
      </w:r>
      <w:r>
        <w:rPr>
          <w:rFonts w:ascii="SimHei" w:eastAsia="SimHei" w:hint="eastAsia"/>
        </w:rPr>
        <w:t>段（</w:t>
      </w:r>
      <w:r>
        <w:rPr>
          <w:rFonts w:ascii="SimHei" w:eastAsia="SimHei" w:hint="eastAsia"/>
        </w:rPr>
        <w:t>b</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5</w:t>
      </w:r>
      <w:r>
        <w:rPr>
          <w:rFonts w:hint="eastAsia"/>
        </w:rPr>
        <w:t>14.</w:t>
      </w:r>
      <w:r>
        <w:rPr>
          <w:rFonts w:hint="eastAsia"/>
        </w:rPr>
        <w:tab/>
      </w:r>
      <w:r>
        <w:rPr>
          <w:rFonts w:hint="eastAsia"/>
        </w:rPr>
        <w:t>本报告第</w:t>
      </w:r>
      <w:r>
        <w:rPr>
          <w:rFonts w:hint="eastAsia"/>
        </w:rPr>
        <w:t>12.1</w:t>
      </w:r>
      <w:r>
        <w:rPr>
          <w:rFonts w:hint="eastAsia"/>
        </w:rPr>
        <w:t>条介绍了与墨西哥心理健康情况相关的问题。</w:t>
      </w:r>
    </w:p>
    <w:p w:rsidR="00000000" w:rsidRDefault="00457650">
      <w:pPr>
        <w:widowControl/>
        <w:tabs>
          <w:tab w:val="left" w:pos="630"/>
        </w:tabs>
        <w:spacing w:after="240" w:line="360" w:lineRule="exact"/>
        <w:rPr>
          <w:rFonts w:hint="eastAsia"/>
        </w:rPr>
      </w:pPr>
      <w:r>
        <w:rPr>
          <w:rFonts w:hint="eastAsia"/>
        </w:rPr>
        <w:t>515.</w:t>
      </w:r>
      <w:r>
        <w:rPr>
          <w:rFonts w:hint="eastAsia"/>
        </w:rPr>
        <w:tab/>
      </w:r>
      <w:r>
        <w:rPr>
          <w:rFonts w:hint="eastAsia"/>
        </w:rPr>
        <w:t>为了增进墨西哥人民的健康水平，卫生部实施了锻炼提高健康方案，目前</w:t>
      </w:r>
      <w:r>
        <w:rPr>
          <w:rFonts w:hint="eastAsia"/>
        </w:rPr>
        <w:t>5 535</w:t>
      </w:r>
      <w:r>
        <w:rPr>
          <w:rFonts w:hint="eastAsia"/>
        </w:rPr>
        <w:t>个健康中心开展了该项活动，</w:t>
      </w:r>
      <w:r>
        <w:rPr>
          <w:rFonts w:hint="eastAsia"/>
        </w:rPr>
        <w:t>13 058</w:t>
      </w:r>
      <w:r>
        <w:rPr>
          <w:rFonts w:hint="eastAsia"/>
        </w:rPr>
        <w:t>个活跃团体提供了咨询服务。其他机构还更进一步开办了</w:t>
      </w:r>
      <w:r>
        <w:rPr>
          <w:rFonts w:hint="eastAsia"/>
        </w:rPr>
        <w:t>202</w:t>
      </w:r>
      <w:r>
        <w:rPr>
          <w:rFonts w:hint="eastAsia"/>
        </w:rPr>
        <w:t>个活跃的</w:t>
      </w:r>
      <w:r>
        <w:rPr>
          <w:rFonts w:hint="eastAsia"/>
        </w:rPr>
        <w:t>PROESA</w:t>
      </w:r>
      <w:r>
        <w:rPr>
          <w:rFonts w:hint="eastAsia"/>
        </w:rPr>
        <w:t>模块。</w:t>
      </w:r>
    </w:p>
    <w:p w:rsidR="00000000" w:rsidRDefault="00457650">
      <w:pPr>
        <w:widowControl/>
        <w:tabs>
          <w:tab w:val="left" w:pos="630"/>
        </w:tabs>
        <w:spacing w:after="240" w:line="360" w:lineRule="exact"/>
        <w:rPr>
          <w:rFonts w:hint="eastAsia"/>
        </w:rPr>
      </w:pPr>
      <w:r>
        <w:rPr>
          <w:rFonts w:hint="eastAsia"/>
        </w:rPr>
        <w:t>516.</w:t>
      </w:r>
      <w:r>
        <w:rPr>
          <w:rFonts w:hint="eastAsia"/>
        </w:rPr>
        <w:tab/>
        <w:t>2003</w:t>
      </w:r>
      <w:r>
        <w:rPr>
          <w:rFonts w:hint="eastAsia"/>
        </w:rPr>
        <w:t>年，举办了</w:t>
      </w:r>
      <w:r>
        <w:rPr>
          <w:rFonts w:hint="eastAsia"/>
        </w:rPr>
        <w:t>125 000</w:t>
      </w:r>
      <w:r>
        <w:rPr>
          <w:rFonts w:hint="eastAsia"/>
        </w:rPr>
        <w:t>次健康教育讲座，参加人数大约</w:t>
      </w:r>
      <w:r>
        <w:rPr>
          <w:rFonts w:hint="eastAsia"/>
        </w:rPr>
        <w:t>240</w:t>
      </w:r>
      <w:r>
        <w:rPr>
          <w:rFonts w:hint="eastAsia"/>
        </w:rPr>
        <w:t>万；通过</w:t>
      </w:r>
      <w:r>
        <w:rPr>
          <w:rFonts w:hint="eastAsia"/>
        </w:rPr>
        <w:t>1 183</w:t>
      </w:r>
      <w:r>
        <w:rPr>
          <w:rFonts w:hint="eastAsia"/>
        </w:rPr>
        <w:t>个课程培训了</w:t>
      </w:r>
      <w:r>
        <w:rPr>
          <w:rFonts w:hint="eastAsia"/>
        </w:rPr>
        <w:t>12 000</w:t>
      </w:r>
      <w:r>
        <w:rPr>
          <w:rFonts w:hint="eastAsia"/>
        </w:rPr>
        <w:t>名</w:t>
      </w:r>
      <w:r>
        <w:rPr>
          <w:rFonts w:hint="eastAsia"/>
        </w:rPr>
        <w:t>PROESA</w:t>
      </w:r>
      <w:r>
        <w:rPr>
          <w:rFonts w:hint="eastAsia"/>
        </w:rPr>
        <w:t>教练员。另外为</w:t>
      </w:r>
      <w:r>
        <w:rPr>
          <w:rFonts w:hint="eastAsia"/>
        </w:rPr>
        <w:t>10 000</w:t>
      </w:r>
      <w:r>
        <w:rPr>
          <w:rFonts w:hint="eastAsia"/>
        </w:rPr>
        <w:t>名机构工作人员举办了</w:t>
      </w:r>
      <w:r>
        <w:rPr>
          <w:rFonts w:hint="eastAsia"/>
        </w:rPr>
        <w:t>1 004</w:t>
      </w:r>
      <w:r>
        <w:rPr>
          <w:rFonts w:hint="eastAsia"/>
        </w:rPr>
        <w:t>个培训班。</w:t>
      </w:r>
    </w:p>
    <w:p w:rsidR="00000000" w:rsidRDefault="00457650">
      <w:pPr>
        <w:widowControl/>
        <w:tabs>
          <w:tab w:val="left" w:pos="630"/>
        </w:tabs>
        <w:spacing w:after="240" w:line="360" w:lineRule="exact"/>
        <w:rPr>
          <w:rFonts w:hint="eastAsia"/>
        </w:rPr>
      </w:pPr>
      <w:r>
        <w:rPr>
          <w:rFonts w:hint="eastAsia"/>
        </w:rPr>
        <w:t>517.</w:t>
      </w:r>
      <w:r>
        <w:rPr>
          <w:rFonts w:hint="eastAsia"/>
        </w:rPr>
        <w:tab/>
        <w:t>2003</w:t>
      </w:r>
      <w:r>
        <w:rPr>
          <w:rFonts w:hint="eastAsia"/>
        </w:rPr>
        <w:t>年，总共有</w:t>
      </w:r>
      <w:r>
        <w:rPr>
          <w:rFonts w:hint="eastAsia"/>
        </w:rPr>
        <w:t>110</w:t>
      </w:r>
      <w:r>
        <w:rPr>
          <w:rFonts w:hint="eastAsia"/>
        </w:rPr>
        <w:t>万人收</w:t>
      </w:r>
      <w:r>
        <w:rPr>
          <w:rFonts w:hint="eastAsia"/>
        </w:rPr>
        <w:t>到了</w:t>
      </w:r>
      <w:r>
        <w:rPr>
          <w:rFonts w:hint="eastAsia"/>
        </w:rPr>
        <w:t>387 460</w:t>
      </w:r>
      <w:r>
        <w:rPr>
          <w:rFonts w:hint="eastAsia"/>
        </w:rPr>
        <w:t>份信息丰富的传单。</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51</w:t>
      </w:r>
      <w:r>
        <w:rPr>
          <w:rFonts w:ascii="SimHei" w:eastAsia="SimHei" w:hint="eastAsia"/>
        </w:rPr>
        <w:t>段（</w:t>
      </w:r>
      <w:r>
        <w:rPr>
          <w:rFonts w:ascii="SimHei" w:eastAsia="SimHei" w:hint="eastAsia"/>
        </w:rPr>
        <w:t>c</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518.</w:t>
      </w:r>
      <w:r>
        <w:rPr>
          <w:rFonts w:hint="eastAsia"/>
        </w:rPr>
        <w:tab/>
      </w:r>
      <w:r>
        <w:rPr>
          <w:rFonts w:hint="eastAsia"/>
        </w:rPr>
        <w:t>自从</w:t>
      </w:r>
      <w:r>
        <w:rPr>
          <w:rFonts w:hint="eastAsia"/>
        </w:rPr>
        <w:t>1943</w:t>
      </w:r>
      <w:r>
        <w:rPr>
          <w:rFonts w:hint="eastAsia"/>
        </w:rPr>
        <w:t>年首次推出，墨西哥卫生系统就被划分为两个部分，一方面是能够获得社会保险的正式部门工人及其家庭，另一方面是未被任何公共保险计划覆盖的其他人口。尽管</w:t>
      </w:r>
      <w:r>
        <w:rPr>
          <w:rFonts w:hint="eastAsia"/>
        </w:rPr>
        <w:t>60</w:t>
      </w:r>
      <w:r>
        <w:rPr>
          <w:rFonts w:hint="eastAsia"/>
        </w:rPr>
        <w:t>年来墨西哥人民的健康状况有所改善，并进行了三代卫生系统改革，但是还不可能克服经费不平衡或健康保健不平等现象。</w:t>
      </w:r>
    </w:p>
    <w:p w:rsidR="00000000" w:rsidRDefault="00457650">
      <w:pPr>
        <w:widowControl/>
        <w:tabs>
          <w:tab w:val="left" w:pos="630"/>
        </w:tabs>
        <w:spacing w:after="240" w:line="360" w:lineRule="exact"/>
        <w:rPr>
          <w:rFonts w:hint="eastAsia"/>
        </w:rPr>
      </w:pPr>
      <w:r>
        <w:rPr>
          <w:rFonts w:hint="eastAsia"/>
        </w:rPr>
        <w:t>519.</w:t>
      </w:r>
      <w:r>
        <w:rPr>
          <w:rFonts w:hint="eastAsia"/>
        </w:rPr>
        <w:tab/>
        <w:t>2003</w:t>
      </w:r>
      <w:r>
        <w:rPr>
          <w:rFonts w:hint="eastAsia"/>
        </w:rPr>
        <w:t>年</w:t>
      </w:r>
      <w:r>
        <w:rPr>
          <w:rFonts w:hint="eastAsia"/>
        </w:rPr>
        <w:t>4</w:t>
      </w:r>
      <w:r>
        <w:rPr>
          <w:rFonts w:hint="eastAsia"/>
        </w:rPr>
        <w:t>月批准了卫生系统的结构改革，</w:t>
      </w:r>
      <w:r>
        <w:rPr>
          <w:rFonts w:hint="eastAsia"/>
        </w:rPr>
        <w:t>2004</w:t>
      </w:r>
      <w:r>
        <w:rPr>
          <w:rFonts w:hint="eastAsia"/>
        </w:rPr>
        <w:t>年</w:t>
      </w:r>
      <w:r>
        <w:rPr>
          <w:rFonts w:hint="eastAsia"/>
        </w:rPr>
        <w:t>1</w:t>
      </w:r>
      <w:r>
        <w:rPr>
          <w:rFonts w:hint="eastAsia"/>
        </w:rPr>
        <w:t>月</w:t>
      </w:r>
      <w:r>
        <w:rPr>
          <w:rFonts w:hint="eastAsia"/>
        </w:rPr>
        <w:t>1</w:t>
      </w:r>
      <w:r>
        <w:rPr>
          <w:rFonts w:hint="eastAsia"/>
        </w:rPr>
        <w:t>日开始实施一项全民社会保险计划，即“社会健康保护制度”。它的目的是向所有墨西哥人提供平等参加公共健康保险的机会。</w:t>
      </w:r>
    </w:p>
    <w:p w:rsidR="00000000" w:rsidRDefault="00457650">
      <w:pPr>
        <w:widowControl/>
        <w:tabs>
          <w:tab w:val="left" w:pos="630"/>
        </w:tabs>
        <w:spacing w:after="240" w:line="360" w:lineRule="exact"/>
        <w:rPr>
          <w:rFonts w:hint="eastAsia"/>
        </w:rPr>
      </w:pPr>
      <w:r>
        <w:rPr>
          <w:rFonts w:hint="eastAsia"/>
        </w:rPr>
        <w:t>520.</w:t>
      </w:r>
      <w:r>
        <w:rPr>
          <w:rFonts w:hint="eastAsia"/>
        </w:rPr>
        <w:tab/>
      </w:r>
      <w:r>
        <w:rPr>
          <w:rFonts w:hint="eastAsia"/>
        </w:rPr>
        <w:t>改革的目的是使卫生系统更加民主，符合保障墨西哥公民和居民的健康这一原则，无论其收入、居住地、种族或就业情况如何。因此这一改革符合降低墨西哥家庭实际支出比例的目标，符合减少发生灾害性健康支出的目标，符合增加健康保险覆盖面的目标。</w:t>
      </w:r>
    </w:p>
    <w:p w:rsidR="00000000" w:rsidRDefault="00457650">
      <w:pPr>
        <w:widowControl/>
        <w:tabs>
          <w:tab w:val="left" w:pos="630"/>
        </w:tabs>
        <w:spacing w:after="240" w:line="360" w:lineRule="exact"/>
        <w:rPr>
          <w:rFonts w:hint="eastAsia"/>
        </w:rPr>
      </w:pPr>
      <w:r>
        <w:rPr>
          <w:rFonts w:hint="eastAsia"/>
        </w:rPr>
        <w:t>521.</w:t>
      </w:r>
      <w:r>
        <w:rPr>
          <w:rFonts w:hint="eastAsia"/>
        </w:rPr>
        <w:tab/>
      </w:r>
      <w:r>
        <w:rPr>
          <w:rFonts w:hint="eastAsia"/>
        </w:rPr>
        <w:t>改革以五项基本标准为基础：平等机会、社会容纳、财务公正、分担责任和个人自主。根据这些标准，改革要致力于按不同群体使卫生系统发生转变。</w:t>
      </w:r>
    </w:p>
    <w:p w:rsidR="00000000" w:rsidRDefault="00457650">
      <w:pPr>
        <w:widowControl/>
        <w:tabs>
          <w:tab w:val="left" w:pos="630"/>
        </w:tabs>
        <w:spacing w:after="240" w:line="360" w:lineRule="exact"/>
        <w:rPr>
          <w:rFonts w:hint="eastAsia"/>
        </w:rPr>
      </w:pPr>
      <w:r>
        <w:rPr>
          <w:rFonts w:hint="eastAsia"/>
        </w:rPr>
        <w:t>522.</w:t>
      </w:r>
      <w:r>
        <w:rPr>
          <w:rFonts w:hint="eastAsia"/>
        </w:rPr>
        <w:tab/>
      </w:r>
      <w:r>
        <w:rPr>
          <w:rFonts w:hint="eastAsia"/>
        </w:rPr>
        <w:t>目标是在财务公正和全民社会保护的基础上建立一个横向综合系统，同时确保各个机构作为一个整体履行卫生系统的三项基本职能之一</w:t>
      </w:r>
      <w:r>
        <w:rPr>
          <w:rFonts w:hint="eastAsia"/>
        </w:rPr>
        <w:t>，即管理、财务和提供服务，以此确保覆盖构成墨西哥全部人口的所有社会群体。</w:t>
      </w:r>
    </w:p>
    <w:p w:rsidR="00000000" w:rsidRDefault="00457650">
      <w:pPr>
        <w:widowControl/>
        <w:tabs>
          <w:tab w:val="left" w:pos="630"/>
        </w:tabs>
        <w:spacing w:after="240" w:line="360" w:lineRule="exact"/>
        <w:rPr>
          <w:rFonts w:hint="eastAsia"/>
        </w:rPr>
      </w:pPr>
      <w:r>
        <w:rPr>
          <w:rFonts w:hint="eastAsia"/>
        </w:rPr>
        <w:t>523.</w:t>
      </w:r>
      <w:r>
        <w:rPr>
          <w:rFonts w:hint="eastAsia"/>
        </w:rPr>
        <w:tab/>
      </w:r>
      <w:r>
        <w:rPr>
          <w:rFonts w:hint="eastAsia"/>
        </w:rPr>
        <w:t>改革还希望纠正影响目前卫生系统的五种主要财政不平衡：（</w:t>
      </w:r>
      <w:r>
        <w:rPr>
          <w:rFonts w:hint="eastAsia"/>
        </w:rPr>
        <w:t>a</w:t>
      </w:r>
      <w:r>
        <w:rPr>
          <w:rFonts w:hint="eastAsia"/>
        </w:rPr>
        <w:t>）低水平的总体支出；（</w:t>
      </w:r>
      <w:r>
        <w:rPr>
          <w:rFonts w:hint="eastAsia"/>
        </w:rPr>
        <w:t>b</w:t>
      </w:r>
      <w:r>
        <w:rPr>
          <w:rFonts w:hint="eastAsia"/>
        </w:rPr>
        <w:t>）经费来源依靠患者的支出；（</w:t>
      </w:r>
      <w:r>
        <w:rPr>
          <w:rFonts w:hint="eastAsia"/>
        </w:rPr>
        <w:t>c</w:t>
      </w:r>
      <w:r>
        <w:rPr>
          <w:rFonts w:hint="eastAsia"/>
        </w:rPr>
        <w:t>）参加保险的人与未参加保险的人之间，以及各州之间的资源分配不平等；（</w:t>
      </w:r>
      <w:r>
        <w:rPr>
          <w:rFonts w:hint="eastAsia"/>
        </w:rPr>
        <w:t>d</w:t>
      </w:r>
      <w:r>
        <w:rPr>
          <w:rFonts w:hint="eastAsia"/>
        </w:rPr>
        <w:t>）各种主体不平等的经费；及（</w:t>
      </w:r>
      <w:r>
        <w:rPr>
          <w:rFonts w:hint="eastAsia"/>
        </w:rPr>
        <w:t>e</w:t>
      </w:r>
      <w:r>
        <w:rPr>
          <w:rFonts w:hint="eastAsia"/>
        </w:rPr>
        <w:t>）用于投资的开支比例下降。</w:t>
      </w:r>
    </w:p>
    <w:p w:rsidR="00000000" w:rsidRDefault="00457650">
      <w:pPr>
        <w:widowControl/>
        <w:tabs>
          <w:tab w:val="left" w:pos="630"/>
        </w:tabs>
        <w:spacing w:after="240" w:line="360" w:lineRule="exact"/>
        <w:rPr>
          <w:rFonts w:hint="eastAsia"/>
        </w:rPr>
      </w:pPr>
      <w:r>
        <w:rPr>
          <w:rFonts w:hint="eastAsia"/>
        </w:rPr>
        <w:t>524.</w:t>
      </w:r>
      <w:r>
        <w:rPr>
          <w:rFonts w:hint="eastAsia"/>
        </w:rPr>
        <w:tab/>
      </w:r>
      <w:r>
        <w:rPr>
          <w:rFonts w:hint="eastAsia"/>
        </w:rPr>
        <w:t>增加开支的总体水平，以便满足增强人口健康的需要，墨西哥人口正处在流行病转变和老龄化的复杂过程中。提供健康保健经费的系统也将转变，取代目前对患者接受治疗时所支付费用的依赖，新的预付系</w:t>
      </w:r>
      <w:r>
        <w:rPr>
          <w:rFonts w:hint="eastAsia"/>
        </w:rPr>
        <w:t>统转而依靠联邦税收和家庭缴费，根据其收入水平给予补助。此外，保健经费将公平分配给投保者和未投保者，它将以健康需要而不是支付能力为基础。另外，各州间的资源分配将不再依靠被动的预算，此后还将根据参加保险家庭的数目和旨在逐步消除不平等的透明方案。各州的缴费将更公平且不再是任意性的，而且也以投保家庭的数目为基础。最后，运行和投资支出必须符合“基础设施总计划”。</w:t>
      </w:r>
    </w:p>
    <w:p w:rsidR="00000000" w:rsidRDefault="00457650">
      <w:pPr>
        <w:keepNext/>
        <w:widowControl/>
        <w:tabs>
          <w:tab w:val="left" w:pos="630"/>
        </w:tabs>
        <w:spacing w:after="240" w:line="360" w:lineRule="exact"/>
        <w:rPr>
          <w:rFonts w:hint="eastAsia"/>
        </w:rPr>
      </w:pPr>
      <w:r>
        <w:rPr>
          <w:rFonts w:hint="eastAsia"/>
        </w:rPr>
        <w:t>525.</w:t>
      </w:r>
      <w:r>
        <w:rPr>
          <w:rFonts w:hint="eastAsia"/>
        </w:rPr>
        <w:tab/>
      </w:r>
      <w:r>
        <w:rPr>
          <w:rFonts w:hint="eastAsia"/>
        </w:rPr>
        <w:t>为了实现上述目标，改革将包括</w:t>
      </w:r>
      <w:r>
        <w:rPr>
          <w:rFonts w:hint="eastAsia"/>
        </w:rPr>
        <w:t>12</w:t>
      </w:r>
      <w:r>
        <w:rPr>
          <w:rFonts w:hint="eastAsia"/>
        </w:rPr>
        <w:t>个新特征：</w:t>
      </w:r>
    </w:p>
    <w:p w:rsidR="00000000" w:rsidRDefault="00457650" w:rsidP="00457650">
      <w:pPr>
        <w:keepNext/>
        <w:widowControl/>
        <w:numPr>
          <w:ilvl w:val="0"/>
          <w:numId w:val="1898"/>
        </w:numPr>
        <w:tabs>
          <w:tab w:val="clear" w:pos="900"/>
          <w:tab w:val="left" w:pos="1050"/>
        </w:tabs>
        <w:spacing w:after="240" w:line="360" w:lineRule="exact"/>
        <w:ind w:leftChars="300" w:left="31680"/>
        <w:rPr>
          <w:rFonts w:hint="eastAsia"/>
        </w:rPr>
      </w:pPr>
      <w:r>
        <w:rPr>
          <w:rFonts w:hint="eastAsia"/>
        </w:rPr>
        <w:t>保护公共健康活动经费；</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确保覆盖一整套综合服务，包括那些引起灾害性支出的服务；</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一种减少各州间不平等的</w:t>
      </w:r>
      <w:r>
        <w:rPr>
          <w:rFonts w:hint="eastAsia"/>
        </w:rPr>
        <w:t>分配资源方式；</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以投保家庭数目为基础的民主预算；</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强调卫生系统的微观和宏观经济利益；</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鼓励基础设施的充分高效投资；</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投保家庭登记；</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设计和实行改革时以事实和数据为基础；</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严格进行监测和评估；</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增加非营利部门和私人部门的有效参与；</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采取奖励办法鼓励服务提供者提供令人满意的服务；</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强调决策者、健康服务提供者和使用者之间达成共识。</w:t>
      </w:r>
    </w:p>
    <w:p w:rsidR="00000000" w:rsidRDefault="00457650">
      <w:pPr>
        <w:widowControl/>
        <w:tabs>
          <w:tab w:val="left" w:pos="630"/>
        </w:tabs>
        <w:spacing w:after="240" w:line="360" w:lineRule="exact"/>
        <w:rPr>
          <w:rFonts w:hint="eastAsia"/>
        </w:rPr>
      </w:pPr>
      <w:r>
        <w:rPr>
          <w:rFonts w:hint="eastAsia"/>
        </w:rPr>
        <w:t>526.</w:t>
      </w:r>
      <w:r>
        <w:rPr>
          <w:rFonts w:hint="eastAsia"/>
        </w:rPr>
        <w:tab/>
      </w:r>
      <w:r>
        <w:rPr>
          <w:rFonts w:hint="eastAsia"/>
        </w:rPr>
        <w:t>该系统的运行依靠“人民健康保险”计划，它为所有未投保的墨西哥公民提供了个人保健方面的公共健康保险。在七年转型期的末期，该计划必须覆盖未被任何社会保障机构保障的所有人。这意味着</w:t>
      </w:r>
      <w:r>
        <w:rPr>
          <w:rFonts w:hint="eastAsia"/>
        </w:rPr>
        <w:t>到</w:t>
      </w:r>
      <w:r>
        <w:rPr>
          <w:rFonts w:hint="eastAsia"/>
        </w:rPr>
        <w:t>2010</w:t>
      </w:r>
      <w:r>
        <w:rPr>
          <w:rFonts w:hint="eastAsia"/>
        </w:rPr>
        <w:t>年，墨西哥卫生系统将实现全民财政保护。</w:t>
      </w:r>
    </w:p>
    <w:p w:rsidR="00000000" w:rsidRDefault="00457650">
      <w:pPr>
        <w:widowControl/>
        <w:tabs>
          <w:tab w:val="left" w:pos="630"/>
        </w:tabs>
        <w:spacing w:after="240" w:line="360" w:lineRule="exact"/>
        <w:rPr>
          <w:rFonts w:hint="eastAsia"/>
        </w:rPr>
      </w:pPr>
      <w:r>
        <w:rPr>
          <w:rFonts w:hint="eastAsia"/>
        </w:rPr>
        <w:t>527.</w:t>
      </w:r>
      <w:r>
        <w:rPr>
          <w:rFonts w:hint="eastAsia"/>
        </w:rPr>
        <w:tab/>
      </w:r>
      <w:r>
        <w:rPr>
          <w:rFonts w:hint="eastAsia"/>
        </w:rPr>
        <w:t>“人民健康保险”计划的经费由三方筹集，其资源来自联邦政府、州政府和投保家庭。将以这种方式对社会保障局、国家工人社会保障和服务协会以及国家保险机构之间的筹资渠道进行协调。</w:t>
      </w:r>
    </w:p>
    <w:p w:rsidR="00000000" w:rsidRDefault="00457650">
      <w:pPr>
        <w:widowControl/>
        <w:tabs>
          <w:tab w:val="left" w:pos="630"/>
        </w:tabs>
        <w:spacing w:after="240" w:line="360" w:lineRule="exact"/>
        <w:rPr>
          <w:rFonts w:hint="eastAsia"/>
        </w:rPr>
      </w:pPr>
      <w:r>
        <w:rPr>
          <w:rFonts w:hint="eastAsia"/>
        </w:rPr>
        <w:t>528.</w:t>
      </w:r>
      <w:r>
        <w:rPr>
          <w:rFonts w:hint="eastAsia"/>
        </w:rPr>
        <w:tab/>
      </w:r>
      <w:r>
        <w:rPr>
          <w:rFonts w:hint="eastAsia"/>
        </w:rPr>
        <w:t>一般筹资使用被动的和官僚化的手段，取而代之的是民主化手段，其重点从供应转为需求补助，根据投保家庭的数目将联邦资源转交给各州，联邦支助资源的分配系统旨在减少各州和各社会团体间的不平等，其主要标准是健康需要、健康不足和绩效。成员的自愿性有助于平衡卫生系统的需求和供应，建立激励</w:t>
      </w:r>
      <w:r>
        <w:rPr>
          <w:rFonts w:hint="eastAsia"/>
        </w:rPr>
        <w:t>机制鼓励服务提供者提供满意的服务，特别是在州一级，因为资源的分配依赖投保家庭的数目。</w:t>
      </w:r>
    </w:p>
    <w:p w:rsidR="00000000" w:rsidRDefault="00457650">
      <w:pPr>
        <w:widowControl/>
        <w:tabs>
          <w:tab w:val="left" w:pos="630"/>
        </w:tabs>
        <w:spacing w:after="240" w:line="360" w:lineRule="exact"/>
        <w:rPr>
          <w:rFonts w:hint="eastAsia"/>
        </w:rPr>
      </w:pPr>
      <w:r>
        <w:rPr>
          <w:rFonts w:hint="eastAsia"/>
        </w:rPr>
        <w:t>529.</w:t>
      </w:r>
      <w:r>
        <w:rPr>
          <w:rFonts w:hint="eastAsia"/>
        </w:rPr>
        <w:tab/>
      </w:r>
      <w:r>
        <w:rPr>
          <w:rFonts w:hint="eastAsia"/>
        </w:rPr>
        <w:t>值得一提的是，能最先获得新卫生系统服务的是墨西哥最穷困人口，之后它将逐步扩大，覆盖到目前不属于任何其他卫生系统的剩余人口。</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51</w:t>
      </w:r>
      <w:r>
        <w:rPr>
          <w:rFonts w:ascii="SimHei" w:eastAsia="SimHei" w:hint="eastAsia"/>
        </w:rPr>
        <w:t>条（</w:t>
      </w:r>
      <w:r>
        <w:rPr>
          <w:rFonts w:ascii="SimHei" w:eastAsia="SimHei" w:hint="eastAsia"/>
        </w:rPr>
        <w:t>d</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530.</w:t>
      </w:r>
      <w:r>
        <w:rPr>
          <w:rFonts w:hint="eastAsia"/>
        </w:rPr>
        <w:tab/>
      </w:r>
      <w:r>
        <w:rPr>
          <w:rFonts w:hint="eastAsia"/>
        </w:rPr>
        <w:t>改革还包括一系列旨在鼓励人员流动和自主的新特征，</w:t>
      </w:r>
      <w:r>
        <w:rPr>
          <w:rFonts w:hint="eastAsia"/>
        </w:rPr>
        <w:t xml:space="preserve"> </w:t>
      </w:r>
      <w:r>
        <w:rPr>
          <w:rFonts w:hint="eastAsia"/>
        </w:rPr>
        <w:t>信息和事实是其基本要素。实况调查机制包括</w:t>
      </w:r>
      <w:r>
        <w:rPr>
          <w:rFonts w:hint="eastAsia"/>
        </w:rPr>
        <w:t>2001</w:t>
      </w:r>
      <w:r>
        <w:rPr>
          <w:rFonts w:hint="eastAsia"/>
        </w:rPr>
        <w:t>年开展的“国家健康保险”计划的试验阶段。</w:t>
      </w:r>
    </w:p>
    <w:p w:rsidR="00000000" w:rsidRDefault="00457650">
      <w:pPr>
        <w:widowControl/>
        <w:tabs>
          <w:tab w:val="left" w:pos="630"/>
        </w:tabs>
        <w:spacing w:after="240" w:line="360" w:lineRule="exact"/>
        <w:rPr>
          <w:rFonts w:hint="eastAsia"/>
        </w:rPr>
      </w:pPr>
      <w:r>
        <w:rPr>
          <w:rFonts w:hint="eastAsia"/>
        </w:rPr>
        <w:t>531.</w:t>
      </w:r>
      <w:r>
        <w:rPr>
          <w:rFonts w:hint="eastAsia"/>
        </w:rPr>
        <w:tab/>
        <w:t>2003</w:t>
      </w:r>
      <w:r>
        <w:rPr>
          <w:rFonts w:hint="eastAsia"/>
        </w:rPr>
        <w:t>年底，联邦</w:t>
      </w:r>
      <w:r>
        <w:rPr>
          <w:rFonts w:hint="eastAsia"/>
        </w:rPr>
        <w:t>32</w:t>
      </w:r>
      <w:r>
        <w:rPr>
          <w:rFonts w:hint="eastAsia"/>
        </w:rPr>
        <w:t>个州中有</w:t>
      </w:r>
      <w:r>
        <w:rPr>
          <w:rFonts w:hint="eastAsia"/>
        </w:rPr>
        <w:t>24</w:t>
      </w:r>
      <w:r>
        <w:rPr>
          <w:rFonts w:hint="eastAsia"/>
        </w:rPr>
        <w:t>个州的总共</w:t>
      </w:r>
      <w:r>
        <w:rPr>
          <w:rFonts w:hint="eastAsia"/>
        </w:rPr>
        <w:t>622 819</w:t>
      </w:r>
      <w:r>
        <w:rPr>
          <w:rFonts w:hint="eastAsia"/>
        </w:rPr>
        <w:t>个家庭参加了该计划登记。由于试验阶段的持续时间和范围，在受</w:t>
      </w:r>
      <w:r>
        <w:rPr>
          <w:rFonts w:hint="eastAsia"/>
        </w:rPr>
        <w:t>益人和服务提供者的参与下，有可能确定一些新的改革内容。因为改革将公民置于民主过程的中心，所以其成功和持久的关键是对投保家庭的支持。为此卫生部将启动一个成员信息系统，适用先期预算方法，确定单个家庭缴费的数目和保证资源分配的透明度。让计划受益人知情和赋予其权力也是重点。</w:t>
      </w:r>
    </w:p>
    <w:p w:rsidR="00000000" w:rsidRDefault="00457650">
      <w:pPr>
        <w:widowControl/>
        <w:tabs>
          <w:tab w:val="left" w:pos="630"/>
        </w:tabs>
        <w:spacing w:after="240" w:line="360" w:lineRule="exact"/>
        <w:rPr>
          <w:rFonts w:hint="eastAsia"/>
        </w:rPr>
      </w:pPr>
      <w:r>
        <w:rPr>
          <w:rFonts w:hint="eastAsia"/>
        </w:rPr>
        <w:t>532.</w:t>
      </w:r>
      <w:r>
        <w:rPr>
          <w:rFonts w:hint="eastAsia"/>
        </w:rPr>
        <w:tab/>
      </w:r>
      <w:r>
        <w:rPr>
          <w:rFonts w:hint="eastAsia"/>
        </w:rPr>
        <w:t>改革还有助于加强监测、检查和评估活动。例如，编写年度报告时将列入各州的执行指标。此外，</w:t>
      </w:r>
      <w:r>
        <w:rPr>
          <w:rFonts w:hint="eastAsia"/>
        </w:rPr>
        <w:t>2001</w:t>
      </w:r>
      <w:r>
        <w:rPr>
          <w:rFonts w:hint="eastAsia"/>
        </w:rPr>
        <w:t>年国家提高保健服务质量运动努力提高保健服务的技术和人际质量，编制服务受益人有权获得的服务列表，建立投诉和建议系统，以及制定服务提供者正式批准</w:t>
      </w:r>
      <w:r>
        <w:rPr>
          <w:rFonts w:hint="eastAsia"/>
        </w:rPr>
        <w:t>程序。</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51</w:t>
      </w:r>
      <w:r>
        <w:rPr>
          <w:rFonts w:ascii="SimHei" w:eastAsia="SimHei" w:hint="eastAsia"/>
        </w:rPr>
        <w:t>段（</w:t>
      </w:r>
      <w:r>
        <w:rPr>
          <w:rFonts w:ascii="SimHei" w:eastAsia="SimHei" w:hint="eastAsia"/>
        </w:rPr>
        <w:t>e</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533.</w:t>
      </w:r>
      <w:r>
        <w:rPr>
          <w:rFonts w:hint="eastAsia"/>
        </w:rPr>
        <w:tab/>
      </w:r>
      <w:r>
        <w:rPr>
          <w:rFonts w:hint="eastAsia"/>
        </w:rPr>
        <w:t>“儿童健康保健方案”包括新生婴儿、哺乳幼儿、学龄前儿童及</w:t>
      </w:r>
      <w:r>
        <w:rPr>
          <w:rFonts w:hint="eastAsia"/>
        </w:rPr>
        <w:t>9</w:t>
      </w:r>
      <w:r>
        <w:rPr>
          <w:rFonts w:hint="eastAsia"/>
        </w:rPr>
        <w:t>岁以下上学儿童福利措施。在</w:t>
      </w:r>
      <w:r>
        <w:rPr>
          <w:rFonts w:hint="eastAsia"/>
        </w:rPr>
        <w:t>2000</w:t>
      </w:r>
      <w:r>
        <w:rPr>
          <w:rFonts w:hint="eastAsia"/>
        </w:rPr>
        <w:t>年至</w:t>
      </w:r>
      <w:r>
        <w:rPr>
          <w:rFonts w:hint="eastAsia"/>
        </w:rPr>
        <w:t>2003</w:t>
      </w:r>
      <w:r>
        <w:rPr>
          <w:rFonts w:hint="eastAsia"/>
        </w:rPr>
        <w:t>年，新生婴儿、哺乳婴儿和</w:t>
      </w:r>
      <w:r>
        <w:rPr>
          <w:rFonts w:hint="eastAsia"/>
        </w:rPr>
        <w:t>5</w:t>
      </w:r>
      <w:r>
        <w:rPr>
          <w:rFonts w:hint="eastAsia"/>
        </w:rPr>
        <w:t>岁以下儿童的死亡率分别下降了</w:t>
      </w:r>
      <w:r>
        <w:rPr>
          <w:rFonts w:hint="eastAsia"/>
        </w:rPr>
        <w:t>10.8%</w:t>
      </w:r>
      <w:r>
        <w:rPr>
          <w:rFonts w:hint="eastAsia"/>
        </w:rPr>
        <w:t>，</w:t>
      </w:r>
      <w:r>
        <w:rPr>
          <w:rFonts w:hint="eastAsia"/>
        </w:rPr>
        <w:t>12.1%</w:t>
      </w:r>
      <w:r>
        <w:rPr>
          <w:rFonts w:hint="eastAsia"/>
        </w:rPr>
        <w:t>和</w:t>
      </w:r>
      <w:r>
        <w:rPr>
          <w:rFonts w:hint="eastAsia"/>
        </w:rPr>
        <w:t>11.9%</w:t>
      </w:r>
      <w:r>
        <w:rPr>
          <w:rFonts w:hint="eastAsia"/>
        </w:rPr>
        <w:t>，这特别要归功于墨西哥政府采取的以下政策和措施：</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减少急性呼吸感染造成的死亡；</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减少急性腹泻造成的死亡；</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墨西哥实施了拉丁美洲最完善的疫苗接种计划，覆盖率很高；</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坚持消除、消灭和控制可以通过接种疫苗预防的疾病（小儿麻痹症、白喉、新生儿破伤风和麻疹）；</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广泛发放口服体液补充盐</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对母亲进行</w:t>
      </w:r>
      <w:r>
        <w:rPr>
          <w:rFonts w:hint="eastAsia"/>
        </w:rPr>
        <w:t>培训，以发现急性呼吸系统疾病和急性腹泻的征兆；</w:t>
      </w:r>
    </w:p>
    <w:p w:rsidR="00000000" w:rsidRDefault="00457650" w:rsidP="00457650">
      <w:pPr>
        <w:widowControl/>
        <w:numPr>
          <w:ilvl w:val="0"/>
          <w:numId w:val="1898"/>
        </w:numPr>
        <w:tabs>
          <w:tab w:val="clear" w:pos="900"/>
          <w:tab w:val="left" w:pos="1050"/>
        </w:tabs>
        <w:spacing w:after="240" w:line="360" w:lineRule="exact"/>
        <w:ind w:leftChars="300" w:left="31680"/>
      </w:pPr>
      <w:r>
        <w:rPr>
          <w:rFonts w:hint="eastAsia"/>
        </w:rPr>
        <w:t>让偏远的边缘地区人民服用维生素</w:t>
      </w:r>
      <w:r>
        <w:rPr>
          <w:rFonts w:hint="eastAsia"/>
        </w:rPr>
        <w:t>A</w:t>
      </w:r>
      <w:r>
        <w:rPr>
          <w:rFonts w:hint="eastAsia"/>
        </w:rPr>
        <w:t>和驱虫药（阿苯达唑）。</w:t>
      </w:r>
    </w:p>
    <w:p w:rsidR="00000000" w:rsidRDefault="00457650">
      <w:pPr>
        <w:widowControl/>
        <w:tabs>
          <w:tab w:val="left" w:pos="1050"/>
        </w:tabs>
        <w:spacing w:after="240" w:line="360" w:lineRule="exact"/>
        <w:ind w:left="150"/>
        <w:rPr>
          <w:rFonts w:hint="eastAsia"/>
        </w:rPr>
      </w:pPr>
      <w:r>
        <w:br w:type="page"/>
      </w:r>
    </w:p>
    <w:p w:rsidR="00000000" w:rsidRDefault="00457650">
      <w:pPr>
        <w:widowControl/>
        <w:tabs>
          <w:tab w:val="left" w:pos="630"/>
        </w:tabs>
        <w:spacing w:after="240" w:line="360" w:lineRule="exact"/>
        <w:jc w:val="center"/>
        <w:rPr>
          <w:rFonts w:ascii="SimHei" w:eastAsia="SimHei" w:hint="eastAsia"/>
        </w:rPr>
      </w:pPr>
      <w:r>
        <w:rPr>
          <w:noProof/>
          <w:color w:val="0000FF"/>
          <w:sz w:val="20"/>
        </w:rPr>
        <w:pict>
          <v:shape id="_x0000_s1166" type="#_x0000_t202" style="position:absolute;left:0;text-align:left;margin-left:12pt;margin-top:-.4pt;width:450pt;height:338pt;z-index:15">
            <v:textbox style="mso-next-textbox:#_x0000_s1166">
              <w:txbxContent>
                <w:p w:rsidR="00000000" w:rsidRDefault="00457650">
                  <w:pPr>
                    <w:jc w:val="center"/>
                  </w:pPr>
                  <w:r>
                    <w:rPr>
                      <w:rFonts w:ascii="SimHei" w:eastAsia="SimHei" w:hint="eastAsia"/>
                    </w:rPr>
                    <w:t>2000-2003</w:t>
                  </w:r>
                  <w:r>
                    <w:rPr>
                      <w:rFonts w:ascii="SimHei" w:eastAsia="SimHei" w:hint="eastAsia"/>
                    </w:rPr>
                    <w:t>年新生婴儿、哺乳婴儿和</w:t>
                  </w:r>
                  <w:r>
                    <w:rPr>
                      <w:rFonts w:ascii="SimHei" w:eastAsia="SimHei"/>
                    </w:rPr>
                    <w:br/>
                  </w:r>
                  <w:r>
                    <w:rPr>
                      <w:rFonts w:ascii="SimHei" w:eastAsia="SimHei" w:hint="eastAsia"/>
                    </w:rPr>
                    <w:t>5</w:t>
                  </w:r>
                  <w:r>
                    <w:rPr>
                      <w:rFonts w:ascii="SimHei" w:eastAsia="SimHei" w:hint="eastAsia"/>
                    </w:rPr>
                    <w:t>岁以下儿童的死亡率</w:t>
                  </w:r>
                </w:p>
                <w:p w:rsidR="00000000" w:rsidRDefault="00457650">
                  <w:pPr>
                    <w:jc w:val="center"/>
                  </w:pPr>
                  <w:r>
                    <w:object w:dxaOrig="8325" w:dyaOrig="5100">
                      <v:shape id="_x0000_i1039" type="#_x0000_t75" style="width:416.25pt;height:255pt" o:ole="">
                        <v:imagedata r:id="rId161" o:title=""/>
                      </v:shape>
                      <o:OLEObject Type="Embed" ProgID="Excel.Chart.8" ShapeID="_x0000_i1039" DrawAspect="Content" ObjectID="_1394895086" r:id="rId162">
                        <o:FieldCodes>\s</o:FieldCodes>
                      </o:OLEObject>
                    </w:object>
                  </w:r>
                </w:p>
                <w:p w:rsidR="00000000" w:rsidRDefault="00457650"/>
                <w:p w:rsidR="00000000" w:rsidRDefault="00457650">
                  <w:pPr>
                    <w:pStyle w:val="Date"/>
                  </w:pPr>
                </w:p>
              </w:txbxContent>
            </v:textbox>
          </v:shape>
        </w:pict>
      </w:r>
    </w:p>
    <w:p w:rsidR="00000000" w:rsidRDefault="00457650">
      <w:pPr>
        <w:pStyle w:val="Date"/>
        <w:widowControl/>
        <w:tabs>
          <w:tab w:val="left" w:pos="630"/>
        </w:tabs>
        <w:spacing w:after="240" w:line="360" w:lineRule="exact"/>
        <w:rPr>
          <w:color w:val="0000FF"/>
        </w:rPr>
      </w:pPr>
    </w:p>
    <w:p w:rsidR="00000000" w:rsidRDefault="00457650">
      <w:pPr>
        <w:widowControl/>
      </w:pPr>
    </w:p>
    <w:p w:rsidR="00000000" w:rsidRDefault="00457650">
      <w:pPr>
        <w:widowControl/>
      </w:pPr>
    </w:p>
    <w:p w:rsidR="00000000" w:rsidRDefault="00457650">
      <w:pPr>
        <w:widowControl/>
      </w:pPr>
    </w:p>
    <w:p w:rsidR="00000000" w:rsidRDefault="00457650">
      <w:pPr>
        <w:widowControl/>
      </w:pPr>
    </w:p>
    <w:p w:rsidR="00000000" w:rsidRDefault="00457650">
      <w:pPr>
        <w:widowControl/>
      </w:pPr>
    </w:p>
    <w:p w:rsidR="00000000" w:rsidRDefault="00457650">
      <w:pPr>
        <w:widowControl/>
      </w:pPr>
    </w:p>
    <w:p w:rsidR="00000000" w:rsidRDefault="00457650">
      <w:pPr>
        <w:widowControl/>
      </w:pPr>
    </w:p>
    <w:p w:rsidR="00000000" w:rsidRDefault="00457650">
      <w:pPr>
        <w:widowControl/>
      </w:pPr>
    </w:p>
    <w:p w:rsidR="00000000" w:rsidRDefault="00457650">
      <w:pPr>
        <w:widowControl/>
      </w:pPr>
    </w:p>
    <w:p w:rsidR="00000000" w:rsidRDefault="00457650">
      <w:pPr>
        <w:widowControl/>
      </w:pPr>
    </w:p>
    <w:p w:rsidR="00000000" w:rsidRDefault="00457650">
      <w:pPr>
        <w:widowControl/>
      </w:pPr>
      <w:r>
        <w:rPr>
          <w:noProof/>
          <w:sz w:val="20"/>
        </w:rPr>
        <w:pict>
          <v:shape id="_x0000_s1169" type="#_x0000_t202" style="position:absolute;left:0;text-align:left;margin-left:132pt;margin-top:2pt;width:252pt;height:26pt;z-index:18" filled="f" stroked="f">
            <v:textbox style="mso-next-textbox:#_x0000_s1169">
              <w:txbxContent>
                <w:p w:rsidR="00000000" w:rsidRDefault="00457650">
                  <w:pPr>
                    <w:rPr>
                      <w:rFonts w:hint="eastAsia"/>
                      <w:sz w:val="18"/>
                    </w:rPr>
                  </w:pPr>
                  <w:r>
                    <w:rPr>
                      <w:rFonts w:hint="eastAsia"/>
                      <w:sz w:val="18"/>
                    </w:rPr>
                    <w:t>新生儿</w:t>
                  </w:r>
                  <w:r>
                    <w:rPr>
                      <w:sz w:val="18"/>
                    </w:rPr>
                    <w:t xml:space="preserve"> </w:t>
                  </w:r>
                  <w:r>
                    <w:rPr>
                      <w:sz w:val="18"/>
                      <w:vertAlign w:val="superscript"/>
                    </w:rPr>
                    <w:t>1</w:t>
                  </w:r>
                  <w:r>
                    <w:rPr>
                      <w:sz w:val="18"/>
                    </w:rPr>
                    <w:t xml:space="preserve">             </w:t>
                  </w:r>
                  <w:r>
                    <w:rPr>
                      <w:rFonts w:hint="eastAsia"/>
                      <w:sz w:val="18"/>
                    </w:rPr>
                    <w:t>婴儿</w:t>
                  </w:r>
                  <w:r>
                    <w:rPr>
                      <w:sz w:val="18"/>
                      <w:vertAlign w:val="superscript"/>
                    </w:rPr>
                    <w:t>1</w:t>
                  </w:r>
                  <w:r>
                    <w:rPr>
                      <w:sz w:val="18"/>
                    </w:rPr>
                    <w:t xml:space="preserve">  </w:t>
                  </w:r>
                  <w:r>
                    <w:rPr>
                      <w:rFonts w:hint="eastAsia"/>
                      <w:sz w:val="18"/>
                    </w:rPr>
                    <w:t xml:space="preserve">  </w:t>
                  </w:r>
                  <w:r>
                    <w:rPr>
                      <w:sz w:val="18"/>
                    </w:rPr>
                    <w:t xml:space="preserve">            &lt;5</w:t>
                  </w:r>
                  <w:r>
                    <w:rPr>
                      <w:rFonts w:hint="eastAsia"/>
                      <w:sz w:val="18"/>
                    </w:rPr>
                    <w:t>岁</w:t>
                  </w:r>
                  <w:r>
                    <w:rPr>
                      <w:sz w:val="18"/>
                    </w:rPr>
                    <w:t xml:space="preserve"> </w:t>
                  </w:r>
                  <w:r>
                    <w:rPr>
                      <w:rFonts w:hint="eastAsia"/>
                      <w:sz w:val="18"/>
                      <w:vertAlign w:val="superscript"/>
                    </w:rPr>
                    <w:t>2</w:t>
                  </w:r>
                </w:p>
              </w:txbxContent>
            </v:textbox>
          </v:shape>
        </w:pict>
      </w:r>
    </w:p>
    <w:p w:rsidR="00000000" w:rsidRDefault="00457650">
      <w:pPr>
        <w:widowControl/>
      </w:pPr>
      <w:r>
        <w:rPr>
          <w:noProof/>
          <w:sz w:val="20"/>
        </w:rPr>
        <w:pict>
          <v:shape id="_x0000_s1168" type="#_x0000_t202" style="position:absolute;left:0;text-align:left;margin-left:396pt;margin-top:9.4pt;width:30pt;height:26pt;z-index:17" filled="f" stroked="f">
            <v:textbox style="mso-next-textbox:#_x0000_s1168">
              <w:txbxContent>
                <w:p w:rsidR="00000000" w:rsidRDefault="00457650">
                  <w:pPr>
                    <w:rPr>
                      <w:vertAlign w:val="superscript"/>
                    </w:rPr>
                  </w:pPr>
                  <w:r>
                    <w:rPr>
                      <w:vertAlign w:val="superscript"/>
                    </w:rPr>
                    <w:t>e</w:t>
                  </w:r>
                </w:p>
              </w:txbxContent>
            </v:textbox>
          </v:shape>
        </w:pict>
      </w:r>
    </w:p>
    <w:p w:rsidR="00000000" w:rsidRDefault="00457650">
      <w:pPr>
        <w:widowControl/>
      </w:pPr>
    </w:p>
    <w:p w:rsidR="00000000" w:rsidRDefault="00457650">
      <w:pPr>
        <w:widowControl/>
      </w:pPr>
      <w:r>
        <w:rPr>
          <w:noProof/>
          <w:sz w:val="20"/>
        </w:rPr>
        <w:pict>
          <v:shape id="_x0000_s1167" type="#_x0000_t202" style="position:absolute;left:0;text-align:left;margin-left:42pt;margin-top:12.4pt;width:138pt;height:62.4pt;z-index:16" filled="f" stroked="f">
            <v:textbox style="mso-next-textbox:#_x0000_s1167">
              <w:txbxContent>
                <w:p w:rsidR="00000000" w:rsidRDefault="00457650">
                  <w:pPr>
                    <w:tabs>
                      <w:tab w:val="left" w:pos="630"/>
                    </w:tabs>
                    <w:spacing w:line="240" w:lineRule="auto"/>
                    <w:rPr>
                      <w:rFonts w:hint="eastAsia"/>
                      <w:sz w:val="18"/>
                    </w:rPr>
                  </w:pPr>
                  <w:r>
                    <w:rPr>
                      <w:rFonts w:eastAsia="KaiTi_GB2312" w:hint="eastAsia"/>
                      <w:iCs/>
                      <w:sz w:val="18"/>
                    </w:rPr>
                    <w:t>资料来源</w:t>
                  </w:r>
                  <w:r>
                    <w:rPr>
                      <w:rFonts w:hint="eastAsia"/>
                      <w:sz w:val="18"/>
                    </w:rPr>
                    <w:t>：卫生部。</w:t>
                  </w:r>
                </w:p>
                <w:p w:rsidR="00000000" w:rsidRDefault="00457650">
                  <w:pPr>
                    <w:tabs>
                      <w:tab w:val="left" w:pos="630"/>
                    </w:tabs>
                    <w:spacing w:line="240" w:lineRule="auto"/>
                    <w:rPr>
                      <w:rFonts w:hint="eastAsia"/>
                      <w:sz w:val="18"/>
                    </w:rPr>
                  </w:pPr>
                  <w:r>
                    <w:rPr>
                      <w:rFonts w:hint="eastAsia"/>
                      <w:sz w:val="18"/>
                      <w:vertAlign w:val="superscript"/>
                    </w:rPr>
                    <w:t>e</w:t>
                  </w:r>
                  <w:r>
                    <w:rPr>
                      <w:rFonts w:hint="eastAsia"/>
                      <w:sz w:val="18"/>
                    </w:rPr>
                    <w:t xml:space="preserve">  </w:t>
                  </w:r>
                  <w:r>
                    <w:rPr>
                      <w:rFonts w:hint="eastAsia"/>
                      <w:sz w:val="18"/>
                    </w:rPr>
                    <w:t>估计数字。</w:t>
                  </w:r>
                </w:p>
                <w:p w:rsidR="00000000" w:rsidRDefault="00457650">
                  <w:pPr>
                    <w:tabs>
                      <w:tab w:val="left" w:pos="630"/>
                    </w:tabs>
                    <w:spacing w:line="240" w:lineRule="auto"/>
                    <w:rPr>
                      <w:rFonts w:hint="eastAsia"/>
                      <w:sz w:val="18"/>
                    </w:rPr>
                  </w:pPr>
                  <w:r>
                    <w:rPr>
                      <w:rFonts w:hint="eastAsia"/>
                      <w:sz w:val="18"/>
                      <w:vertAlign w:val="superscript"/>
                    </w:rPr>
                    <w:t>1</w:t>
                  </w:r>
                  <w:r>
                    <w:rPr>
                      <w:rFonts w:hint="eastAsia"/>
                      <w:sz w:val="18"/>
                    </w:rPr>
                    <w:t xml:space="preserve">  </w:t>
                  </w:r>
                  <w:r>
                    <w:rPr>
                      <w:rFonts w:hint="eastAsia"/>
                      <w:sz w:val="18"/>
                    </w:rPr>
                    <w:t>每</w:t>
                  </w:r>
                  <w:r>
                    <w:rPr>
                      <w:rFonts w:hint="eastAsia"/>
                      <w:sz w:val="18"/>
                    </w:rPr>
                    <w:t>1 000</w:t>
                  </w:r>
                  <w:r>
                    <w:rPr>
                      <w:rFonts w:hint="eastAsia"/>
                      <w:sz w:val="18"/>
                    </w:rPr>
                    <w:t>名活产儿。</w:t>
                  </w:r>
                </w:p>
                <w:p w:rsidR="00000000" w:rsidRDefault="00457650">
                  <w:pPr>
                    <w:spacing w:line="240" w:lineRule="auto"/>
                  </w:pPr>
                  <w:r>
                    <w:rPr>
                      <w:rFonts w:hint="eastAsia"/>
                      <w:sz w:val="18"/>
                      <w:vertAlign w:val="superscript"/>
                    </w:rPr>
                    <w:t>2</w:t>
                  </w:r>
                  <w:r>
                    <w:rPr>
                      <w:rFonts w:hint="eastAsia"/>
                      <w:sz w:val="18"/>
                    </w:rPr>
                    <w:t xml:space="preserve">  100 0</w:t>
                  </w:r>
                  <w:r>
                    <w:rPr>
                      <w:rFonts w:hint="eastAsia"/>
                      <w:sz w:val="18"/>
                    </w:rPr>
                    <w:t>00</w:t>
                  </w:r>
                  <w:r>
                    <w:rPr>
                      <w:rFonts w:hint="eastAsia"/>
                      <w:sz w:val="18"/>
                    </w:rPr>
                    <w:t>名</w:t>
                  </w:r>
                  <w:r>
                    <w:rPr>
                      <w:rFonts w:hint="eastAsia"/>
                      <w:sz w:val="18"/>
                    </w:rPr>
                    <w:t>5</w:t>
                  </w:r>
                  <w:r>
                    <w:rPr>
                      <w:rFonts w:hint="eastAsia"/>
                      <w:sz w:val="18"/>
                    </w:rPr>
                    <w:t>岁以下儿童。</w:t>
                  </w:r>
                </w:p>
              </w:txbxContent>
            </v:textbox>
          </v:shape>
        </w:pict>
      </w:r>
    </w:p>
    <w:p w:rsidR="00000000" w:rsidRDefault="00457650">
      <w:pPr>
        <w:widowControl/>
      </w:pPr>
    </w:p>
    <w:p w:rsidR="00000000" w:rsidRDefault="00457650">
      <w:pPr>
        <w:widowControl/>
      </w:pPr>
    </w:p>
    <w:p w:rsidR="00000000" w:rsidRDefault="00457650">
      <w:pPr>
        <w:widowControl/>
      </w:pPr>
    </w:p>
    <w:p w:rsidR="00000000" w:rsidRDefault="00457650">
      <w:pPr>
        <w:widowControl/>
      </w:pPr>
    </w:p>
    <w:p w:rsidR="00000000" w:rsidRDefault="00457650" w:rsidP="00457650">
      <w:pPr>
        <w:widowControl/>
        <w:tabs>
          <w:tab w:val="left" w:pos="630"/>
        </w:tabs>
        <w:spacing w:after="240" w:line="360" w:lineRule="exact"/>
        <w:ind w:firstLineChars="100" w:firstLine="31680"/>
        <w:rPr>
          <w:rFonts w:hint="eastAsia"/>
        </w:rPr>
      </w:pPr>
      <w:r>
        <w:rPr>
          <w:rFonts w:eastAsia="KaiTi_GB2312" w:hint="eastAsia"/>
          <w:iCs/>
          <w:sz w:val="18"/>
        </w:rPr>
        <w:t>资料来源</w:t>
      </w:r>
      <w:r>
        <w:rPr>
          <w:rFonts w:hint="eastAsia"/>
          <w:sz w:val="18"/>
        </w:rPr>
        <w:t>：卫生部，</w:t>
      </w:r>
      <w:r>
        <w:rPr>
          <w:rFonts w:hint="eastAsia"/>
          <w:sz w:val="18"/>
        </w:rPr>
        <w:t>2004</w:t>
      </w:r>
      <w:r>
        <w:rPr>
          <w:rFonts w:hint="eastAsia"/>
          <w:sz w:val="18"/>
        </w:rPr>
        <w:t>年。</w:t>
      </w:r>
    </w:p>
    <w:p w:rsidR="00000000" w:rsidRDefault="00457650">
      <w:pPr>
        <w:widowControl/>
        <w:tabs>
          <w:tab w:val="left" w:pos="630"/>
        </w:tabs>
        <w:spacing w:after="240" w:line="360" w:lineRule="exact"/>
        <w:rPr>
          <w:rFonts w:hint="eastAsia"/>
        </w:rPr>
      </w:pPr>
      <w:r>
        <w:rPr>
          <w:rFonts w:hint="eastAsia"/>
        </w:rPr>
        <w:t>534.</w:t>
      </w:r>
      <w:r>
        <w:rPr>
          <w:rFonts w:hint="eastAsia"/>
        </w:rPr>
        <w:tab/>
      </w:r>
      <w:r>
        <w:rPr>
          <w:rFonts w:hint="eastAsia"/>
        </w:rPr>
        <w:t>减少急性呼吸道疾病致死率随着</w:t>
      </w:r>
      <w:r>
        <w:rPr>
          <w:rFonts w:hint="eastAsia"/>
        </w:rPr>
        <w:t>1999</w:t>
      </w:r>
      <w:r>
        <w:rPr>
          <w:rFonts w:hint="eastAsia"/>
        </w:rPr>
        <w:t>年五结合疫苗（白喉</w:t>
      </w:r>
      <w:r>
        <w:rPr>
          <w:rFonts w:hint="eastAsia"/>
        </w:rPr>
        <w:t>-</w:t>
      </w:r>
      <w:r>
        <w:rPr>
          <w:rFonts w:hint="eastAsia"/>
        </w:rPr>
        <w:t>破伤风</w:t>
      </w:r>
      <w:r>
        <w:rPr>
          <w:rFonts w:hint="eastAsia"/>
        </w:rPr>
        <w:t>-</w:t>
      </w:r>
      <w:r>
        <w:rPr>
          <w:rFonts w:hint="eastAsia"/>
        </w:rPr>
        <w:t>百日咳</w:t>
      </w:r>
      <w:r>
        <w:rPr>
          <w:rFonts w:hint="eastAsia"/>
        </w:rPr>
        <w:t>+</w:t>
      </w:r>
      <w:r>
        <w:rPr>
          <w:rFonts w:hint="eastAsia"/>
        </w:rPr>
        <w:t>乙型肝炎</w:t>
      </w:r>
      <w:r>
        <w:rPr>
          <w:rFonts w:hint="eastAsia"/>
        </w:rPr>
        <w:t>+B</w:t>
      </w:r>
      <w:r>
        <w:rPr>
          <w:rFonts w:hint="eastAsia"/>
        </w:rPr>
        <w:t>（乙）型流感嗜血杆菌疫苗）的推广而取得了进展，</w:t>
      </w:r>
      <w:r>
        <w:rPr>
          <w:rFonts w:hint="eastAsia"/>
        </w:rPr>
        <w:t xml:space="preserve"> 2000</w:t>
      </w:r>
      <w:r>
        <w:rPr>
          <w:rFonts w:hint="eastAsia"/>
        </w:rPr>
        <w:t>年至</w:t>
      </w:r>
      <w:r>
        <w:rPr>
          <w:rFonts w:hint="eastAsia"/>
        </w:rPr>
        <w:t>2003</w:t>
      </w:r>
      <w:r>
        <w:rPr>
          <w:rFonts w:hint="eastAsia"/>
        </w:rPr>
        <w:t>年，这类疫苗将五岁以下儿童的急性呼吸道疾病致死率从</w:t>
      </w:r>
      <w:r>
        <w:rPr>
          <w:rFonts w:hint="eastAsia"/>
        </w:rPr>
        <w:t>38.8%</w:t>
      </w:r>
      <w:r>
        <w:rPr>
          <w:rFonts w:hint="eastAsia"/>
        </w:rPr>
        <w:t>减少到</w:t>
      </w:r>
      <w:r>
        <w:rPr>
          <w:rFonts w:hint="eastAsia"/>
        </w:rPr>
        <w:t>30.7%</w:t>
      </w:r>
      <w:r>
        <w:rPr>
          <w:rFonts w:hint="eastAsia"/>
        </w:rPr>
        <w:t>。</w:t>
      </w:r>
      <w:r>
        <w:rPr>
          <w:rStyle w:val="FootnoteReference"/>
          <w:color w:val="000000"/>
          <w:szCs w:val="21"/>
        </w:rPr>
        <w:footnoteReference w:id="21"/>
      </w:r>
    </w:p>
    <w:p w:rsidR="00000000" w:rsidRDefault="00457650">
      <w:pPr>
        <w:widowControl/>
        <w:tabs>
          <w:tab w:val="left" w:pos="630"/>
        </w:tabs>
        <w:spacing w:after="240" w:line="360" w:lineRule="exact"/>
        <w:rPr>
          <w:rFonts w:hint="eastAsia"/>
        </w:rPr>
      </w:pPr>
      <w:r>
        <w:rPr>
          <w:rFonts w:hint="eastAsia"/>
        </w:rPr>
        <w:t>535.</w:t>
      </w:r>
      <w:r>
        <w:rPr>
          <w:rFonts w:hint="eastAsia"/>
        </w:rPr>
        <w:tab/>
        <w:t>2000</w:t>
      </w:r>
      <w:r>
        <w:rPr>
          <w:rFonts w:hint="eastAsia"/>
        </w:rPr>
        <w:t>年至</w:t>
      </w:r>
      <w:r>
        <w:rPr>
          <w:rFonts w:hint="eastAsia"/>
        </w:rPr>
        <w:t>2003</w:t>
      </w:r>
      <w:r>
        <w:rPr>
          <w:rFonts w:hint="eastAsia"/>
        </w:rPr>
        <w:t>年，每</w:t>
      </w:r>
      <w:r>
        <w:rPr>
          <w:rFonts w:hint="eastAsia"/>
        </w:rPr>
        <w:t>100 000</w:t>
      </w:r>
      <w:r>
        <w:rPr>
          <w:rFonts w:hint="eastAsia"/>
        </w:rPr>
        <w:t>名五岁以下儿童中急性腹泻致死率</w:t>
      </w:r>
      <w:r>
        <w:rPr>
          <w:rFonts w:hint="eastAsia"/>
        </w:rPr>
        <w:t>下降了</w:t>
      </w:r>
      <w:r>
        <w:rPr>
          <w:rFonts w:hint="eastAsia"/>
        </w:rPr>
        <w:t>27.1%</w:t>
      </w:r>
      <w:r>
        <w:rPr>
          <w:rFonts w:hint="eastAsia"/>
        </w:rPr>
        <w:t>，从</w:t>
      </w:r>
      <w:r>
        <w:rPr>
          <w:rFonts w:hint="eastAsia"/>
        </w:rPr>
        <w:t>22.9%</w:t>
      </w:r>
      <w:r>
        <w:rPr>
          <w:rFonts w:hint="eastAsia"/>
        </w:rPr>
        <w:t>下降到</w:t>
      </w:r>
      <w:r>
        <w:rPr>
          <w:rFonts w:hint="eastAsia"/>
        </w:rPr>
        <w:t>16.7%</w:t>
      </w:r>
      <w:r>
        <w:rPr>
          <w:rFonts w:hint="eastAsia"/>
        </w:rPr>
        <w:t>。</w:t>
      </w:r>
    </w:p>
    <w:p w:rsidR="00000000" w:rsidRDefault="00457650">
      <w:pPr>
        <w:widowControl/>
        <w:tabs>
          <w:tab w:val="left" w:pos="630"/>
        </w:tabs>
        <w:spacing w:after="240" w:line="360" w:lineRule="exact"/>
        <w:rPr>
          <w:rFonts w:hint="eastAsia"/>
        </w:rPr>
      </w:pPr>
      <w:r>
        <w:rPr>
          <w:rFonts w:hint="eastAsia"/>
        </w:rPr>
        <w:t>536.</w:t>
      </w:r>
      <w:r>
        <w:rPr>
          <w:rFonts w:hint="eastAsia"/>
        </w:rPr>
        <w:tab/>
      </w:r>
      <w:r>
        <w:rPr>
          <w:rFonts w:hint="eastAsia"/>
        </w:rPr>
        <w:t>平等生活起步方案的目标是保证所有墨西哥妇女的健康怀孕，安全生产和避免产后并发症，同时保证所有</w:t>
      </w:r>
      <w:r>
        <w:rPr>
          <w:rFonts w:hint="eastAsia"/>
        </w:rPr>
        <w:t>2</w:t>
      </w:r>
      <w:r>
        <w:rPr>
          <w:rFonts w:hint="eastAsia"/>
        </w:rPr>
        <w:t>岁以下幼儿的成长和发展机会。</w:t>
      </w:r>
    </w:p>
    <w:p w:rsidR="00000000" w:rsidRDefault="00457650">
      <w:pPr>
        <w:widowControl/>
        <w:tabs>
          <w:tab w:val="left" w:pos="630"/>
        </w:tabs>
        <w:spacing w:after="240" w:line="360" w:lineRule="exact"/>
        <w:rPr>
          <w:rFonts w:hint="eastAsia"/>
        </w:rPr>
      </w:pPr>
      <w:r>
        <w:rPr>
          <w:rFonts w:hint="eastAsia"/>
        </w:rPr>
        <w:t>537.</w:t>
      </w:r>
      <w:r>
        <w:rPr>
          <w:rFonts w:hint="eastAsia"/>
        </w:rPr>
        <w:tab/>
      </w:r>
      <w:r>
        <w:rPr>
          <w:rFonts w:hint="eastAsia"/>
        </w:rPr>
        <w:t>根据这个方案，在</w:t>
      </w:r>
      <w:r>
        <w:rPr>
          <w:rFonts w:hint="eastAsia"/>
        </w:rPr>
        <w:t>500</w:t>
      </w:r>
      <w:r>
        <w:rPr>
          <w:rFonts w:hint="eastAsia"/>
        </w:rPr>
        <w:t>个城市采取了多种措施，有</w:t>
      </w:r>
      <w:r>
        <w:rPr>
          <w:rFonts w:hint="eastAsia"/>
        </w:rPr>
        <w:t>251</w:t>
      </w:r>
      <w:r>
        <w:rPr>
          <w:rFonts w:hint="eastAsia"/>
        </w:rPr>
        <w:t>个被称为“</w:t>
      </w:r>
      <w:r>
        <w:rPr>
          <w:rFonts w:hint="eastAsia"/>
        </w:rPr>
        <w:t>S</w:t>
      </w:r>
      <w:r>
        <w:t>í</w:t>
      </w:r>
      <w:r>
        <w:rPr>
          <w:rFonts w:hint="eastAsia"/>
        </w:rPr>
        <w:t xml:space="preserve"> Mujer</w:t>
      </w:r>
      <w:r>
        <w:rPr>
          <w:rFonts w:hint="eastAsia"/>
        </w:rPr>
        <w:t>”（针对妇女）的单位参与，其中</w:t>
      </w:r>
      <w:r>
        <w:rPr>
          <w:rFonts w:hint="eastAsia"/>
        </w:rPr>
        <w:t>149</w:t>
      </w:r>
      <w:r>
        <w:rPr>
          <w:rFonts w:hint="eastAsia"/>
        </w:rPr>
        <w:t>个设在门诊部，</w:t>
      </w:r>
      <w:r>
        <w:rPr>
          <w:rFonts w:hint="eastAsia"/>
        </w:rPr>
        <w:t>102</w:t>
      </w:r>
      <w:r>
        <w:rPr>
          <w:rFonts w:hint="eastAsia"/>
        </w:rPr>
        <w:t>个设在医院。这些措施使</w:t>
      </w:r>
      <w:r>
        <w:rPr>
          <w:rFonts w:hint="eastAsia"/>
        </w:rPr>
        <w:t>100</w:t>
      </w:r>
      <w:r>
        <w:rPr>
          <w:rFonts w:hint="eastAsia"/>
        </w:rPr>
        <w:t>多万人受益，其中</w:t>
      </w:r>
      <w:r>
        <w:rPr>
          <w:rFonts w:hint="eastAsia"/>
        </w:rPr>
        <w:t>39%</w:t>
      </w:r>
      <w:r>
        <w:rPr>
          <w:rFonts w:hint="eastAsia"/>
        </w:rPr>
        <w:t>是怀孕妇女，</w:t>
      </w:r>
      <w:r>
        <w:rPr>
          <w:rFonts w:hint="eastAsia"/>
        </w:rPr>
        <w:t>61%</w:t>
      </w:r>
      <w:r>
        <w:rPr>
          <w:rFonts w:hint="eastAsia"/>
        </w:rPr>
        <w:t>是</w:t>
      </w:r>
      <w:r>
        <w:rPr>
          <w:rFonts w:hint="eastAsia"/>
        </w:rPr>
        <w:t>2</w:t>
      </w:r>
      <w:r>
        <w:rPr>
          <w:rFonts w:hint="eastAsia"/>
        </w:rPr>
        <w:t>岁以下儿童。</w:t>
      </w:r>
    </w:p>
    <w:p w:rsidR="00000000" w:rsidRDefault="00457650">
      <w:pPr>
        <w:widowControl/>
        <w:tabs>
          <w:tab w:val="left" w:pos="630"/>
        </w:tabs>
        <w:spacing w:after="240" w:line="360" w:lineRule="exact"/>
        <w:rPr>
          <w:rFonts w:hint="eastAsia"/>
        </w:rPr>
      </w:pPr>
      <w:r>
        <w:rPr>
          <w:rFonts w:hint="eastAsia"/>
        </w:rPr>
        <w:t>538.</w:t>
      </w:r>
      <w:r>
        <w:rPr>
          <w:rFonts w:hint="eastAsia"/>
        </w:rPr>
        <w:tab/>
      </w:r>
      <w:r>
        <w:rPr>
          <w:rFonts w:hint="eastAsia"/>
        </w:rPr>
        <w:t>对</w:t>
      </w:r>
      <w:r>
        <w:rPr>
          <w:rFonts w:hint="eastAsia"/>
        </w:rPr>
        <w:t>877 000</w:t>
      </w:r>
      <w:r>
        <w:rPr>
          <w:rFonts w:hint="eastAsia"/>
        </w:rPr>
        <w:t>个新生婴儿实施了新生儿检查测试，其中</w:t>
      </w:r>
      <w:r>
        <w:rPr>
          <w:rFonts w:hint="eastAsia"/>
        </w:rPr>
        <w:t>18.8%</w:t>
      </w:r>
      <w:r>
        <w:rPr>
          <w:rFonts w:hint="eastAsia"/>
        </w:rPr>
        <w:t>以上是前期进行的，包括使用</w:t>
      </w:r>
      <w:r>
        <w:rPr>
          <w:rFonts w:hint="eastAsia"/>
        </w:rPr>
        <w:t>为早期发现先天性甲状腺机能减退用的滤纸和快速检测条进行检测，在偏远的边缘地区也进行这种检测。</w:t>
      </w:r>
    </w:p>
    <w:p w:rsidR="00000000" w:rsidRDefault="00457650">
      <w:pPr>
        <w:widowControl/>
        <w:tabs>
          <w:tab w:val="left" w:pos="630"/>
        </w:tabs>
        <w:spacing w:after="240" w:line="360" w:lineRule="exact"/>
        <w:rPr>
          <w:rFonts w:hint="eastAsia"/>
        </w:rPr>
      </w:pPr>
      <w:r>
        <w:rPr>
          <w:rFonts w:hint="eastAsia"/>
        </w:rPr>
        <w:t>539.</w:t>
      </w:r>
      <w:r>
        <w:rPr>
          <w:rFonts w:hint="eastAsia"/>
        </w:rPr>
        <w:tab/>
      </w:r>
      <w:r>
        <w:rPr>
          <w:rFonts w:hint="eastAsia"/>
        </w:rPr>
        <w:t>在</w:t>
      </w:r>
      <w:r>
        <w:rPr>
          <w:rFonts w:hint="eastAsia"/>
        </w:rPr>
        <w:t>2003</w:t>
      </w:r>
      <w:r>
        <w:rPr>
          <w:rFonts w:hint="eastAsia"/>
        </w:rPr>
        <w:t>年</w:t>
      </w:r>
      <w:r>
        <w:rPr>
          <w:rFonts w:hint="eastAsia"/>
        </w:rPr>
        <w:t>5</w:t>
      </w:r>
      <w:r>
        <w:rPr>
          <w:rFonts w:hint="eastAsia"/>
        </w:rPr>
        <w:t>月开展的第二次全国保健周活动期间，向育龄妇女发放了</w:t>
      </w:r>
      <w:r>
        <w:rPr>
          <w:rFonts w:hint="eastAsia"/>
        </w:rPr>
        <w:t>55 000</w:t>
      </w:r>
      <w:r>
        <w:rPr>
          <w:rFonts w:hint="eastAsia"/>
        </w:rPr>
        <w:t>瓶叶酸和微量营养素。</w:t>
      </w:r>
    </w:p>
    <w:p w:rsidR="00000000" w:rsidRDefault="00457650">
      <w:pPr>
        <w:widowControl/>
        <w:tabs>
          <w:tab w:val="left" w:pos="630"/>
        </w:tabs>
        <w:spacing w:after="240" w:line="360" w:lineRule="exact"/>
        <w:rPr>
          <w:rFonts w:hint="eastAsia"/>
        </w:rPr>
      </w:pPr>
      <w:r>
        <w:rPr>
          <w:rFonts w:hint="eastAsia"/>
        </w:rPr>
        <w:t>540.</w:t>
      </w:r>
      <w:r>
        <w:rPr>
          <w:rFonts w:hint="eastAsia"/>
        </w:rPr>
        <w:tab/>
      </w:r>
      <w:r>
        <w:rPr>
          <w:rFonts w:hint="eastAsia"/>
        </w:rPr>
        <w:t>产前检查共进行了</w:t>
      </w:r>
      <w:r>
        <w:rPr>
          <w:rFonts w:hint="eastAsia"/>
        </w:rPr>
        <w:t>230</w:t>
      </w:r>
      <w:r>
        <w:rPr>
          <w:rFonts w:hint="eastAsia"/>
        </w:rPr>
        <w:t>万次。平均每个妇女在怀孕期间接受了</w:t>
      </w:r>
      <w:r>
        <w:rPr>
          <w:rFonts w:hint="eastAsia"/>
        </w:rPr>
        <w:t>3.8</w:t>
      </w:r>
      <w:r>
        <w:rPr>
          <w:rFonts w:hint="eastAsia"/>
        </w:rPr>
        <w:t>次检查。这个数字和</w:t>
      </w:r>
      <w:r>
        <w:rPr>
          <w:rFonts w:hint="eastAsia"/>
        </w:rPr>
        <w:t>2002</w:t>
      </w:r>
      <w:r>
        <w:rPr>
          <w:rFonts w:hint="eastAsia"/>
        </w:rPr>
        <w:t>年相比增长了</w:t>
      </w:r>
      <w:r>
        <w:rPr>
          <w:rFonts w:hint="eastAsia"/>
        </w:rPr>
        <w:t>6.4%</w:t>
      </w:r>
      <w:r>
        <w:rPr>
          <w:rFonts w:hint="eastAsia"/>
        </w:rPr>
        <w:t>。</w:t>
      </w:r>
    </w:p>
    <w:p w:rsidR="00000000" w:rsidRDefault="00457650">
      <w:pPr>
        <w:widowControl/>
        <w:tabs>
          <w:tab w:val="left" w:pos="630"/>
        </w:tabs>
        <w:spacing w:after="240" w:line="360" w:lineRule="exact"/>
        <w:jc w:val="center"/>
        <w:rPr>
          <w:rFonts w:ascii="SimHei" w:eastAsia="SimHei" w:hint="eastAsia"/>
        </w:rPr>
      </w:pPr>
      <w:r>
        <w:rPr>
          <w:rFonts w:ascii="SimHei" w:eastAsia="SimHei" w:hint="eastAsia"/>
        </w:rPr>
        <w:t>2002-2003</w:t>
      </w:r>
      <w:r>
        <w:rPr>
          <w:rFonts w:ascii="SimHei" w:eastAsia="SimHei" w:hint="eastAsia"/>
        </w:rPr>
        <w:t>年平等生活起步方案</w:t>
      </w:r>
    </w:p>
    <w:tbl>
      <w:tblPr>
        <w:tblW w:w="5000" w:type="pct"/>
        <w:jc w:val="center"/>
        <w:tblCellMar>
          <w:left w:w="0" w:type="dxa"/>
          <w:right w:w="0" w:type="dxa"/>
        </w:tblCellMar>
        <w:tblLook w:val="0000" w:firstRow="0" w:lastRow="0" w:firstColumn="0" w:lastColumn="0" w:noHBand="0" w:noVBand="0"/>
      </w:tblPr>
      <w:tblGrid>
        <w:gridCol w:w="4822"/>
        <w:gridCol w:w="1587"/>
        <w:gridCol w:w="1587"/>
        <w:gridCol w:w="1870"/>
      </w:tblGrid>
      <w:tr w:rsidR="00000000">
        <w:tblPrEx>
          <w:tblCellMar>
            <w:top w:w="0" w:type="dxa"/>
            <w:bottom w:w="0" w:type="dxa"/>
          </w:tblCellMar>
        </w:tblPrEx>
        <w:trPr>
          <w:cantSplit/>
          <w:tblHeader/>
          <w:jc w:val="center"/>
        </w:trPr>
        <w:tc>
          <w:tcPr>
            <w:tcW w:w="4822" w:type="dxa"/>
            <w:vMerge w:val="restart"/>
            <w:tcBorders>
              <w:top w:val="single" w:sz="4" w:space="0" w:color="auto"/>
            </w:tcBorders>
            <w:vAlign w:val="center"/>
          </w:tcPr>
          <w:p w:rsidR="00000000" w:rsidRDefault="00457650">
            <w:pPr>
              <w:widowControl/>
              <w:tabs>
                <w:tab w:val="left" w:pos="630"/>
              </w:tabs>
              <w:spacing w:after="120" w:line="320" w:lineRule="exact"/>
              <w:jc w:val="center"/>
              <w:rPr>
                <w:rFonts w:ascii="KaiTi_GB2312" w:eastAsia="KaiTi_GB2312" w:hint="eastAsia"/>
                <w:iCs/>
                <w:sz w:val="18"/>
              </w:rPr>
            </w:pPr>
            <w:r>
              <w:rPr>
                <w:rFonts w:ascii="KaiTi_GB2312" w:eastAsia="KaiTi_GB2312" w:hint="eastAsia"/>
                <w:iCs/>
                <w:sz w:val="18"/>
              </w:rPr>
              <w:t>项别</w:t>
            </w:r>
          </w:p>
        </w:tc>
        <w:tc>
          <w:tcPr>
            <w:tcW w:w="3174" w:type="dxa"/>
            <w:gridSpan w:val="2"/>
            <w:tcBorders>
              <w:top w:val="single" w:sz="4" w:space="0" w:color="auto"/>
              <w:bottom w:val="single" w:sz="4" w:space="0" w:color="auto"/>
            </w:tcBorders>
            <w:vAlign w:val="center"/>
          </w:tcPr>
          <w:p w:rsidR="00000000" w:rsidRDefault="00457650">
            <w:pPr>
              <w:widowControl/>
              <w:tabs>
                <w:tab w:val="left" w:pos="630"/>
              </w:tabs>
              <w:spacing w:after="120" w:line="320" w:lineRule="exact"/>
              <w:jc w:val="center"/>
              <w:rPr>
                <w:rFonts w:ascii="KaiTi_GB2312" w:eastAsia="KaiTi_GB2312" w:hint="eastAsia"/>
                <w:iCs/>
                <w:sz w:val="18"/>
              </w:rPr>
            </w:pPr>
            <w:r>
              <w:rPr>
                <w:rFonts w:ascii="KaiTi_GB2312" w:eastAsia="KaiTi_GB2312" w:hint="eastAsia"/>
                <w:iCs/>
                <w:sz w:val="18"/>
              </w:rPr>
              <w:t>年度数字</w:t>
            </w:r>
          </w:p>
        </w:tc>
        <w:tc>
          <w:tcPr>
            <w:tcW w:w="1870" w:type="dxa"/>
            <w:vMerge w:val="restart"/>
            <w:tcBorders>
              <w:top w:val="single" w:sz="4" w:space="0" w:color="auto"/>
            </w:tcBorders>
            <w:vAlign w:val="center"/>
          </w:tcPr>
          <w:p w:rsidR="00000000" w:rsidRDefault="00457650">
            <w:pPr>
              <w:widowControl/>
              <w:tabs>
                <w:tab w:val="left" w:pos="630"/>
              </w:tabs>
              <w:spacing w:after="120" w:line="320" w:lineRule="exact"/>
              <w:jc w:val="center"/>
              <w:rPr>
                <w:rFonts w:ascii="KaiTi_GB2312" w:eastAsia="KaiTi_GB2312"/>
                <w:iCs/>
                <w:sz w:val="18"/>
              </w:rPr>
            </w:pPr>
            <w:r>
              <w:rPr>
                <w:rFonts w:ascii="KaiTi_GB2312" w:eastAsia="KaiTi_GB2312" w:hint="eastAsia"/>
                <w:iCs/>
                <w:sz w:val="18"/>
              </w:rPr>
              <w:t>年度变化（百分比）</w:t>
            </w:r>
          </w:p>
        </w:tc>
      </w:tr>
      <w:tr w:rsidR="00000000">
        <w:tblPrEx>
          <w:tblCellMar>
            <w:top w:w="0" w:type="dxa"/>
            <w:bottom w:w="0" w:type="dxa"/>
          </w:tblCellMar>
        </w:tblPrEx>
        <w:trPr>
          <w:cantSplit/>
          <w:tblHeader/>
          <w:jc w:val="center"/>
        </w:trPr>
        <w:tc>
          <w:tcPr>
            <w:tcW w:w="4822" w:type="dxa"/>
            <w:vMerge/>
            <w:tcBorders>
              <w:bottom w:val="single" w:sz="4" w:space="0" w:color="auto"/>
            </w:tcBorders>
            <w:vAlign w:val="center"/>
          </w:tcPr>
          <w:p w:rsidR="00000000" w:rsidRDefault="00457650">
            <w:pPr>
              <w:widowControl/>
              <w:tabs>
                <w:tab w:val="left" w:pos="630"/>
              </w:tabs>
              <w:spacing w:after="120" w:line="320" w:lineRule="exact"/>
              <w:jc w:val="center"/>
              <w:rPr>
                <w:rFonts w:ascii="KaiTi_GB2312" w:eastAsia="KaiTi_GB2312"/>
                <w:bCs/>
                <w:iCs/>
                <w:sz w:val="18"/>
              </w:rPr>
            </w:pPr>
          </w:p>
        </w:tc>
        <w:tc>
          <w:tcPr>
            <w:tcW w:w="1587" w:type="dxa"/>
            <w:tcBorders>
              <w:top w:val="single" w:sz="4" w:space="0" w:color="auto"/>
              <w:bottom w:val="single" w:sz="4" w:space="0" w:color="auto"/>
            </w:tcBorders>
            <w:vAlign w:val="center"/>
          </w:tcPr>
          <w:p w:rsidR="00000000" w:rsidRDefault="00457650">
            <w:pPr>
              <w:widowControl/>
              <w:tabs>
                <w:tab w:val="left" w:pos="630"/>
              </w:tabs>
              <w:spacing w:after="120" w:line="320" w:lineRule="exact"/>
              <w:jc w:val="center"/>
              <w:rPr>
                <w:rFonts w:ascii="KaiTi_GB2312" w:eastAsia="KaiTi_GB2312" w:hint="eastAsia"/>
                <w:bCs/>
                <w:iCs/>
                <w:sz w:val="18"/>
              </w:rPr>
            </w:pPr>
            <w:r>
              <w:rPr>
                <w:rFonts w:ascii="KaiTi_GB2312" w:eastAsia="KaiTi_GB2312"/>
                <w:bCs/>
                <w:iCs/>
                <w:sz w:val="18"/>
              </w:rPr>
              <w:t>2002</w:t>
            </w:r>
            <w:r>
              <w:rPr>
                <w:rFonts w:ascii="KaiTi_GB2312" w:eastAsia="KaiTi_GB2312" w:hint="eastAsia"/>
                <w:bCs/>
                <w:iCs/>
                <w:sz w:val="18"/>
              </w:rPr>
              <w:t>年</w:t>
            </w:r>
          </w:p>
        </w:tc>
        <w:tc>
          <w:tcPr>
            <w:tcW w:w="1587" w:type="dxa"/>
            <w:tcBorders>
              <w:top w:val="single" w:sz="4" w:space="0" w:color="auto"/>
              <w:bottom w:val="single" w:sz="4" w:space="0" w:color="auto"/>
            </w:tcBorders>
            <w:vAlign w:val="center"/>
          </w:tcPr>
          <w:p w:rsidR="00000000" w:rsidRDefault="00457650">
            <w:pPr>
              <w:widowControl/>
              <w:tabs>
                <w:tab w:val="left" w:pos="630"/>
              </w:tabs>
              <w:spacing w:after="120" w:line="320" w:lineRule="exact"/>
              <w:jc w:val="center"/>
              <w:rPr>
                <w:rFonts w:ascii="KaiTi_GB2312" w:eastAsia="KaiTi_GB2312"/>
                <w:bCs/>
                <w:iCs/>
                <w:sz w:val="18"/>
                <w:vertAlign w:val="superscript"/>
              </w:rPr>
            </w:pPr>
            <w:r>
              <w:rPr>
                <w:rFonts w:ascii="KaiTi_GB2312" w:eastAsia="KaiTi_GB2312"/>
                <w:bCs/>
                <w:iCs/>
                <w:sz w:val="18"/>
              </w:rPr>
              <w:t>2003</w:t>
            </w:r>
            <w:r>
              <w:rPr>
                <w:rFonts w:ascii="KaiTi_GB2312" w:eastAsia="KaiTi_GB2312" w:hint="eastAsia"/>
                <w:bCs/>
                <w:iCs/>
                <w:sz w:val="18"/>
              </w:rPr>
              <w:t>年</w:t>
            </w:r>
            <w:r>
              <w:rPr>
                <w:rFonts w:ascii="KaiTi_GB2312" w:eastAsia="KaiTi_GB2312"/>
                <w:iCs/>
                <w:sz w:val="18"/>
                <w:vertAlign w:val="superscript"/>
              </w:rPr>
              <w:t>e</w:t>
            </w:r>
          </w:p>
        </w:tc>
        <w:tc>
          <w:tcPr>
            <w:tcW w:w="1870" w:type="dxa"/>
            <w:vMerge/>
            <w:tcBorders>
              <w:bottom w:val="single" w:sz="4" w:space="0" w:color="auto"/>
            </w:tcBorders>
            <w:vAlign w:val="center"/>
          </w:tcPr>
          <w:p w:rsidR="00000000" w:rsidRDefault="00457650">
            <w:pPr>
              <w:widowControl/>
              <w:tabs>
                <w:tab w:val="left" w:pos="630"/>
              </w:tabs>
              <w:spacing w:after="120" w:line="320" w:lineRule="exact"/>
              <w:jc w:val="center"/>
              <w:rPr>
                <w:rFonts w:ascii="KaiTi_GB2312" w:eastAsia="KaiTi_GB2312"/>
                <w:bCs/>
                <w:iCs/>
                <w:sz w:val="18"/>
              </w:rPr>
            </w:pPr>
          </w:p>
        </w:tc>
      </w:tr>
      <w:tr w:rsidR="00000000">
        <w:tblPrEx>
          <w:tblCellMar>
            <w:top w:w="0" w:type="dxa"/>
            <w:bottom w:w="0" w:type="dxa"/>
          </w:tblCellMar>
        </w:tblPrEx>
        <w:trPr>
          <w:jc w:val="center"/>
        </w:trPr>
        <w:tc>
          <w:tcPr>
            <w:tcW w:w="4822" w:type="dxa"/>
            <w:tcBorders>
              <w:top w:val="single" w:sz="4" w:space="0" w:color="auto"/>
            </w:tcBorders>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覆盖率</w:t>
            </w:r>
          </w:p>
        </w:tc>
        <w:tc>
          <w:tcPr>
            <w:tcW w:w="1587" w:type="dxa"/>
            <w:tcBorders>
              <w:top w:val="single" w:sz="4" w:space="0" w:color="auto"/>
            </w:tcBorders>
          </w:tcPr>
          <w:p w:rsidR="00000000" w:rsidRDefault="00457650" w:rsidP="00457650">
            <w:pPr>
              <w:widowControl/>
              <w:tabs>
                <w:tab w:val="left" w:pos="630"/>
              </w:tabs>
              <w:spacing w:after="120" w:line="320" w:lineRule="exact"/>
              <w:ind w:leftChars="50" w:left="31680" w:rightChars="248" w:right="31680"/>
              <w:jc w:val="right"/>
              <w:rPr>
                <w:bCs/>
                <w:sz w:val="18"/>
              </w:rPr>
            </w:pPr>
          </w:p>
        </w:tc>
        <w:tc>
          <w:tcPr>
            <w:tcW w:w="1587" w:type="dxa"/>
            <w:tcBorders>
              <w:top w:val="single" w:sz="4" w:space="0" w:color="auto"/>
            </w:tcBorders>
          </w:tcPr>
          <w:p w:rsidR="00000000" w:rsidRDefault="00457650" w:rsidP="00457650">
            <w:pPr>
              <w:widowControl/>
              <w:tabs>
                <w:tab w:val="left" w:pos="630"/>
              </w:tabs>
              <w:spacing w:after="120" w:line="320" w:lineRule="exact"/>
              <w:ind w:leftChars="50" w:left="31680" w:rightChars="248" w:right="31680"/>
              <w:jc w:val="right"/>
              <w:rPr>
                <w:bCs/>
                <w:sz w:val="18"/>
              </w:rPr>
            </w:pPr>
          </w:p>
        </w:tc>
        <w:tc>
          <w:tcPr>
            <w:tcW w:w="1870" w:type="dxa"/>
            <w:tcBorders>
              <w:top w:val="single" w:sz="4" w:space="0" w:color="auto"/>
            </w:tcBorders>
          </w:tcPr>
          <w:p w:rsidR="00000000" w:rsidRDefault="00457650" w:rsidP="00457650">
            <w:pPr>
              <w:widowControl/>
              <w:tabs>
                <w:tab w:val="left" w:pos="630"/>
              </w:tabs>
              <w:spacing w:after="120" w:line="320" w:lineRule="exact"/>
              <w:ind w:leftChars="50" w:left="31680" w:rightChars="248" w:right="31680"/>
              <w:jc w:val="right"/>
              <w:rPr>
                <w:bCs/>
                <w:sz w:val="18"/>
              </w:rPr>
            </w:pPr>
          </w:p>
        </w:tc>
      </w:tr>
      <w:tr w:rsidR="00000000">
        <w:tblPrEx>
          <w:tblCellMar>
            <w:top w:w="0" w:type="dxa"/>
            <w:bottom w:w="0" w:type="dxa"/>
          </w:tblCellMar>
        </w:tblPrEx>
        <w:trPr>
          <w:jc w:val="center"/>
        </w:trPr>
        <w:tc>
          <w:tcPr>
            <w:tcW w:w="4822" w:type="dxa"/>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受益州</w:t>
            </w:r>
          </w:p>
        </w:tc>
        <w:tc>
          <w:tcPr>
            <w:tcW w:w="1587"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17</w:t>
            </w:r>
          </w:p>
        </w:tc>
        <w:tc>
          <w:tcPr>
            <w:tcW w:w="1587"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32</w:t>
            </w:r>
          </w:p>
        </w:tc>
        <w:tc>
          <w:tcPr>
            <w:tcW w:w="1870"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88.2</w:t>
            </w:r>
          </w:p>
        </w:tc>
      </w:tr>
      <w:tr w:rsidR="00000000">
        <w:tblPrEx>
          <w:tblCellMar>
            <w:top w:w="0" w:type="dxa"/>
            <w:bottom w:w="0" w:type="dxa"/>
          </w:tblCellMar>
        </w:tblPrEx>
        <w:trPr>
          <w:jc w:val="center"/>
        </w:trPr>
        <w:tc>
          <w:tcPr>
            <w:tcW w:w="4822" w:type="dxa"/>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受益市</w:t>
            </w:r>
          </w:p>
        </w:tc>
        <w:tc>
          <w:tcPr>
            <w:tcW w:w="1587"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330</w:t>
            </w:r>
          </w:p>
        </w:tc>
        <w:tc>
          <w:tcPr>
            <w:tcW w:w="1587"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500</w:t>
            </w:r>
          </w:p>
        </w:tc>
        <w:tc>
          <w:tcPr>
            <w:tcW w:w="1870"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51.1</w:t>
            </w:r>
          </w:p>
        </w:tc>
      </w:tr>
      <w:tr w:rsidR="00000000">
        <w:tblPrEx>
          <w:tblCellMar>
            <w:top w:w="0" w:type="dxa"/>
            <w:bottom w:w="0" w:type="dxa"/>
          </w:tblCellMar>
        </w:tblPrEx>
        <w:trPr>
          <w:jc w:val="center"/>
        </w:trPr>
        <w:tc>
          <w:tcPr>
            <w:tcW w:w="4822" w:type="dxa"/>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人力资源</w:t>
            </w:r>
            <w:r>
              <w:rPr>
                <w:rFonts w:hint="eastAsia"/>
                <w:sz w:val="18"/>
                <w:vertAlign w:val="superscript"/>
              </w:rPr>
              <w:t>l</w:t>
            </w:r>
          </w:p>
        </w:tc>
        <w:tc>
          <w:tcPr>
            <w:tcW w:w="1587"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p>
        </w:tc>
        <w:tc>
          <w:tcPr>
            <w:tcW w:w="1587"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p>
        </w:tc>
        <w:tc>
          <w:tcPr>
            <w:tcW w:w="1870"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p>
        </w:tc>
      </w:tr>
      <w:tr w:rsidR="00000000">
        <w:tblPrEx>
          <w:tblCellMar>
            <w:top w:w="0" w:type="dxa"/>
            <w:bottom w:w="0" w:type="dxa"/>
          </w:tblCellMar>
        </w:tblPrEx>
        <w:trPr>
          <w:jc w:val="center"/>
        </w:trPr>
        <w:tc>
          <w:tcPr>
            <w:tcW w:w="4822" w:type="dxa"/>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医生</w:t>
            </w:r>
          </w:p>
        </w:tc>
        <w:tc>
          <w:tcPr>
            <w:tcW w:w="1587"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12 729</w:t>
            </w:r>
          </w:p>
        </w:tc>
        <w:tc>
          <w:tcPr>
            <w:tcW w:w="1587"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17 576</w:t>
            </w:r>
          </w:p>
        </w:tc>
        <w:tc>
          <w:tcPr>
            <w:tcW w:w="1870"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p>
        </w:tc>
      </w:tr>
      <w:tr w:rsidR="00000000">
        <w:tblPrEx>
          <w:tblCellMar>
            <w:top w:w="0" w:type="dxa"/>
            <w:bottom w:w="0" w:type="dxa"/>
          </w:tblCellMar>
        </w:tblPrEx>
        <w:trPr>
          <w:jc w:val="center"/>
        </w:trPr>
        <w:tc>
          <w:tcPr>
            <w:tcW w:w="4822" w:type="dxa"/>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护士</w:t>
            </w:r>
          </w:p>
        </w:tc>
        <w:tc>
          <w:tcPr>
            <w:tcW w:w="1587"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16 642</w:t>
            </w:r>
          </w:p>
        </w:tc>
        <w:tc>
          <w:tcPr>
            <w:tcW w:w="1587"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29 101</w:t>
            </w:r>
          </w:p>
        </w:tc>
        <w:tc>
          <w:tcPr>
            <w:tcW w:w="1870"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p>
        </w:tc>
      </w:tr>
      <w:tr w:rsidR="00000000">
        <w:tblPrEx>
          <w:tblCellMar>
            <w:top w:w="0" w:type="dxa"/>
            <w:bottom w:w="0" w:type="dxa"/>
          </w:tblCellMar>
        </w:tblPrEx>
        <w:trPr>
          <w:jc w:val="center"/>
        </w:trPr>
        <w:tc>
          <w:tcPr>
            <w:tcW w:w="4822" w:type="dxa"/>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医务辅助人员</w:t>
            </w:r>
          </w:p>
        </w:tc>
        <w:tc>
          <w:tcPr>
            <w:tcW w:w="1587"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3 544</w:t>
            </w:r>
          </w:p>
        </w:tc>
        <w:tc>
          <w:tcPr>
            <w:tcW w:w="1587"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4 979</w:t>
            </w:r>
          </w:p>
        </w:tc>
        <w:tc>
          <w:tcPr>
            <w:tcW w:w="1870"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p>
        </w:tc>
      </w:tr>
      <w:tr w:rsidR="00000000">
        <w:tblPrEx>
          <w:tblCellMar>
            <w:top w:w="0" w:type="dxa"/>
            <w:bottom w:w="0" w:type="dxa"/>
          </w:tblCellMar>
        </w:tblPrEx>
        <w:trPr>
          <w:jc w:val="center"/>
        </w:trPr>
        <w:tc>
          <w:tcPr>
            <w:tcW w:w="4822" w:type="dxa"/>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医疗服务</w:t>
            </w:r>
          </w:p>
        </w:tc>
        <w:tc>
          <w:tcPr>
            <w:tcW w:w="1587"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p>
        </w:tc>
        <w:tc>
          <w:tcPr>
            <w:tcW w:w="1587"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p>
        </w:tc>
        <w:tc>
          <w:tcPr>
            <w:tcW w:w="1870"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p>
        </w:tc>
      </w:tr>
      <w:tr w:rsidR="00000000">
        <w:tblPrEx>
          <w:tblCellMar>
            <w:top w:w="0" w:type="dxa"/>
            <w:bottom w:w="0" w:type="dxa"/>
          </w:tblCellMar>
        </w:tblPrEx>
        <w:trPr>
          <w:jc w:val="center"/>
        </w:trPr>
        <w:tc>
          <w:tcPr>
            <w:tcW w:w="4822" w:type="dxa"/>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医疗机构接生护理覆盖率（百分比）</w:t>
            </w:r>
          </w:p>
        </w:tc>
        <w:tc>
          <w:tcPr>
            <w:tcW w:w="1587"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77.52</w:t>
            </w:r>
          </w:p>
        </w:tc>
        <w:tc>
          <w:tcPr>
            <w:tcW w:w="1587"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79.80</w:t>
            </w:r>
          </w:p>
        </w:tc>
        <w:tc>
          <w:tcPr>
            <w:tcW w:w="1870" w:type="dxa"/>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2.9</w:t>
            </w:r>
          </w:p>
        </w:tc>
      </w:tr>
      <w:tr w:rsidR="00000000">
        <w:tblPrEx>
          <w:tblCellMar>
            <w:top w:w="0" w:type="dxa"/>
            <w:bottom w:w="0" w:type="dxa"/>
          </w:tblCellMar>
        </w:tblPrEx>
        <w:trPr>
          <w:jc w:val="center"/>
        </w:trPr>
        <w:tc>
          <w:tcPr>
            <w:tcW w:w="4822" w:type="dxa"/>
            <w:tcBorders>
              <w:bottom w:val="single" w:sz="4" w:space="0" w:color="auto"/>
            </w:tcBorders>
          </w:tcPr>
          <w:p w:rsidR="00000000" w:rsidRDefault="00457650" w:rsidP="00457650">
            <w:pPr>
              <w:widowControl/>
              <w:tabs>
                <w:tab w:val="left" w:pos="630"/>
              </w:tabs>
              <w:spacing w:after="120" w:line="320" w:lineRule="exact"/>
              <w:ind w:leftChars="50" w:left="31680" w:rightChars="50" w:right="31680"/>
              <w:rPr>
                <w:rFonts w:hint="eastAsia"/>
                <w:sz w:val="18"/>
              </w:rPr>
            </w:pPr>
            <w:r>
              <w:rPr>
                <w:rFonts w:hint="eastAsia"/>
                <w:sz w:val="18"/>
              </w:rPr>
              <w:t>怀孕妇女产前会诊（次数）</w:t>
            </w:r>
          </w:p>
        </w:tc>
        <w:tc>
          <w:tcPr>
            <w:tcW w:w="1587" w:type="dxa"/>
            <w:tcBorders>
              <w:bottom w:val="single" w:sz="4" w:space="0" w:color="auto"/>
            </w:tcBorders>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3.58</w:t>
            </w:r>
          </w:p>
        </w:tc>
        <w:tc>
          <w:tcPr>
            <w:tcW w:w="1587" w:type="dxa"/>
            <w:tcBorders>
              <w:bottom w:val="single" w:sz="4" w:space="0" w:color="auto"/>
            </w:tcBorders>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3.81</w:t>
            </w:r>
          </w:p>
        </w:tc>
        <w:tc>
          <w:tcPr>
            <w:tcW w:w="1870" w:type="dxa"/>
            <w:tcBorders>
              <w:bottom w:val="single" w:sz="4" w:space="0" w:color="auto"/>
            </w:tcBorders>
            <w:vAlign w:val="bottom"/>
          </w:tcPr>
          <w:p w:rsidR="00000000" w:rsidRDefault="00457650" w:rsidP="00457650">
            <w:pPr>
              <w:widowControl/>
              <w:tabs>
                <w:tab w:val="left" w:pos="630"/>
              </w:tabs>
              <w:spacing w:after="120" w:line="320" w:lineRule="exact"/>
              <w:ind w:leftChars="50" w:left="31680" w:rightChars="248" w:right="31680"/>
              <w:jc w:val="right"/>
              <w:rPr>
                <w:bCs/>
                <w:sz w:val="18"/>
              </w:rPr>
            </w:pPr>
            <w:r>
              <w:rPr>
                <w:bCs/>
                <w:sz w:val="18"/>
              </w:rPr>
              <w:t>6.42</w:t>
            </w:r>
          </w:p>
        </w:tc>
      </w:tr>
    </w:tbl>
    <w:p w:rsidR="00000000" w:rsidRDefault="00457650">
      <w:pPr>
        <w:widowControl/>
        <w:tabs>
          <w:tab w:val="left" w:pos="630"/>
        </w:tabs>
        <w:spacing w:line="360" w:lineRule="exact"/>
        <w:rPr>
          <w:rFonts w:hint="eastAsia"/>
          <w:sz w:val="18"/>
        </w:rPr>
      </w:pPr>
      <w:r>
        <w:rPr>
          <w:rFonts w:eastAsia="KaiTi_GB2312" w:hint="eastAsia"/>
          <w:iCs/>
          <w:sz w:val="18"/>
        </w:rPr>
        <w:t>资料来源</w:t>
      </w:r>
      <w:r>
        <w:rPr>
          <w:rFonts w:hint="eastAsia"/>
          <w:sz w:val="18"/>
        </w:rPr>
        <w:t>：卫生部，</w:t>
      </w:r>
      <w:r>
        <w:rPr>
          <w:rFonts w:hint="eastAsia"/>
          <w:sz w:val="18"/>
        </w:rPr>
        <w:t>2004</w:t>
      </w:r>
      <w:r>
        <w:rPr>
          <w:rFonts w:hint="eastAsia"/>
          <w:sz w:val="18"/>
        </w:rPr>
        <w:t>年。</w:t>
      </w:r>
    </w:p>
    <w:p w:rsidR="00000000" w:rsidRDefault="00457650">
      <w:pPr>
        <w:widowControl/>
        <w:tabs>
          <w:tab w:val="left" w:pos="630"/>
        </w:tabs>
        <w:spacing w:line="360" w:lineRule="exact"/>
        <w:rPr>
          <w:rFonts w:hint="eastAsia"/>
          <w:sz w:val="18"/>
        </w:rPr>
      </w:pPr>
      <w:r>
        <w:rPr>
          <w:rFonts w:hint="eastAsia"/>
          <w:sz w:val="18"/>
          <w:vertAlign w:val="superscript"/>
        </w:rPr>
        <w:t>e</w:t>
      </w:r>
      <w:r>
        <w:rPr>
          <w:rFonts w:hint="eastAsia"/>
          <w:sz w:val="18"/>
        </w:rPr>
        <w:t xml:space="preserve">  </w:t>
      </w:r>
      <w:r>
        <w:rPr>
          <w:rFonts w:hint="eastAsia"/>
          <w:sz w:val="18"/>
        </w:rPr>
        <w:t>估计数字。</w:t>
      </w:r>
    </w:p>
    <w:p w:rsidR="00000000" w:rsidRDefault="00457650">
      <w:pPr>
        <w:widowControl/>
        <w:tabs>
          <w:tab w:val="left" w:pos="630"/>
        </w:tabs>
        <w:spacing w:after="240" w:line="360" w:lineRule="exact"/>
        <w:rPr>
          <w:rFonts w:hint="eastAsia"/>
          <w:sz w:val="18"/>
        </w:rPr>
      </w:pPr>
      <w:r>
        <w:rPr>
          <w:rFonts w:hint="eastAsia"/>
          <w:sz w:val="18"/>
          <w:vertAlign w:val="superscript"/>
        </w:rPr>
        <w:t>l</w:t>
      </w:r>
      <w:r>
        <w:rPr>
          <w:rFonts w:hint="eastAsia"/>
          <w:sz w:val="18"/>
        </w:rPr>
        <w:t xml:space="preserve">  </w:t>
      </w:r>
      <w:r>
        <w:rPr>
          <w:rFonts w:hint="eastAsia"/>
          <w:sz w:val="18"/>
        </w:rPr>
        <w:t>人力资源包括国家卫生部的所有工作人员，不仅是那些直接参与方案活动的人。</w:t>
      </w:r>
    </w:p>
    <w:p w:rsidR="00000000" w:rsidRDefault="00457650">
      <w:pPr>
        <w:widowControl/>
        <w:tabs>
          <w:tab w:val="left" w:pos="630"/>
        </w:tabs>
        <w:spacing w:after="240" w:line="360" w:lineRule="exact"/>
        <w:rPr>
          <w:rFonts w:hint="eastAsia"/>
        </w:rPr>
      </w:pPr>
      <w:r>
        <w:rPr>
          <w:rFonts w:hint="eastAsia"/>
        </w:rPr>
        <w:t>541.</w:t>
      </w:r>
      <w:r>
        <w:rPr>
          <w:rFonts w:hint="eastAsia"/>
        </w:rPr>
        <w:tab/>
      </w:r>
      <w:r>
        <w:rPr>
          <w:rFonts w:hint="eastAsia"/>
        </w:rPr>
        <w:t>通过该方案，希望在</w:t>
      </w:r>
      <w:r>
        <w:rPr>
          <w:rFonts w:hint="eastAsia"/>
        </w:rPr>
        <w:t>2006</w:t>
      </w:r>
      <w:r>
        <w:rPr>
          <w:rFonts w:hint="eastAsia"/>
        </w:rPr>
        <w:t>年实现以下目标：</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至少使</w:t>
      </w:r>
      <w:r>
        <w:rPr>
          <w:rFonts w:hint="eastAsia"/>
        </w:rPr>
        <w:t>420</w:t>
      </w:r>
      <w:r>
        <w:rPr>
          <w:rFonts w:hint="eastAsia"/>
        </w:rPr>
        <w:t>名产妇免于死亡；</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使</w:t>
      </w:r>
      <w:r>
        <w:rPr>
          <w:rFonts w:hint="eastAsia"/>
        </w:rPr>
        <w:t>4 000</w:t>
      </w:r>
      <w:r>
        <w:rPr>
          <w:rFonts w:hint="eastAsia"/>
        </w:rPr>
        <w:t>名</w:t>
      </w:r>
      <w:r>
        <w:rPr>
          <w:rFonts w:hint="eastAsia"/>
        </w:rPr>
        <w:t>新生儿免于死亡；</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使</w:t>
      </w:r>
      <w:r>
        <w:rPr>
          <w:rFonts w:hint="eastAsia"/>
        </w:rPr>
        <w:t>12 000</w:t>
      </w:r>
      <w:r>
        <w:rPr>
          <w:rFonts w:hint="eastAsia"/>
        </w:rPr>
        <w:t>名</w:t>
      </w:r>
      <w:r>
        <w:rPr>
          <w:rFonts w:hint="eastAsia"/>
        </w:rPr>
        <w:t>2</w:t>
      </w:r>
      <w:r>
        <w:rPr>
          <w:rFonts w:hint="eastAsia"/>
        </w:rPr>
        <w:t>岁以下儿童免于死亡。</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51</w:t>
      </w:r>
      <w:r>
        <w:rPr>
          <w:rFonts w:ascii="SimHei" w:eastAsia="SimHei" w:hint="eastAsia"/>
        </w:rPr>
        <w:t>段（</w:t>
      </w:r>
      <w:r>
        <w:rPr>
          <w:rFonts w:ascii="SimHei" w:eastAsia="SimHei" w:hint="eastAsia"/>
        </w:rPr>
        <w:t>f</w:t>
      </w:r>
      <w:r>
        <w:rPr>
          <w:rFonts w:ascii="SimHei" w:eastAsia="SimHei" w:hint="eastAsia"/>
        </w:rPr>
        <w:t>）</w:t>
      </w:r>
    </w:p>
    <w:p w:rsidR="00000000" w:rsidRDefault="00457650">
      <w:pPr>
        <w:keepNext/>
        <w:widowControl/>
        <w:tabs>
          <w:tab w:val="left" w:pos="630"/>
        </w:tabs>
        <w:spacing w:after="240" w:line="360" w:lineRule="exact"/>
        <w:rPr>
          <w:rFonts w:eastAsia="SimHei" w:hint="eastAsia"/>
        </w:rPr>
      </w:pPr>
      <w:r>
        <w:rPr>
          <w:rFonts w:eastAsia="SimHei" w:hint="eastAsia"/>
        </w:rPr>
        <w:tab/>
      </w:r>
      <w:r>
        <w:rPr>
          <w:rFonts w:eastAsia="SimHei" w:hint="eastAsia"/>
        </w:rPr>
        <w:t>水资源</w:t>
      </w:r>
    </w:p>
    <w:p w:rsidR="00000000" w:rsidRDefault="00457650">
      <w:pPr>
        <w:widowControl/>
        <w:tabs>
          <w:tab w:val="left" w:pos="630"/>
        </w:tabs>
        <w:spacing w:after="240" w:line="360" w:lineRule="exact"/>
        <w:rPr>
          <w:rFonts w:hint="eastAsia"/>
        </w:rPr>
      </w:pPr>
      <w:r>
        <w:rPr>
          <w:rFonts w:hint="eastAsia"/>
        </w:rPr>
        <w:t>542.</w:t>
      </w:r>
      <w:r>
        <w:rPr>
          <w:rFonts w:hint="eastAsia"/>
        </w:rPr>
        <w:tab/>
      </w:r>
      <w:r>
        <w:rPr>
          <w:rFonts w:hint="eastAsia"/>
        </w:rPr>
        <w:t>为了对饮用水更有效地消毒，“国家水资源委员会”启动了一个退还应付款的方案，以便各市将这些款项用于提高加氯消毒的效率，并投资饮用水和污水处理基础设施。</w:t>
      </w:r>
    </w:p>
    <w:p w:rsidR="00000000" w:rsidRDefault="00457650">
      <w:pPr>
        <w:widowControl/>
        <w:tabs>
          <w:tab w:val="left" w:pos="630"/>
        </w:tabs>
        <w:spacing w:after="240" w:line="360" w:lineRule="exact"/>
        <w:rPr>
          <w:rFonts w:hint="eastAsia"/>
        </w:rPr>
      </w:pPr>
      <w:r>
        <w:rPr>
          <w:rFonts w:hint="eastAsia"/>
        </w:rPr>
        <w:t>543.</w:t>
      </w:r>
      <w:r>
        <w:rPr>
          <w:rFonts w:hint="eastAsia"/>
        </w:rPr>
        <w:tab/>
      </w:r>
      <w:r>
        <w:rPr>
          <w:rFonts w:hint="eastAsia"/>
        </w:rPr>
        <w:t>卫生部和国家水资源委员会采取了一些联合行动，如编写如何采样确定无氯残留物的手册，制定高效水消毒指南和建立信息系统，以及缔结州级协作协议，促进实施各项措施，保护人民健康免受水中物理、化学和生物制剂的威胁并防止水传播疾病。</w:t>
      </w:r>
    </w:p>
    <w:p w:rsidR="00000000" w:rsidRDefault="00457650">
      <w:pPr>
        <w:widowControl/>
        <w:tabs>
          <w:tab w:val="left" w:pos="630"/>
        </w:tabs>
        <w:spacing w:after="240" w:line="360" w:lineRule="exact"/>
        <w:rPr>
          <w:rFonts w:hint="eastAsia"/>
        </w:rPr>
      </w:pPr>
      <w:r>
        <w:rPr>
          <w:rFonts w:hint="eastAsia"/>
        </w:rPr>
        <w:t>544.</w:t>
      </w:r>
      <w:r>
        <w:rPr>
          <w:rFonts w:hint="eastAsia"/>
        </w:rPr>
        <w:tab/>
        <w:t>2003</w:t>
      </w:r>
      <w:r>
        <w:rPr>
          <w:rFonts w:hint="eastAsia"/>
        </w:rPr>
        <w:t>年，进行了</w:t>
      </w:r>
      <w:r>
        <w:rPr>
          <w:rFonts w:hint="eastAsia"/>
        </w:rPr>
        <w:t>4 170</w:t>
      </w:r>
      <w:r>
        <w:rPr>
          <w:rFonts w:hint="eastAsia"/>
        </w:rPr>
        <w:t xml:space="preserve"> 340</w:t>
      </w:r>
      <w:r>
        <w:rPr>
          <w:rFonts w:hint="eastAsia"/>
        </w:rPr>
        <w:t>次单个住宅的氯检查。</w:t>
      </w:r>
    </w:p>
    <w:p w:rsidR="00000000" w:rsidRDefault="00457650">
      <w:pPr>
        <w:widowControl/>
        <w:tabs>
          <w:tab w:val="left" w:pos="630"/>
        </w:tabs>
        <w:spacing w:after="240" w:line="360" w:lineRule="exact"/>
        <w:rPr>
          <w:rFonts w:hint="eastAsia"/>
        </w:rPr>
      </w:pPr>
      <w:r>
        <w:rPr>
          <w:rFonts w:hint="eastAsia"/>
        </w:rPr>
        <w:t>545.</w:t>
      </w:r>
      <w:r>
        <w:rPr>
          <w:rFonts w:hint="eastAsia"/>
        </w:rPr>
        <w:tab/>
      </w:r>
      <w:r>
        <w:rPr>
          <w:rFonts w:hint="eastAsia"/>
        </w:rPr>
        <w:t>保证</w:t>
      </w:r>
      <w:r>
        <w:rPr>
          <w:rFonts w:hint="eastAsia"/>
        </w:rPr>
        <w:t>83.39%</w:t>
      </w:r>
      <w:r>
        <w:rPr>
          <w:rFonts w:hint="eastAsia"/>
        </w:rPr>
        <w:t>的人口能使用微生物含量合格的水。</w:t>
      </w:r>
    </w:p>
    <w:p w:rsidR="00000000" w:rsidRDefault="00457650">
      <w:pPr>
        <w:widowControl/>
        <w:tabs>
          <w:tab w:val="left" w:pos="630"/>
        </w:tabs>
        <w:spacing w:after="240" w:line="360" w:lineRule="exact"/>
        <w:rPr>
          <w:rFonts w:hint="eastAsia"/>
        </w:rPr>
      </w:pPr>
      <w:r>
        <w:rPr>
          <w:rFonts w:hint="eastAsia"/>
        </w:rPr>
        <w:t>546.</w:t>
      </w:r>
      <w:r>
        <w:rPr>
          <w:rFonts w:hint="eastAsia"/>
        </w:rPr>
        <w:tab/>
        <w:t>2004</w:t>
      </w:r>
      <w:r>
        <w:rPr>
          <w:rFonts w:hint="eastAsia"/>
        </w:rPr>
        <w:t>年开展了一项清洁水箱和水塔的活动。</w:t>
      </w:r>
    </w:p>
    <w:p w:rsidR="00000000" w:rsidRDefault="00457650">
      <w:pPr>
        <w:widowControl/>
        <w:tabs>
          <w:tab w:val="left" w:pos="630"/>
        </w:tabs>
        <w:spacing w:after="240" w:line="360" w:lineRule="exact"/>
        <w:rPr>
          <w:rFonts w:hint="eastAsia"/>
        </w:rPr>
      </w:pPr>
      <w:r>
        <w:rPr>
          <w:rFonts w:hint="eastAsia"/>
        </w:rPr>
        <w:t>547.</w:t>
      </w:r>
      <w:r>
        <w:rPr>
          <w:rFonts w:hint="eastAsia"/>
        </w:rPr>
        <w:tab/>
        <w:t>2004</w:t>
      </w:r>
      <w:r>
        <w:rPr>
          <w:rFonts w:hint="eastAsia"/>
        </w:rPr>
        <w:t>年对供应系统、人口稠密地区和间歇供水地区进行了普查；特别关注的是高风险地区，例如公共汽车站，市场等等。</w:t>
      </w:r>
    </w:p>
    <w:p w:rsidR="00000000" w:rsidRDefault="00457650">
      <w:pPr>
        <w:widowControl/>
        <w:tabs>
          <w:tab w:val="left" w:pos="630"/>
        </w:tabs>
        <w:spacing w:after="240" w:line="360" w:lineRule="exact"/>
        <w:rPr>
          <w:rFonts w:hint="eastAsia"/>
        </w:rPr>
      </w:pPr>
      <w:r>
        <w:rPr>
          <w:rFonts w:hint="eastAsia"/>
        </w:rPr>
        <w:t>548.</w:t>
      </w:r>
      <w:r>
        <w:rPr>
          <w:rFonts w:hint="eastAsia"/>
        </w:rPr>
        <w:tab/>
      </w:r>
      <w:r>
        <w:rPr>
          <w:rFonts w:hint="eastAsia"/>
        </w:rPr>
        <w:t>砷和氟是影响墨西哥大部分地区的主要和研究最广泛的水污染物，联邦预防卫生风险委员会将在墨西哥水技术研究所和国家水资源委员会的配合下实施一些重点项目，其结果可用来指导其他州今后处理同样问题的项目。</w:t>
      </w:r>
    </w:p>
    <w:p w:rsidR="00000000" w:rsidRDefault="00457650">
      <w:pPr>
        <w:widowControl/>
        <w:tabs>
          <w:tab w:val="left" w:pos="630"/>
        </w:tabs>
        <w:spacing w:after="240" w:line="360" w:lineRule="exact"/>
        <w:rPr>
          <w:rFonts w:hint="eastAsia"/>
        </w:rPr>
      </w:pPr>
      <w:r>
        <w:rPr>
          <w:rFonts w:hint="eastAsia"/>
        </w:rPr>
        <w:t>549.</w:t>
      </w:r>
      <w:r>
        <w:rPr>
          <w:rFonts w:hint="eastAsia"/>
        </w:rPr>
        <w:tab/>
      </w:r>
      <w:r>
        <w:rPr>
          <w:rFonts w:hint="eastAsia"/>
        </w:rPr>
        <w:t>此外，联邦预防卫生风险委员会制定</w:t>
      </w:r>
      <w:r>
        <w:rPr>
          <w:rFonts w:hint="eastAsia"/>
        </w:rPr>
        <w:t>了</w:t>
      </w:r>
      <w:r>
        <w:rPr>
          <w:rFonts w:hint="eastAsia"/>
        </w:rPr>
        <w:t>2003</w:t>
      </w:r>
      <w:r>
        <w:t>-</w:t>
      </w:r>
      <w:r>
        <w:rPr>
          <w:rFonts w:hint="eastAsia"/>
        </w:rPr>
        <w:t>2004</w:t>
      </w:r>
      <w:r>
        <w:rPr>
          <w:rFonts w:hint="eastAsia"/>
        </w:rPr>
        <w:t>年规划，根据目前州和地区的重点和需要，加强培训和实验室的最低配置，以便确定氯和砷含量以及其他物理和化学指标，全面检测供人和国家消费使用的水的质量。</w:t>
      </w:r>
    </w:p>
    <w:p w:rsidR="00000000" w:rsidRDefault="00457650">
      <w:pPr>
        <w:widowControl/>
        <w:tabs>
          <w:tab w:val="left" w:pos="630"/>
        </w:tabs>
        <w:spacing w:after="240" w:line="360" w:lineRule="exact"/>
        <w:rPr>
          <w:rFonts w:hint="eastAsia"/>
        </w:rPr>
      </w:pPr>
      <w:r>
        <w:rPr>
          <w:rFonts w:hint="eastAsia"/>
        </w:rPr>
        <w:t>550.</w:t>
      </w:r>
      <w:r>
        <w:rPr>
          <w:rFonts w:hint="eastAsia"/>
        </w:rPr>
        <w:tab/>
        <w:t>1998</w:t>
      </w:r>
      <w:r>
        <w:rPr>
          <w:rFonts w:hint="eastAsia"/>
        </w:rPr>
        <w:t>年至</w:t>
      </w:r>
      <w:r>
        <w:rPr>
          <w:rFonts w:hint="eastAsia"/>
        </w:rPr>
        <w:t>2001</w:t>
      </w:r>
      <w:r>
        <w:rPr>
          <w:rFonts w:hint="eastAsia"/>
        </w:rPr>
        <w:t>年，毒性不大（第四级）的杀虫剂进口量有所增加（</w:t>
      </w:r>
      <w:r>
        <w:rPr>
          <w:rFonts w:hint="eastAsia"/>
        </w:rPr>
        <w:t>64%</w:t>
      </w:r>
      <w:r>
        <w:rPr>
          <w:rFonts w:hint="eastAsia"/>
        </w:rPr>
        <w:t>至</w:t>
      </w:r>
      <w:r>
        <w:rPr>
          <w:rFonts w:hint="eastAsia"/>
        </w:rPr>
        <w:t>70%</w:t>
      </w:r>
      <w:r>
        <w:rPr>
          <w:rFonts w:hint="eastAsia"/>
        </w:rPr>
        <w:t>），而剧毒杀虫剂的进口量则有所减少（</w:t>
      </w:r>
      <w:r>
        <w:rPr>
          <w:rFonts w:hint="eastAsia"/>
        </w:rPr>
        <w:t>5%</w:t>
      </w:r>
      <w:r>
        <w:rPr>
          <w:rFonts w:hint="eastAsia"/>
        </w:rPr>
        <w:t>至</w:t>
      </w:r>
      <w:r>
        <w:rPr>
          <w:rFonts w:hint="eastAsia"/>
        </w:rPr>
        <w:t>3%</w:t>
      </w:r>
      <w:r>
        <w:rPr>
          <w:rFonts w:hint="eastAsia"/>
        </w:rPr>
        <w:t>）。使用</w:t>
      </w:r>
      <w:r>
        <w:rPr>
          <w:rFonts w:hint="eastAsia"/>
        </w:rPr>
        <w:t>DDT</w:t>
      </w:r>
      <w:r>
        <w:rPr>
          <w:rFonts w:hint="eastAsia"/>
        </w:rPr>
        <w:t>控制疟疾的做法已经完全中止。</w:t>
      </w:r>
    </w:p>
    <w:p w:rsidR="00000000" w:rsidRDefault="00457650">
      <w:pPr>
        <w:widowControl/>
        <w:tabs>
          <w:tab w:val="left" w:pos="630"/>
        </w:tabs>
        <w:spacing w:after="240" w:line="360" w:lineRule="exact"/>
        <w:rPr>
          <w:rFonts w:hint="eastAsia"/>
        </w:rPr>
      </w:pPr>
      <w:r>
        <w:rPr>
          <w:rFonts w:hint="eastAsia"/>
        </w:rPr>
        <w:t>551.</w:t>
      </w:r>
      <w:r>
        <w:rPr>
          <w:rFonts w:hint="eastAsia"/>
        </w:rPr>
        <w:tab/>
      </w:r>
      <w:r>
        <w:rPr>
          <w:rFonts w:hint="eastAsia"/>
        </w:rPr>
        <w:t>作为在环境合作委员会国际框架内开展的部分活动，正考虑从市场中撤销用于控制虱病的含六氯化苯产品和用于农业的六氯化苯。</w:t>
      </w:r>
    </w:p>
    <w:p w:rsidR="00000000" w:rsidRDefault="00457650">
      <w:pPr>
        <w:keepNext/>
        <w:widowControl/>
        <w:tabs>
          <w:tab w:val="left" w:pos="630"/>
        </w:tabs>
        <w:spacing w:after="240" w:line="360" w:lineRule="exact"/>
        <w:rPr>
          <w:rFonts w:eastAsia="SimHei" w:hint="eastAsia"/>
        </w:rPr>
      </w:pPr>
      <w:r>
        <w:rPr>
          <w:rFonts w:eastAsia="SimHei" w:hint="eastAsia"/>
        </w:rPr>
        <w:tab/>
      </w:r>
      <w:r>
        <w:rPr>
          <w:rFonts w:eastAsia="SimHei" w:hint="eastAsia"/>
        </w:rPr>
        <w:t>空气</w:t>
      </w:r>
    </w:p>
    <w:p w:rsidR="00000000" w:rsidRDefault="00457650">
      <w:pPr>
        <w:keepNext/>
        <w:widowControl/>
        <w:tabs>
          <w:tab w:val="left" w:pos="630"/>
        </w:tabs>
        <w:spacing w:after="240" w:line="360" w:lineRule="exact"/>
        <w:rPr>
          <w:rFonts w:hint="eastAsia"/>
        </w:rPr>
      </w:pPr>
      <w:r>
        <w:rPr>
          <w:rFonts w:hint="eastAsia"/>
        </w:rPr>
        <w:t>552.</w:t>
      </w:r>
      <w:r>
        <w:rPr>
          <w:rFonts w:hint="eastAsia"/>
        </w:rPr>
        <w:tab/>
      </w:r>
      <w:r>
        <w:rPr>
          <w:rFonts w:hint="eastAsia"/>
        </w:rPr>
        <w:t>在大城市环境委员会的</w:t>
      </w:r>
      <w:r>
        <w:rPr>
          <w:rFonts w:hint="eastAsia"/>
        </w:rPr>
        <w:t>配合下，作为改进空气质量方案的一部分，在高技能技术小组的协助下，联邦预防卫生风险委员会将对居住在墨西哥流域大城市地区的学龄儿童和</w:t>
      </w:r>
      <w:r>
        <w:rPr>
          <w:rFonts w:hint="eastAsia"/>
        </w:rPr>
        <w:t>65</w:t>
      </w:r>
      <w:r>
        <w:rPr>
          <w:rFonts w:hint="eastAsia"/>
        </w:rPr>
        <w:t>岁老人进行个人监测调查。同时对大气污染物进行监测，其中包括臭氧、</w:t>
      </w:r>
      <w:r>
        <w:rPr>
          <w:rFonts w:hint="eastAsia"/>
        </w:rPr>
        <w:t>PM10</w:t>
      </w:r>
      <w:r>
        <w:rPr>
          <w:rFonts w:hint="eastAsia"/>
        </w:rPr>
        <w:t>、</w:t>
      </w:r>
      <w:r>
        <w:rPr>
          <w:rFonts w:hint="eastAsia"/>
        </w:rPr>
        <w:t>PM2.5</w:t>
      </w:r>
      <w:r>
        <w:rPr>
          <w:rFonts w:hint="eastAsia"/>
        </w:rPr>
        <w:t>、二氧化氮和有机碳和碳元素。</w:t>
      </w:r>
    </w:p>
    <w:p w:rsidR="00000000" w:rsidRDefault="00457650">
      <w:pPr>
        <w:widowControl/>
        <w:tabs>
          <w:tab w:val="left" w:pos="630"/>
        </w:tabs>
        <w:spacing w:after="240" w:line="360" w:lineRule="exact"/>
        <w:rPr>
          <w:rFonts w:hint="eastAsia"/>
        </w:rPr>
      </w:pPr>
      <w:r>
        <w:rPr>
          <w:rFonts w:hint="eastAsia"/>
        </w:rPr>
        <w:t>553.</w:t>
      </w:r>
      <w:r>
        <w:rPr>
          <w:rFonts w:hint="eastAsia"/>
        </w:rPr>
        <w:tab/>
      </w:r>
      <w:r>
        <w:rPr>
          <w:rFonts w:hint="eastAsia"/>
        </w:rPr>
        <w:t>将针对人们接触上述污染物的情况启用健康影响监测系统，对健康症状进行持续监控，以查明这些症状是否与增加污染物接触有关。</w:t>
      </w:r>
    </w:p>
    <w:p w:rsidR="00000000" w:rsidRDefault="00457650">
      <w:pPr>
        <w:widowControl/>
        <w:tabs>
          <w:tab w:val="left" w:pos="630"/>
        </w:tabs>
        <w:spacing w:after="240" w:line="360" w:lineRule="exact"/>
        <w:rPr>
          <w:rFonts w:hint="eastAsia"/>
        </w:rPr>
      </w:pPr>
      <w:r>
        <w:rPr>
          <w:rFonts w:hint="eastAsia"/>
        </w:rPr>
        <w:t>554.</w:t>
      </w:r>
      <w:r>
        <w:rPr>
          <w:rFonts w:hint="eastAsia"/>
        </w:rPr>
        <w:tab/>
      </w:r>
      <w:r>
        <w:rPr>
          <w:rFonts w:hint="eastAsia"/>
        </w:rPr>
        <w:t>据估计大约</w:t>
      </w:r>
      <w:r>
        <w:rPr>
          <w:rFonts w:hint="eastAsia"/>
        </w:rPr>
        <w:t>17%</w:t>
      </w:r>
      <w:r>
        <w:rPr>
          <w:rFonts w:hint="eastAsia"/>
        </w:rPr>
        <w:t>的农村和半城市住房使用植物材料作为燃料。这导致了封闭空间内的空气污染，因此增加了呼吸系统紊乱的风险，特别影响到儿</w:t>
      </w:r>
      <w:r>
        <w:rPr>
          <w:rFonts w:hint="eastAsia"/>
        </w:rPr>
        <w:t>童、妇女和老年人。</w:t>
      </w:r>
      <w:r>
        <w:rPr>
          <w:rFonts w:hint="eastAsia"/>
        </w:rPr>
        <w:t>2004</w:t>
      </w:r>
      <w:r>
        <w:rPr>
          <w:rFonts w:hint="eastAsia"/>
        </w:rPr>
        <w:t>年，在“国家公共健康研究所”的配合下，开展了一项在土著农村地区使用替代炉子的可行性研究，以减少家庭的污染暴露。</w:t>
      </w:r>
    </w:p>
    <w:p w:rsidR="00000000" w:rsidRDefault="00457650">
      <w:pPr>
        <w:widowControl/>
        <w:tabs>
          <w:tab w:val="left" w:pos="630"/>
        </w:tabs>
        <w:spacing w:after="240" w:line="360" w:lineRule="exact"/>
        <w:rPr>
          <w:rFonts w:hint="eastAsia"/>
        </w:rPr>
      </w:pPr>
      <w:r>
        <w:rPr>
          <w:rFonts w:hint="eastAsia"/>
        </w:rPr>
        <w:t>555.</w:t>
      </w:r>
      <w:r>
        <w:rPr>
          <w:rFonts w:hint="eastAsia"/>
        </w:rPr>
        <w:tab/>
      </w:r>
      <w:r>
        <w:rPr>
          <w:rFonts w:hint="eastAsia"/>
        </w:rPr>
        <w:t>联邦预防卫生风险委员会在</w:t>
      </w:r>
      <w:r>
        <w:rPr>
          <w:rFonts w:hint="eastAsia"/>
        </w:rPr>
        <w:t>33</w:t>
      </w:r>
      <w:r>
        <w:rPr>
          <w:rFonts w:hint="eastAsia"/>
        </w:rPr>
        <w:t>个旅游胜地的</w:t>
      </w:r>
      <w:r>
        <w:rPr>
          <w:rFonts w:hint="eastAsia"/>
        </w:rPr>
        <w:t>218</w:t>
      </w:r>
      <w:r>
        <w:rPr>
          <w:rFonts w:hint="eastAsia"/>
        </w:rPr>
        <w:t>个海滩进行采样以监测海水质量。</w:t>
      </w:r>
    </w:p>
    <w:p w:rsidR="00000000" w:rsidRDefault="00457650">
      <w:pPr>
        <w:widowControl/>
        <w:tabs>
          <w:tab w:val="left" w:pos="630"/>
        </w:tabs>
        <w:spacing w:after="240" w:line="360" w:lineRule="exact"/>
        <w:rPr>
          <w:rFonts w:hint="eastAsia"/>
        </w:rPr>
      </w:pPr>
      <w:r>
        <w:rPr>
          <w:rFonts w:hint="eastAsia"/>
        </w:rPr>
        <w:t>556.</w:t>
      </w:r>
      <w:r>
        <w:rPr>
          <w:rFonts w:hint="eastAsia"/>
        </w:rPr>
        <w:tab/>
      </w:r>
      <w:r>
        <w:rPr>
          <w:rFonts w:hint="eastAsia"/>
        </w:rPr>
        <w:t>建立“地方海滩委员会”，与“国家水资源委员会”协调，采取联合行动，保持旅游胜地清洁。</w:t>
      </w:r>
    </w:p>
    <w:p w:rsidR="00000000" w:rsidRDefault="00457650">
      <w:pPr>
        <w:widowControl/>
        <w:tabs>
          <w:tab w:val="left" w:pos="630"/>
        </w:tabs>
        <w:spacing w:after="240" w:line="360" w:lineRule="exact"/>
        <w:rPr>
          <w:rFonts w:hint="eastAsia"/>
        </w:rPr>
      </w:pPr>
      <w:r>
        <w:rPr>
          <w:rFonts w:hint="eastAsia"/>
        </w:rPr>
        <w:t>557.</w:t>
      </w:r>
      <w:r>
        <w:rPr>
          <w:rFonts w:hint="eastAsia"/>
        </w:rPr>
        <w:tab/>
      </w:r>
      <w:r>
        <w:rPr>
          <w:rFonts w:hint="eastAsia"/>
        </w:rPr>
        <w:t>对排泄物肠道球菌污染率高的海滩进行流行病学研究，测量这些污染物的污染程度，避免健康危险。这些研究证实，根据世界旅游组织确定的国际标准，此种危险实际上很小。</w:t>
      </w:r>
    </w:p>
    <w:p w:rsidR="00000000" w:rsidRDefault="00457650">
      <w:pPr>
        <w:widowControl/>
        <w:tabs>
          <w:tab w:val="left" w:pos="630"/>
        </w:tabs>
        <w:spacing w:after="240" w:line="360" w:lineRule="exact"/>
        <w:rPr>
          <w:rFonts w:hint="eastAsia"/>
        </w:rPr>
      </w:pPr>
      <w:r>
        <w:rPr>
          <w:rFonts w:hint="eastAsia"/>
        </w:rPr>
        <w:t>558.</w:t>
      </w:r>
      <w:r>
        <w:rPr>
          <w:rFonts w:hint="eastAsia"/>
        </w:rPr>
        <w:tab/>
        <w:t>2004</w:t>
      </w:r>
      <w:r>
        <w:rPr>
          <w:rFonts w:hint="eastAsia"/>
        </w:rPr>
        <w:t>年在使</w:t>
      </w:r>
      <w:r>
        <w:rPr>
          <w:rFonts w:hint="eastAsia"/>
        </w:rPr>
        <w:t>用自然残留水进行农业灌溉的高风险地区进行流行病学研究，特别是蔬菜园，以实施风险管理行动。</w:t>
      </w:r>
    </w:p>
    <w:p w:rsidR="00000000" w:rsidRDefault="00457650">
      <w:pPr>
        <w:widowControl/>
        <w:tabs>
          <w:tab w:val="left" w:pos="630"/>
        </w:tabs>
        <w:spacing w:after="240" w:line="360" w:lineRule="exact"/>
        <w:rPr>
          <w:rFonts w:hint="eastAsia"/>
        </w:rPr>
      </w:pPr>
      <w:r>
        <w:rPr>
          <w:rFonts w:hint="eastAsia"/>
        </w:rPr>
        <w:t>559.</w:t>
      </w:r>
      <w:r>
        <w:rPr>
          <w:rFonts w:hint="eastAsia"/>
        </w:rPr>
        <w:tab/>
      </w:r>
      <w:r>
        <w:rPr>
          <w:rFonts w:hint="eastAsia"/>
        </w:rPr>
        <w:t>铅釉陶器是墨西哥的主要暴露污染源之一，为了评估这个问题的严重程度，联邦预防卫生风险委员会在制造陶器或使用陶器准备、消费或储存食物的人群中开展了“消除铅釉暴露计划”，目的是减少这一人群血液中的铅集中度。目前在墨西哥州开展了一项试验项目，之后将扩大到墨西哥其他制造陶器的州。</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51</w:t>
      </w:r>
      <w:r>
        <w:rPr>
          <w:rFonts w:ascii="SimHei" w:eastAsia="SimHei" w:hint="eastAsia"/>
        </w:rPr>
        <w:t>段（</w:t>
      </w:r>
      <w:r>
        <w:rPr>
          <w:rFonts w:ascii="SimHei" w:eastAsia="SimHei" w:hint="eastAsia"/>
        </w:rPr>
        <w:t>g</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560.</w:t>
      </w:r>
      <w:r>
        <w:rPr>
          <w:rFonts w:hint="eastAsia"/>
        </w:rPr>
        <w:tab/>
      </w:r>
      <w:r>
        <w:rPr>
          <w:rFonts w:hint="eastAsia"/>
        </w:rPr>
        <w:t>为了提高墨西哥人民的健康状况，支持和协调对影响社会众多群体的常见疾病、复发病和新疾病的监测、预防和控制，卫生部在其</w:t>
      </w:r>
      <w:r>
        <w:rPr>
          <w:rFonts w:hint="eastAsia"/>
        </w:rPr>
        <w:t>项目中包括了旨在预防、治疗和控制这些疾病的活动。</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登革热</w:t>
      </w:r>
    </w:p>
    <w:p w:rsidR="00000000" w:rsidRDefault="00457650">
      <w:pPr>
        <w:widowControl/>
        <w:tabs>
          <w:tab w:val="left" w:pos="630"/>
        </w:tabs>
        <w:spacing w:after="240" w:line="360" w:lineRule="exact"/>
        <w:rPr>
          <w:rFonts w:hint="eastAsia"/>
        </w:rPr>
      </w:pPr>
      <w:r>
        <w:rPr>
          <w:rFonts w:hint="eastAsia"/>
        </w:rPr>
        <w:t>561.</w:t>
      </w:r>
      <w:r>
        <w:rPr>
          <w:rFonts w:hint="eastAsia"/>
        </w:rPr>
        <w:tab/>
      </w:r>
      <w:r>
        <w:rPr>
          <w:rFonts w:hint="eastAsia"/>
        </w:rPr>
        <w:t>在墨西哥危险地区对传统的和出血性登革热进行流行病学控制。尽管爆发了一些登革热，但它们主要与同一地区内两种血清型登革热的同时传播有关。同时，墨西哥海岸热带风暴和飓风的增加也导致了该疾病在已经得到控制的地区出现新的爆发。</w:t>
      </w:r>
    </w:p>
    <w:p w:rsidR="00000000" w:rsidRDefault="00457650">
      <w:pPr>
        <w:widowControl/>
        <w:tabs>
          <w:tab w:val="left" w:pos="630"/>
        </w:tabs>
        <w:spacing w:after="240" w:line="360" w:lineRule="exact"/>
        <w:rPr>
          <w:rFonts w:hint="eastAsia"/>
        </w:rPr>
      </w:pPr>
      <w:r>
        <w:rPr>
          <w:rFonts w:hint="eastAsia"/>
        </w:rPr>
        <w:t>562.</w:t>
      </w:r>
      <w:r>
        <w:rPr>
          <w:rFonts w:hint="eastAsia"/>
        </w:rPr>
        <w:tab/>
        <w:t>2003</w:t>
      </w:r>
      <w:r>
        <w:rPr>
          <w:rFonts w:hint="eastAsia"/>
        </w:rPr>
        <w:t>年，传统登革热的发病率下降了</w:t>
      </w:r>
      <w:r>
        <w:rPr>
          <w:rFonts w:hint="eastAsia"/>
        </w:rPr>
        <w:t>28.3%</w:t>
      </w:r>
      <w:r>
        <w:rPr>
          <w:rFonts w:hint="eastAsia"/>
        </w:rPr>
        <w:t>。发病数字比前一年下降了</w:t>
      </w:r>
      <w:r>
        <w:rPr>
          <w:rFonts w:hint="eastAsia"/>
        </w:rPr>
        <w:t>60%</w:t>
      </w:r>
      <w:r>
        <w:rPr>
          <w:rFonts w:hint="eastAsia"/>
        </w:rPr>
        <w:t>。在</w:t>
      </w:r>
      <w:r>
        <w:rPr>
          <w:rFonts w:hint="eastAsia"/>
        </w:rPr>
        <w:t>2001</w:t>
      </w:r>
      <w:r>
        <w:t>-</w:t>
      </w:r>
      <w:r>
        <w:rPr>
          <w:rFonts w:hint="eastAsia"/>
        </w:rPr>
        <w:t>2003</w:t>
      </w:r>
      <w:r>
        <w:rPr>
          <w:rFonts w:hint="eastAsia"/>
        </w:rPr>
        <w:t>年期间，传统登革热的发病率仍处于“国家健康项目”规定的指标之下，即每</w:t>
      </w:r>
      <w:r>
        <w:rPr>
          <w:rFonts w:hint="eastAsia"/>
        </w:rPr>
        <w:t>100 000</w:t>
      </w:r>
      <w:r>
        <w:rPr>
          <w:rFonts w:hint="eastAsia"/>
        </w:rPr>
        <w:t>人发病</w:t>
      </w:r>
      <w:r>
        <w:rPr>
          <w:rFonts w:hint="eastAsia"/>
        </w:rPr>
        <w:t>20</w:t>
      </w:r>
      <w:r>
        <w:rPr>
          <w:rFonts w:hint="eastAsia"/>
        </w:rPr>
        <w:t>例。</w:t>
      </w:r>
    </w:p>
    <w:p w:rsidR="00000000" w:rsidRDefault="00457650">
      <w:pPr>
        <w:widowControl/>
        <w:tabs>
          <w:tab w:val="left" w:pos="630"/>
        </w:tabs>
        <w:spacing w:after="240" w:line="360" w:lineRule="exact"/>
        <w:rPr>
          <w:rFonts w:hint="eastAsia"/>
        </w:rPr>
      </w:pPr>
      <w:r>
        <w:rPr>
          <w:rFonts w:hint="eastAsia"/>
        </w:rPr>
        <w:t>563.</w:t>
      </w:r>
      <w:r>
        <w:rPr>
          <w:rFonts w:hint="eastAsia"/>
        </w:rPr>
        <w:tab/>
      </w:r>
      <w:r>
        <w:rPr>
          <w:rFonts w:hint="eastAsia"/>
        </w:rPr>
        <w:t>出血性登</w:t>
      </w:r>
      <w:r>
        <w:rPr>
          <w:rFonts w:hint="eastAsia"/>
        </w:rPr>
        <w:t>革热的死亡率继续低于</w:t>
      </w:r>
      <w:r>
        <w:rPr>
          <w:rFonts w:hint="eastAsia"/>
        </w:rPr>
        <w:t>2%</w:t>
      </w:r>
      <w:r>
        <w:rPr>
          <w:rFonts w:hint="eastAsia"/>
        </w:rPr>
        <w:t>，过去</w:t>
      </w:r>
      <w:r>
        <w:rPr>
          <w:rFonts w:hint="eastAsia"/>
        </w:rPr>
        <w:t>3</w:t>
      </w:r>
      <w:r>
        <w:rPr>
          <w:rFonts w:hint="eastAsia"/>
        </w:rPr>
        <w:t>年一直保持这一水平。</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6"/>
        <w:gridCol w:w="1677"/>
        <w:gridCol w:w="1677"/>
        <w:gridCol w:w="1679"/>
        <w:gridCol w:w="1560"/>
      </w:tblGrid>
      <w:tr w:rsidR="00000000">
        <w:tc>
          <w:tcPr>
            <w:tcW w:w="1650" w:type="pct"/>
          </w:tcPr>
          <w:p w:rsidR="00000000" w:rsidRDefault="00457650">
            <w:pPr>
              <w:widowControl/>
              <w:tabs>
                <w:tab w:val="left" w:pos="630"/>
              </w:tabs>
              <w:spacing w:after="120" w:line="320" w:lineRule="exact"/>
              <w:rPr>
                <w:rFonts w:ascii="KaiTi_GB2312" w:eastAsia="KaiTi_GB2312" w:hint="eastAsia"/>
                <w:iCs/>
                <w:sz w:val="18"/>
              </w:rPr>
            </w:pPr>
            <w:r>
              <w:rPr>
                <w:rFonts w:ascii="KaiTi_GB2312" w:eastAsia="KaiTi_GB2312" w:hint="eastAsia"/>
                <w:iCs/>
                <w:sz w:val="18"/>
              </w:rPr>
              <w:t>比例</w:t>
            </w:r>
          </w:p>
        </w:tc>
        <w:tc>
          <w:tcPr>
            <w:tcW w:w="852" w:type="pct"/>
          </w:tcPr>
          <w:p w:rsidR="00000000" w:rsidRDefault="00457650">
            <w:pPr>
              <w:widowControl/>
              <w:tabs>
                <w:tab w:val="left" w:pos="630"/>
              </w:tabs>
              <w:spacing w:after="120" w:line="320" w:lineRule="exact"/>
              <w:jc w:val="center"/>
              <w:rPr>
                <w:rFonts w:ascii="KaiTi_GB2312" w:eastAsia="KaiTi_GB2312" w:hint="eastAsia"/>
                <w:iCs/>
                <w:sz w:val="18"/>
              </w:rPr>
            </w:pPr>
            <w:r>
              <w:rPr>
                <w:rFonts w:ascii="KaiTi_GB2312" w:eastAsia="KaiTi_GB2312" w:hint="eastAsia"/>
                <w:iCs/>
                <w:sz w:val="18"/>
              </w:rPr>
              <w:t>2000</w:t>
            </w:r>
            <w:r>
              <w:rPr>
                <w:rFonts w:ascii="KaiTi_GB2312" w:eastAsia="KaiTi_GB2312" w:hint="eastAsia"/>
                <w:iCs/>
                <w:sz w:val="18"/>
              </w:rPr>
              <w:t>年</w:t>
            </w:r>
          </w:p>
        </w:tc>
        <w:tc>
          <w:tcPr>
            <w:tcW w:w="852" w:type="pct"/>
          </w:tcPr>
          <w:p w:rsidR="00000000" w:rsidRDefault="00457650">
            <w:pPr>
              <w:widowControl/>
              <w:tabs>
                <w:tab w:val="left" w:pos="630"/>
              </w:tabs>
              <w:spacing w:after="120" w:line="320" w:lineRule="exact"/>
              <w:jc w:val="center"/>
              <w:rPr>
                <w:rFonts w:ascii="KaiTi_GB2312" w:eastAsia="KaiTi_GB2312" w:hint="eastAsia"/>
                <w:iCs/>
                <w:sz w:val="18"/>
              </w:rPr>
            </w:pPr>
            <w:r>
              <w:rPr>
                <w:rFonts w:ascii="KaiTi_GB2312" w:eastAsia="KaiTi_GB2312" w:hint="eastAsia"/>
                <w:iCs/>
                <w:sz w:val="18"/>
              </w:rPr>
              <w:t>2001</w:t>
            </w:r>
            <w:r>
              <w:rPr>
                <w:rFonts w:ascii="KaiTi_GB2312" w:eastAsia="KaiTi_GB2312" w:hint="eastAsia"/>
                <w:iCs/>
                <w:sz w:val="18"/>
              </w:rPr>
              <w:t>年</w:t>
            </w:r>
          </w:p>
        </w:tc>
        <w:tc>
          <w:tcPr>
            <w:tcW w:w="853" w:type="pct"/>
          </w:tcPr>
          <w:p w:rsidR="00000000" w:rsidRDefault="00457650">
            <w:pPr>
              <w:widowControl/>
              <w:tabs>
                <w:tab w:val="left" w:pos="630"/>
              </w:tabs>
              <w:spacing w:after="120" w:line="320" w:lineRule="exact"/>
              <w:jc w:val="center"/>
              <w:rPr>
                <w:rFonts w:ascii="KaiTi_GB2312" w:eastAsia="KaiTi_GB2312" w:hint="eastAsia"/>
                <w:iCs/>
                <w:sz w:val="18"/>
              </w:rPr>
            </w:pPr>
            <w:r>
              <w:rPr>
                <w:rFonts w:ascii="KaiTi_GB2312" w:eastAsia="KaiTi_GB2312" w:hint="eastAsia"/>
                <w:iCs/>
                <w:sz w:val="18"/>
              </w:rPr>
              <w:t>2002</w:t>
            </w:r>
            <w:r>
              <w:rPr>
                <w:rFonts w:ascii="KaiTi_GB2312" w:eastAsia="KaiTi_GB2312" w:hint="eastAsia"/>
                <w:iCs/>
                <w:sz w:val="18"/>
              </w:rPr>
              <w:t>年</w:t>
            </w:r>
          </w:p>
        </w:tc>
        <w:tc>
          <w:tcPr>
            <w:tcW w:w="793" w:type="pct"/>
          </w:tcPr>
          <w:p w:rsidR="00000000" w:rsidRDefault="00457650">
            <w:pPr>
              <w:widowControl/>
              <w:tabs>
                <w:tab w:val="left" w:pos="630"/>
              </w:tabs>
              <w:spacing w:after="120" w:line="320" w:lineRule="exact"/>
              <w:jc w:val="center"/>
              <w:rPr>
                <w:rFonts w:ascii="KaiTi_GB2312" w:eastAsia="KaiTi_GB2312" w:hint="eastAsia"/>
                <w:iCs/>
                <w:sz w:val="18"/>
              </w:rPr>
            </w:pPr>
            <w:r>
              <w:rPr>
                <w:rFonts w:ascii="KaiTi_GB2312" w:eastAsia="KaiTi_GB2312" w:hint="eastAsia"/>
                <w:iCs/>
                <w:sz w:val="18"/>
              </w:rPr>
              <w:t>2003</w:t>
            </w:r>
            <w:r>
              <w:rPr>
                <w:rFonts w:ascii="KaiTi_GB2312" w:eastAsia="KaiTi_GB2312" w:hint="eastAsia"/>
                <w:iCs/>
                <w:sz w:val="18"/>
              </w:rPr>
              <w:t>年</w:t>
            </w:r>
            <w:r>
              <w:rPr>
                <w:rFonts w:ascii="KaiTi_GB2312" w:eastAsia="KaiTi_GB2312" w:hint="eastAsia"/>
                <w:iCs/>
                <w:sz w:val="18"/>
                <w:vertAlign w:val="superscript"/>
              </w:rPr>
              <w:t>*</w:t>
            </w:r>
          </w:p>
        </w:tc>
      </w:tr>
      <w:tr w:rsidR="00000000">
        <w:tc>
          <w:tcPr>
            <w:tcW w:w="1650" w:type="pct"/>
          </w:tcPr>
          <w:p w:rsidR="00000000" w:rsidRDefault="00457650">
            <w:pPr>
              <w:widowControl/>
              <w:tabs>
                <w:tab w:val="left" w:pos="630"/>
              </w:tabs>
              <w:spacing w:after="120" w:line="320" w:lineRule="exact"/>
              <w:rPr>
                <w:rFonts w:hint="eastAsia"/>
                <w:sz w:val="18"/>
              </w:rPr>
            </w:pPr>
            <w:r>
              <w:rPr>
                <w:rFonts w:hint="eastAsia"/>
                <w:sz w:val="18"/>
              </w:rPr>
              <w:t>传统登革热</w:t>
            </w:r>
            <w:r>
              <w:rPr>
                <w:rFonts w:hint="eastAsia"/>
                <w:sz w:val="18"/>
                <w:vertAlign w:val="superscript"/>
              </w:rPr>
              <w:t>1</w:t>
            </w:r>
          </w:p>
        </w:tc>
        <w:tc>
          <w:tcPr>
            <w:tcW w:w="852" w:type="pct"/>
          </w:tcPr>
          <w:p w:rsidR="00000000" w:rsidRDefault="00457650">
            <w:pPr>
              <w:widowControl/>
              <w:tabs>
                <w:tab w:val="left" w:pos="630"/>
              </w:tabs>
              <w:spacing w:after="120" w:line="320" w:lineRule="exact"/>
              <w:jc w:val="center"/>
              <w:rPr>
                <w:sz w:val="18"/>
              </w:rPr>
            </w:pPr>
            <w:r>
              <w:rPr>
                <w:sz w:val="18"/>
              </w:rPr>
              <w:t>1.7</w:t>
            </w:r>
          </w:p>
        </w:tc>
        <w:tc>
          <w:tcPr>
            <w:tcW w:w="852" w:type="pct"/>
          </w:tcPr>
          <w:p w:rsidR="00000000" w:rsidRDefault="00457650">
            <w:pPr>
              <w:widowControl/>
              <w:tabs>
                <w:tab w:val="left" w:pos="630"/>
              </w:tabs>
              <w:spacing w:after="120" w:line="320" w:lineRule="exact"/>
              <w:jc w:val="center"/>
              <w:rPr>
                <w:sz w:val="18"/>
              </w:rPr>
            </w:pPr>
            <w:r>
              <w:rPr>
                <w:sz w:val="18"/>
              </w:rPr>
              <w:t>4.6</w:t>
            </w:r>
          </w:p>
        </w:tc>
        <w:tc>
          <w:tcPr>
            <w:tcW w:w="853" w:type="pct"/>
          </w:tcPr>
          <w:p w:rsidR="00000000" w:rsidRDefault="00457650">
            <w:pPr>
              <w:widowControl/>
              <w:tabs>
                <w:tab w:val="left" w:pos="630"/>
              </w:tabs>
              <w:spacing w:after="120" w:line="320" w:lineRule="exact"/>
              <w:jc w:val="center"/>
              <w:rPr>
                <w:sz w:val="18"/>
              </w:rPr>
            </w:pPr>
            <w:r>
              <w:rPr>
                <w:sz w:val="18"/>
              </w:rPr>
              <w:t>12.9</w:t>
            </w:r>
          </w:p>
        </w:tc>
        <w:tc>
          <w:tcPr>
            <w:tcW w:w="793" w:type="pct"/>
          </w:tcPr>
          <w:p w:rsidR="00000000" w:rsidRDefault="00457650">
            <w:pPr>
              <w:widowControl/>
              <w:tabs>
                <w:tab w:val="left" w:pos="630"/>
              </w:tabs>
              <w:spacing w:after="120" w:line="320" w:lineRule="exact"/>
              <w:jc w:val="center"/>
              <w:rPr>
                <w:sz w:val="18"/>
              </w:rPr>
            </w:pPr>
            <w:r>
              <w:rPr>
                <w:sz w:val="18"/>
              </w:rPr>
              <w:t>4.8</w:t>
            </w:r>
          </w:p>
        </w:tc>
      </w:tr>
      <w:tr w:rsidR="00000000">
        <w:tc>
          <w:tcPr>
            <w:tcW w:w="1650" w:type="pct"/>
          </w:tcPr>
          <w:p w:rsidR="00000000" w:rsidRDefault="00457650">
            <w:pPr>
              <w:widowControl/>
              <w:tabs>
                <w:tab w:val="left" w:pos="630"/>
              </w:tabs>
              <w:spacing w:after="120" w:line="320" w:lineRule="exact"/>
              <w:rPr>
                <w:rFonts w:hint="eastAsia"/>
                <w:sz w:val="18"/>
              </w:rPr>
            </w:pPr>
            <w:r>
              <w:rPr>
                <w:rFonts w:hint="eastAsia"/>
                <w:sz w:val="18"/>
              </w:rPr>
              <w:t>出血性登革热</w:t>
            </w:r>
            <w:r>
              <w:rPr>
                <w:rFonts w:hint="eastAsia"/>
                <w:sz w:val="18"/>
                <w:vertAlign w:val="superscript"/>
              </w:rPr>
              <w:t>2</w:t>
            </w:r>
          </w:p>
        </w:tc>
        <w:tc>
          <w:tcPr>
            <w:tcW w:w="852" w:type="pct"/>
          </w:tcPr>
          <w:p w:rsidR="00000000" w:rsidRDefault="00457650">
            <w:pPr>
              <w:widowControl/>
              <w:tabs>
                <w:tab w:val="left" w:pos="630"/>
              </w:tabs>
              <w:spacing w:after="120" w:line="320" w:lineRule="exact"/>
              <w:jc w:val="center"/>
              <w:rPr>
                <w:sz w:val="18"/>
              </w:rPr>
            </w:pPr>
            <w:r>
              <w:rPr>
                <w:sz w:val="18"/>
              </w:rPr>
              <w:t>0</w:t>
            </w:r>
          </w:p>
        </w:tc>
        <w:tc>
          <w:tcPr>
            <w:tcW w:w="852" w:type="pct"/>
          </w:tcPr>
          <w:p w:rsidR="00000000" w:rsidRDefault="00457650">
            <w:pPr>
              <w:widowControl/>
              <w:tabs>
                <w:tab w:val="left" w:pos="630"/>
              </w:tabs>
              <w:spacing w:after="120" w:line="320" w:lineRule="exact"/>
              <w:jc w:val="center"/>
              <w:rPr>
                <w:sz w:val="18"/>
              </w:rPr>
            </w:pPr>
            <w:r>
              <w:rPr>
                <w:sz w:val="18"/>
              </w:rPr>
              <w:t>0.3</w:t>
            </w:r>
          </w:p>
        </w:tc>
        <w:tc>
          <w:tcPr>
            <w:tcW w:w="853" w:type="pct"/>
          </w:tcPr>
          <w:p w:rsidR="00000000" w:rsidRDefault="00457650">
            <w:pPr>
              <w:widowControl/>
              <w:tabs>
                <w:tab w:val="left" w:pos="630"/>
              </w:tabs>
              <w:spacing w:after="120" w:line="320" w:lineRule="exact"/>
              <w:jc w:val="center"/>
              <w:rPr>
                <w:sz w:val="18"/>
              </w:rPr>
            </w:pPr>
            <w:r>
              <w:rPr>
                <w:sz w:val="18"/>
              </w:rPr>
              <w:t>0.4</w:t>
            </w:r>
          </w:p>
        </w:tc>
        <w:tc>
          <w:tcPr>
            <w:tcW w:w="793" w:type="pct"/>
          </w:tcPr>
          <w:p w:rsidR="00000000" w:rsidRDefault="00457650">
            <w:pPr>
              <w:pStyle w:val="a3"/>
              <w:widowControl/>
              <w:tabs>
                <w:tab w:val="left" w:pos="630"/>
              </w:tabs>
              <w:adjustRightInd w:val="0"/>
              <w:spacing w:after="120" w:line="320" w:lineRule="exact"/>
              <w:jc w:val="center"/>
              <w:textAlignment w:val="baseline"/>
              <w:rPr>
                <w:kern w:val="0"/>
                <w:szCs w:val="20"/>
              </w:rPr>
            </w:pPr>
            <w:r>
              <w:rPr>
                <w:kern w:val="0"/>
                <w:szCs w:val="20"/>
              </w:rPr>
              <w:t>0.8</w:t>
            </w:r>
          </w:p>
        </w:tc>
      </w:tr>
    </w:tbl>
    <w:p w:rsidR="00000000" w:rsidRDefault="00457650">
      <w:pPr>
        <w:widowControl/>
        <w:tabs>
          <w:tab w:val="left" w:pos="630"/>
        </w:tabs>
        <w:spacing w:line="360" w:lineRule="exact"/>
        <w:rPr>
          <w:rFonts w:hint="eastAsia"/>
          <w:sz w:val="18"/>
        </w:rPr>
      </w:pPr>
      <w:r>
        <w:rPr>
          <w:rFonts w:eastAsia="KaiTi_GB2312" w:hint="eastAsia"/>
          <w:iCs/>
          <w:sz w:val="18"/>
        </w:rPr>
        <w:t>资料来源</w:t>
      </w:r>
      <w:r>
        <w:rPr>
          <w:rFonts w:hint="eastAsia"/>
          <w:sz w:val="18"/>
        </w:rPr>
        <w:t>：卫生部。</w:t>
      </w:r>
    </w:p>
    <w:p w:rsidR="00000000" w:rsidRDefault="00457650">
      <w:pPr>
        <w:widowControl/>
        <w:tabs>
          <w:tab w:val="left" w:pos="360"/>
        </w:tabs>
        <w:spacing w:line="360" w:lineRule="exact"/>
        <w:rPr>
          <w:rFonts w:hint="eastAsia"/>
          <w:sz w:val="18"/>
        </w:rPr>
      </w:pPr>
      <w:r>
        <w:rPr>
          <w:rFonts w:hint="eastAsia"/>
          <w:sz w:val="18"/>
          <w:vertAlign w:val="superscript"/>
        </w:rPr>
        <w:t>*</w:t>
      </w:r>
      <w:r>
        <w:rPr>
          <w:rFonts w:hint="eastAsia"/>
          <w:sz w:val="18"/>
          <w:vertAlign w:val="superscript"/>
        </w:rPr>
        <w:tab/>
      </w:r>
      <w:r>
        <w:rPr>
          <w:rFonts w:hint="eastAsia"/>
          <w:sz w:val="18"/>
        </w:rPr>
        <w:t>初步数字</w:t>
      </w:r>
    </w:p>
    <w:p w:rsidR="00000000" w:rsidRDefault="00457650">
      <w:pPr>
        <w:widowControl/>
        <w:tabs>
          <w:tab w:val="left" w:pos="360"/>
        </w:tabs>
        <w:spacing w:line="360" w:lineRule="exact"/>
        <w:rPr>
          <w:rFonts w:hint="eastAsia"/>
          <w:sz w:val="18"/>
        </w:rPr>
      </w:pPr>
      <w:r>
        <w:rPr>
          <w:rFonts w:hint="eastAsia"/>
          <w:sz w:val="18"/>
          <w:vertAlign w:val="superscript"/>
        </w:rPr>
        <w:t>1</w:t>
      </w:r>
      <w:r>
        <w:rPr>
          <w:rFonts w:hint="eastAsia"/>
          <w:sz w:val="18"/>
          <w:vertAlign w:val="superscript"/>
        </w:rPr>
        <w:tab/>
      </w:r>
      <w:r>
        <w:rPr>
          <w:rFonts w:hint="eastAsia"/>
          <w:sz w:val="18"/>
        </w:rPr>
        <w:t>每</w:t>
      </w:r>
      <w:r>
        <w:rPr>
          <w:rFonts w:hint="eastAsia"/>
          <w:sz w:val="18"/>
        </w:rPr>
        <w:t>100 000</w:t>
      </w:r>
      <w:r>
        <w:rPr>
          <w:rFonts w:hint="eastAsia"/>
          <w:sz w:val="18"/>
        </w:rPr>
        <w:t>人的比例，人口以国家人口委员会的数据为准。</w:t>
      </w:r>
    </w:p>
    <w:p w:rsidR="00000000" w:rsidRDefault="00457650">
      <w:pPr>
        <w:widowControl/>
        <w:tabs>
          <w:tab w:val="left" w:pos="360"/>
        </w:tabs>
        <w:spacing w:after="240" w:line="360" w:lineRule="exact"/>
        <w:rPr>
          <w:rFonts w:hint="eastAsia"/>
          <w:sz w:val="18"/>
        </w:rPr>
      </w:pPr>
      <w:r>
        <w:rPr>
          <w:rFonts w:hint="eastAsia"/>
          <w:sz w:val="18"/>
          <w:vertAlign w:val="superscript"/>
        </w:rPr>
        <w:t>2</w:t>
      </w:r>
      <w:r>
        <w:rPr>
          <w:rFonts w:hint="eastAsia"/>
          <w:sz w:val="18"/>
          <w:vertAlign w:val="superscript"/>
        </w:rPr>
        <w:tab/>
      </w:r>
      <w:r>
        <w:rPr>
          <w:rFonts w:hint="eastAsia"/>
          <w:sz w:val="18"/>
        </w:rPr>
        <w:t>每</w:t>
      </w:r>
      <w:r>
        <w:rPr>
          <w:rFonts w:hint="eastAsia"/>
          <w:sz w:val="18"/>
        </w:rPr>
        <w:t>100</w:t>
      </w:r>
      <w:r>
        <w:rPr>
          <w:rFonts w:hint="eastAsia"/>
          <w:sz w:val="18"/>
        </w:rPr>
        <w:t>例出血性登革热的比例。</w:t>
      </w:r>
    </w:p>
    <w:p w:rsidR="00000000" w:rsidRDefault="00457650">
      <w:pPr>
        <w:pStyle w:val="Date"/>
        <w:widowControl/>
        <w:tabs>
          <w:tab w:val="left" w:pos="630"/>
        </w:tabs>
        <w:spacing w:after="240" w:line="360" w:lineRule="exact"/>
        <w:rPr>
          <w:rFonts w:eastAsia="SimHei" w:hint="eastAsia"/>
        </w:rPr>
      </w:pPr>
      <w:r>
        <w:rPr>
          <w:rFonts w:eastAsia="SimHei" w:hint="eastAsia"/>
        </w:rPr>
        <w:tab/>
      </w:r>
      <w:r>
        <w:rPr>
          <w:rFonts w:eastAsia="SimHei" w:hint="eastAsia"/>
        </w:rPr>
        <w:t>疟疾</w:t>
      </w:r>
    </w:p>
    <w:p w:rsidR="00000000" w:rsidRDefault="00457650">
      <w:pPr>
        <w:widowControl/>
        <w:tabs>
          <w:tab w:val="left" w:pos="630"/>
        </w:tabs>
        <w:spacing w:after="240" w:line="360" w:lineRule="exact"/>
        <w:rPr>
          <w:rFonts w:hint="eastAsia"/>
        </w:rPr>
      </w:pPr>
      <w:r>
        <w:rPr>
          <w:rFonts w:hint="eastAsia"/>
        </w:rPr>
        <w:t>564.</w:t>
      </w:r>
      <w:r>
        <w:rPr>
          <w:rFonts w:hint="eastAsia"/>
        </w:rPr>
        <w:tab/>
        <w:t>2003</w:t>
      </w:r>
      <w:r>
        <w:rPr>
          <w:rFonts w:hint="eastAsia"/>
        </w:rPr>
        <w:t>年，记录的疟疾病发病率是最低的，同前一年相比下降了</w:t>
      </w:r>
      <w:r>
        <w:rPr>
          <w:rFonts w:hint="eastAsia"/>
        </w:rPr>
        <w:t>21.7%</w:t>
      </w:r>
      <w:r>
        <w:rPr>
          <w:rFonts w:hint="eastAsia"/>
        </w:rPr>
        <w:t>。自</w:t>
      </w:r>
      <w:r>
        <w:rPr>
          <w:rFonts w:hint="eastAsia"/>
        </w:rPr>
        <w:t>2000</w:t>
      </w:r>
      <w:r>
        <w:rPr>
          <w:rFonts w:hint="eastAsia"/>
        </w:rPr>
        <w:t>年开始，</w:t>
      </w:r>
      <w:r>
        <w:rPr>
          <w:rFonts w:hint="eastAsia"/>
        </w:rPr>
        <w:t>3</w:t>
      </w:r>
      <w:r>
        <w:rPr>
          <w:rFonts w:hint="eastAsia"/>
        </w:rPr>
        <w:t>年时间下降了</w:t>
      </w:r>
      <w:r>
        <w:rPr>
          <w:rFonts w:hint="eastAsia"/>
        </w:rPr>
        <w:t>51%</w:t>
      </w:r>
      <w:r>
        <w:rPr>
          <w:rFonts w:hint="eastAsia"/>
        </w:rPr>
        <w:t>。</w:t>
      </w:r>
    </w:p>
    <w:p w:rsidR="00000000" w:rsidRDefault="00457650">
      <w:pPr>
        <w:widowControl/>
        <w:tabs>
          <w:tab w:val="left" w:pos="630"/>
        </w:tabs>
        <w:spacing w:after="240" w:line="360" w:lineRule="exact"/>
        <w:rPr>
          <w:rFonts w:hint="eastAsia"/>
        </w:rPr>
      </w:pPr>
      <w:r>
        <w:rPr>
          <w:rFonts w:hint="eastAsia"/>
        </w:rPr>
        <w:t>565.</w:t>
      </w:r>
      <w:r>
        <w:rPr>
          <w:rFonts w:hint="eastAsia"/>
        </w:rPr>
        <w:tab/>
      </w:r>
      <w:r>
        <w:rPr>
          <w:rFonts w:hint="eastAsia"/>
        </w:rPr>
        <w:t>废除使用</w:t>
      </w:r>
      <w:r>
        <w:rPr>
          <w:rFonts w:hint="eastAsia"/>
        </w:rPr>
        <w:t>DDT</w:t>
      </w:r>
      <w:r>
        <w:rPr>
          <w:rFonts w:hint="eastAsia"/>
        </w:rPr>
        <w:t>，并推行了有社区</w:t>
      </w:r>
      <w:r>
        <w:rPr>
          <w:rFonts w:hint="eastAsia"/>
        </w:rPr>
        <w:t>参与的新的节省成本的环保战略，这是消灭疟蚊栖息繁衍地方案的一个组成部分。</w:t>
      </w:r>
    </w:p>
    <w:p w:rsidR="00000000" w:rsidRDefault="00457650">
      <w:pPr>
        <w:widowControl/>
        <w:tabs>
          <w:tab w:val="left" w:pos="630"/>
        </w:tabs>
        <w:spacing w:after="240" w:line="360" w:lineRule="exact"/>
        <w:rPr>
          <w:rFonts w:hint="eastAsia"/>
        </w:rPr>
      </w:pPr>
      <w:r>
        <w:rPr>
          <w:rFonts w:hint="eastAsia"/>
        </w:rPr>
        <w:t>566.</w:t>
      </w:r>
      <w:r>
        <w:rPr>
          <w:rFonts w:hint="eastAsia"/>
        </w:rPr>
        <w:tab/>
      </w:r>
      <w:r>
        <w:rPr>
          <w:rFonts w:hint="eastAsia"/>
        </w:rPr>
        <w:t>对流行病继续保持戒备，并采取了</w:t>
      </w:r>
      <w:r>
        <w:rPr>
          <w:rFonts w:hint="eastAsia"/>
        </w:rPr>
        <w:t>150</w:t>
      </w:r>
      <w:r>
        <w:rPr>
          <w:rFonts w:hint="eastAsia"/>
        </w:rPr>
        <w:t>万份血样。这种疾病正得到控制，同</w:t>
      </w:r>
      <w:r>
        <w:rPr>
          <w:rFonts w:hint="eastAsia"/>
        </w:rPr>
        <w:t>2002</w:t>
      </w:r>
      <w:r>
        <w:rPr>
          <w:rFonts w:hint="eastAsia"/>
        </w:rPr>
        <w:t>年相比，存在疟蚊的地区数目减少了</w:t>
      </w:r>
      <w:r>
        <w:rPr>
          <w:rFonts w:hint="eastAsia"/>
        </w:rPr>
        <w:t>12.5%</w:t>
      </w:r>
      <w:r>
        <w:rPr>
          <w:rFonts w:hint="eastAsia"/>
        </w:rPr>
        <w:t>。</w:t>
      </w:r>
    </w:p>
    <w:p w:rsidR="00000000" w:rsidRDefault="00457650">
      <w:pPr>
        <w:widowControl/>
        <w:tabs>
          <w:tab w:val="left" w:pos="630"/>
        </w:tabs>
        <w:spacing w:after="240" w:line="360" w:lineRule="exact"/>
        <w:rPr>
          <w:rFonts w:hint="eastAsia"/>
        </w:rPr>
      </w:pPr>
      <w:r>
        <w:rPr>
          <w:rFonts w:hint="eastAsia"/>
        </w:rPr>
        <w:t>567.</w:t>
      </w:r>
      <w:r>
        <w:rPr>
          <w:rFonts w:hint="eastAsia"/>
        </w:rPr>
        <w:tab/>
      </w:r>
      <w:r>
        <w:rPr>
          <w:rFonts w:hint="eastAsia"/>
        </w:rPr>
        <w:t>在四个传播不稳定的州加强了“集中治疗战略”，另外在</w:t>
      </w:r>
      <w:r>
        <w:rPr>
          <w:rFonts w:hint="eastAsia"/>
        </w:rPr>
        <w:t>11</w:t>
      </w:r>
      <w:r>
        <w:rPr>
          <w:rFonts w:hint="eastAsia"/>
        </w:rPr>
        <w:t>个计划开始消灭该疾病的州也加强了该战略。</w:t>
      </w:r>
    </w:p>
    <w:tbl>
      <w:tblPr>
        <w:tblW w:w="4965" w:type="pct"/>
        <w:jc w:val="center"/>
        <w:tblInd w:w="70" w:type="dxa"/>
        <w:tblCellMar>
          <w:left w:w="70" w:type="dxa"/>
          <w:right w:w="70" w:type="dxa"/>
        </w:tblCellMar>
        <w:tblLook w:val="0000" w:firstRow="0" w:lastRow="0" w:firstColumn="0" w:lastColumn="0" w:noHBand="0" w:noVBand="0"/>
      </w:tblPr>
      <w:tblGrid>
        <w:gridCol w:w="3362"/>
        <w:gridCol w:w="1093"/>
        <w:gridCol w:w="1093"/>
        <w:gridCol w:w="1093"/>
        <w:gridCol w:w="1093"/>
        <w:gridCol w:w="1093"/>
        <w:gridCol w:w="1093"/>
      </w:tblGrid>
      <w:tr w:rsidR="00000000">
        <w:tblPrEx>
          <w:tblCellMar>
            <w:top w:w="0" w:type="dxa"/>
            <w:bottom w:w="0" w:type="dxa"/>
          </w:tblCellMar>
        </w:tblPrEx>
        <w:trPr>
          <w:cantSplit/>
          <w:jc w:val="center"/>
        </w:trPr>
        <w:tc>
          <w:tcPr>
            <w:tcW w:w="1694" w:type="pct"/>
            <w:vMerge w:val="restart"/>
            <w:tcBorders>
              <w:top w:val="single" w:sz="4" w:space="0" w:color="auto"/>
            </w:tcBorders>
            <w:vAlign w:val="center"/>
          </w:tcPr>
          <w:p w:rsidR="00000000" w:rsidRDefault="00457650">
            <w:pPr>
              <w:pStyle w:val="Header"/>
              <w:widowControl/>
              <w:pBdr>
                <w:bottom w:val="none" w:sz="0" w:space="0" w:color="auto"/>
              </w:pBdr>
              <w:tabs>
                <w:tab w:val="clear" w:pos="4320"/>
                <w:tab w:val="clear" w:pos="8640"/>
                <w:tab w:val="left" w:pos="630"/>
              </w:tabs>
              <w:spacing w:after="120" w:line="320" w:lineRule="exact"/>
              <w:rPr>
                <w:rFonts w:ascii="KaiTi_GB2312" w:eastAsia="KaiTi_GB2312" w:hint="eastAsia"/>
              </w:rPr>
            </w:pPr>
            <w:r>
              <w:rPr>
                <w:rFonts w:ascii="KaiTi_GB2312" w:eastAsia="KaiTi_GB2312" w:hint="eastAsia"/>
              </w:rPr>
              <w:t>活动</w:t>
            </w:r>
          </w:p>
        </w:tc>
        <w:tc>
          <w:tcPr>
            <w:tcW w:w="3306" w:type="pct"/>
            <w:gridSpan w:val="6"/>
            <w:tcBorders>
              <w:top w:val="single" w:sz="4" w:space="0" w:color="auto"/>
              <w:bottom w:val="single" w:sz="4" w:space="0" w:color="auto"/>
            </w:tcBorders>
            <w:vAlign w:val="center"/>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hint="eastAsia"/>
                <w:sz w:val="18"/>
              </w:rPr>
              <w:t>年份</w:t>
            </w:r>
          </w:p>
        </w:tc>
      </w:tr>
      <w:tr w:rsidR="00000000">
        <w:tblPrEx>
          <w:tblCellMar>
            <w:top w:w="0" w:type="dxa"/>
            <w:bottom w:w="0" w:type="dxa"/>
          </w:tblCellMar>
        </w:tblPrEx>
        <w:trPr>
          <w:cantSplit/>
          <w:jc w:val="center"/>
        </w:trPr>
        <w:tc>
          <w:tcPr>
            <w:tcW w:w="1694" w:type="pct"/>
            <w:vMerge/>
            <w:tcBorders>
              <w:bottom w:val="single" w:sz="4" w:space="0" w:color="auto"/>
            </w:tcBorders>
          </w:tcPr>
          <w:p w:rsidR="00000000" w:rsidRDefault="00457650">
            <w:pPr>
              <w:widowControl/>
              <w:tabs>
                <w:tab w:val="left" w:pos="630"/>
              </w:tabs>
              <w:spacing w:after="120" w:line="320" w:lineRule="exact"/>
              <w:jc w:val="center"/>
              <w:rPr>
                <w:rFonts w:ascii="KaiTi_GB2312" w:eastAsia="KaiTi_GB2312"/>
                <w:sz w:val="18"/>
              </w:rPr>
            </w:pPr>
          </w:p>
        </w:tc>
        <w:tc>
          <w:tcPr>
            <w:tcW w:w="551" w:type="pct"/>
            <w:tcBorders>
              <w:top w:val="single" w:sz="4" w:space="0" w:color="auto"/>
              <w:bottom w:val="single" w:sz="4" w:space="0" w:color="auto"/>
            </w:tcBorders>
            <w:vAlign w:val="center"/>
          </w:tcPr>
          <w:p w:rsidR="00000000" w:rsidRDefault="00457650">
            <w:pPr>
              <w:widowControl/>
              <w:tabs>
                <w:tab w:val="left" w:pos="630"/>
              </w:tabs>
              <w:spacing w:after="120" w:line="320" w:lineRule="exact"/>
              <w:jc w:val="center"/>
              <w:rPr>
                <w:rFonts w:ascii="KaiTi_GB2312" w:eastAsia="KaiTi_GB2312"/>
                <w:sz w:val="18"/>
              </w:rPr>
            </w:pPr>
            <w:r>
              <w:rPr>
                <w:rFonts w:ascii="KaiTi_GB2312" w:eastAsia="KaiTi_GB2312"/>
                <w:sz w:val="18"/>
              </w:rPr>
              <w:t>1998</w:t>
            </w:r>
          </w:p>
        </w:tc>
        <w:tc>
          <w:tcPr>
            <w:tcW w:w="551" w:type="pct"/>
            <w:tcBorders>
              <w:top w:val="single" w:sz="4" w:space="0" w:color="auto"/>
              <w:bottom w:val="single" w:sz="4" w:space="0" w:color="auto"/>
            </w:tcBorders>
            <w:vAlign w:val="center"/>
          </w:tcPr>
          <w:p w:rsidR="00000000" w:rsidRDefault="00457650">
            <w:pPr>
              <w:widowControl/>
              <w:tabs>
                <w:tab w:val="left" w:pos="630"/>
              </w:tabs>
              <w:spacing w:after="120" w:line="320" w:lineRule="exact"/>
              <w:jc w:val="center"/>
              <w:rPr>
                <w:rFonts w:ascii="KaiTi_GB2312" w:eastAsia="KaiTi_GB2312"/>
                <w:sz w:val="18"/>
              </w:rPr>
            </w:pPr>
            <w:r>
              <w:rPr>
                <w:rFonts w:ascii="KaiTi_GB2312" w:eastAsia="KaiTi_GB2312"/>
                <w:sz w:val="18"/>
              </w:rPr>
              <w:t>1999</w:t>
            </w:r>
          </w:p>
        </w:tc>
        <w:tc>
          <w:tcPr>
            <w:tcW w:w="551" w:type="pct"/>
            <w:tcBorders>
              <w:top w:val="single" w:sz="4" w:space="0" w:color="auto"/>
              <w:bottom w:val="single" w:sz="4" w:space="0" w:color="auto"/>
            </w:tcBorders>
            <w:vAlign w:val="center"/>
          </w:tcPr>
          <w:p w:rsidR="00000000" w:rsidRDefault="00457650">
            <w:pPr>
              <w:widowControl/>
              <w:tabs>
                <w:tab w:val="left" w:pos="630"/>
              </w:tabs>
              <w:spacing w:after="120" w:line="320" w:lineRule="exact"/>
              <w:jc w:val="center"/>
              <w:rPr>
                <w:rFonts w:ascii="KaiTi_GB2312" w:eastAsia="KaiTi_GB2312"/>
                <w:sz w:val="18"/>
              </w:rPr>
            </w:pPr>
            <w:r>
              <w:rPr>
                <w:rFonts w:ascii="KaiTi_GB2312" w:eastAsia="KaiTi_GB2312"/>
                <w:sz w:val="18"/>
              </w:rPr>
              <w:t>2000</w:t>
            </w:r>
          </w:p>
        </w:tc>
        <w:tc>
          <w:tcPr>
            <w:tcW w:w="551" w:type="pct"/>
            <w:tcBorders>
              <w:top w:val="single" w:sz="4" w:space="0" w:color="auto"/>
              <w:bottom w:val="single" w:sz="4" w:space="0" w:color="auto"/>
            </w:tcBorders>
            <w:vAlign w:val="center"/>
          </w:tcPr>
          <w:p w:rsidR="00000000" w:rsidRDefault="00457650">
            <w:pPr>
              <w:widowControl/>
              <w:tabs>
                <w:tab w:val="left" w:pos="630"/>
              </w:tabs>
              <w:spacing w:after="120" w:line="320" w:lineRule="exact"/>
              <w:jc w:val="center"/>
              <w:rPr>
                <w:rFonts w:ascii="KaiTi_GB2312" w:eastAsia="KaiTi_GB2312"/>
                <w:sz w:val="18"/>
              </w:rPr>
            </w:pPr>
            <w:r>
              <w:rPr>
                <w:rFonts w:ascii="KaiTi_GB2312" w:eastAsia="KaiTi_GB2312"/>
                <w:sz w:val="18"/>
              </w:rPr>
              <w:t>2001</w:t>
            </w:r>
          </w:p>
        </w:tc>
        <w:tc>
          <w:tcPr>
            <w:tcW w:w="551" w:type="pct"/>
            <w:tcBorders>
              <w:top w:val="single" w:sz="4" w:space="0" w:color="auto"/>
              <w:bottom w:val="single" w:sz="4" w:space="0" w:color="auto"/>
            </w:tcBorders>
            <w:vAlign w:val="center"/>
          </w:tcPr>
          <w:p w:rsidR="00000000" w:rsidRDefault="00457650">
            <w:pPr>
              <w:widowControl/>
              <w:tabs>
                <w:tab w:val="left" w:pos="630"/>
              </w:tabs>
              <w:spacing w:after="120" w:line="320" w:lineRule="exact"/>
              <w:jc w:val="center"/>
              <w:rPr>
                <w:rFonts w:ascii="KaiTi_GB2312" w:eastAsia="KaiTi_GB2312"/>
                <w:sz w:val="18"/>
              </w:rPr>
            </w:pPr>
            <w:r>
              <w:rPr>
                <w:rFonts w:ascii="KaiTi_GB2312" w:eastAsia="KaiTi_GB2312"/>
                <w:sz w:val="18"/>
              </w:rPr>
              <w:t>2002</w:t>
            </w:r>
          </w:p>
        </w:tc>
        <w:tc>
          <w:tcPr>
            <w:tcW w:w="551" w:type="pct"/>
            <w:tcBorders>
              <w:top w:val="single" w:sz="4" w:space="0" w:color="auto"/>
              <w:bottom w:val="single" w:sz="4" w:space="0" w:color="auto"/>
            </w:tcBorders>
            <w:vAlign w:val="center"/>
          </w:tcPr>
          <w:p w:rsidR="00000000" w:rsidRDefault="00457650">
            <w:pPr>
              <w:widowControl/>
              <w:tabs>
                <w:tab w:val="left" w:pos="630"/>
              </w:tabs>
              <w:spacing w:after="120" w:line="320" w:lineRule="exact"/>
              <w:jc w:val="center"/>
              <w:rPr>
                <w:rFonts w:ascii="KaiTi_GB2312" w:eastAsia="KaiTi_GB2312"/>
                <w:sz w:val="18"/>
              </w:rPr>
            </w:pPr>
            <w:r>
              <w:rPr>
                <w:rFonts w:ascii="KaiTi_GB2312" w:eastAsia="KaiTi_GB2312"/>
                <w:sz w:val="18"/>
              </w:rPr>
              <w:t>2003</w:t>
            </w:r>
          </w:p>
        </w:tc>
      </w:tr>
      <w:tr w:rsidR="00000000">
        <w:tblPrEx>
          <w:tblCellMar>
            <w:top w:w="0" w:type="dxa"/>
            <w:bottom w:w="0" w:type="dxa"/>
          </w:tblCellMar>
        </w:tblPrEx>
        <w:trPr>
          <w:jc w:val="center"/>
        </w:trPr>
        <w:tc>
          <w:tcPr>
            <w:tcW w:w="1694" w:type="pct"/>
            <w:tcBorders>
              <w:top w:val="single" w:sz="4" w:space="0" w:color="auto"/>
            </w:tcBorders>
          </w:tcPr>
          <w:p w:rsidR="00000000" w:rsidRDefault="00457650">
            <w:pPr>
              <w:widowControl/>
              <w:tabs>
                <w:tab w:val="left" w:pos="630"/>
              </w:tabs>
              <w:spacing w:after="120" w:line="320" w:lineRule="exact"/>
              <w:rPr>
                <w:rFonts w:hint="eastAsia"/>
                <w:sz w:val="18"/>
              </w:rPr>
            </w:pPr>
            <w:r>
              <w:rPr>
                <w:rFonts w:hint="eastAsia"/>
                <w:sz w:val="18"/>
              </w:rPr>
              <w:t>病例数量</w:t>
            </w:r>
          </w:p>
        </w:tc>
        <w:tc>
          <w:tcPr>
            <w:tcW w:w="551" w:type="pct"/>
            <w:tcBorders>
              <w:top w:val="single" w:sz="4" w:space="0" w:color="auto"/>
            </w:tcBorders>
          </w:tcPr>
          <w:p w:rsidR="00000000" w:rsidRDefault="00457650">
            <w:pPr>
              <w:widowControl/>
              <w:tabs>
                <w:tab w:val="left" w:pos="630"/>
              </w:tabs>
              <w:spacing w:after="120" w:line="320" w:lineRule="exact"/>
              <w:jc w:val="center"/>
              <w:rPr>
                <w:sz w:val="18"/>
              </w:rPr>
            </w:pPr>
            <w:r>
              <w:rPr>
                <w:sz w:val="18"/>
              </w:rPr>
              <w:t>25 023</w:t>
            </w:r>
          </w:p>
        </w:tc>
        <w:tc>
          <w:tcPr>
            <w:tcW w:w="551" w:type="pct"/>
            <w:tcBorders>
              <w:top w:val="single" w:sz="4" w:space="0" w:color="auto"/>
            </w:tcBorders>
          </w:tcPr>
          <w:p w:rsidR="00000000" w:rsidRDefault="00457650">
            <w:pPr>
              <w:widowControl/>
              <w:tabs>
                <w:tab w:val="left" w:pos="630"/>
              </w:tabs>
              <w:spacing w:after="120" w:line="320" w:lineRule="exact"/>
              <w:jc w:val="center"/>
              <w:rPr>
                <w:sz w:val="18"/>
              </w:rPr>
            </w:pPr>
            <w:r>
              <w:rPr>
                <w:sz w:val="18"/>
              </w:rPr>
              <w:t>13 450</w:t>
            </w:r>
          </w:p>
        </w:tc>
        <w:tc>
          <w:tcPr>
            <w:tcW w:w="551" w:type="pct"/>
            <w:tcBorders>
              <w:top w:val="single" w:sz="4" w:space="0" w:color="auto"/>
            </w:tcBorders>
          </w:tcPr>
          <w:p w:rsidR="00000000" w:rsidRDefault="00457650">
            <w:pPr>
              <w:widowControl/>
              <w:tabs>
                <w:tab w:val="left" w:pos="630"/>
              </w:tabs>
              <w:spacing w:after="120" w:line="320" w:lineRule="exact"/>
              <w:jc w:val="center"/>
              <w:rPr>
                <w:sz w:val="18"/>
              </w:rPr>
            </w:pPr>
            <w:r>
              <w:rPr>
                <w:sz w:val="18"/>
              </w:rPr>
              <w:t>7 390</w:t>
            </w:r>
          </w:p>
        </w:tc>
        <w:tc>
          <w:tcPr>
            <w:tcW w:w="551" w:type="pct"/>
            <w:tcBorders>
              <w:top w:val="single" w:sz="4" w:space="0" w:color="auto"/>
            </w:tcBorders>
          </w:tcPr>
          <w:p w:rsidR="00000000" w:rsidRDefault="00457650">
            <w:pPr>
              <w:widowControl/>
              <w:tabs>
                <w:tab w:val="left" w:pos="630"/>
              </w:tabs>
              <w:spacing w:after="120" w:line="320" w:lineRule="exact"/>
              <w:jc w:val="center"/>
              <w:rPr>
                <w:sz w:val="18"/>
              </w:rPr>
            </w:pPr>
            <w:r>
              <w:rPr>
                <w:sz w:val="18"/>
              </w:rPr>
              <w:t>4 996</w:t>
            </w:r>
          </w:p>
        </w:tc>
        <w:tc>
          <w:tcPr>
            <w:tcW w:w="551" w:type="pct"/>
            <w:tcBorders>
              <w:top w:val="single" w:sz="4" w:space="0" w:color="auto"/>
            </w:tcBorders>
          </w:tcPr>
          <w:p w:rsidR="00000000" w:rsidRDefault="00457650">
            <w:pPr>
              <w:widowControl/>
              <w:tabs>
                <w:tab w:val="left" w:pos="630"/>
              </w:tabs>
              <w:spacing w:after="120" w:line="320" w:lineRule="exact"/>
              <w:jc w:val="center"/>
              <w:rPr>
                <w:sz w:val="18"/>
              </w:rPr>
            </w:pPr>
            <w:r>
              <w:rPr>
                <w:sz w:val="18"/>
              </w:rPr>
              <w:t>4 624</w:t>
            </w:r>
          </w:p>
        </w:tc>
        <w:tc>
          <w:tcPr>
            <w:tcW w:w="551" w:type="pct"/>
            <w:tcBorders>
              <w:top w:val="single" w:sz="4" w:space="0" w:color="auto"/>
            </w:tcBorders>
          </w:tcPr>
          <w:p w:rsidR="00000000" w:rsidRDefault="00457650">
            <w:pPr>
              <w:widowControl/>
              <w:tabs>
                <w:tab w:val="left" w:pos="630"/>
              </w:tabs>
              <w:spacing w:after="120" w:line="320" w:lineRule="exact"/>
              <w:jc w:val="center"/>
              <w:rPr>
                <w:sz w:val="18"/>
              </w:rPr>
            </w:pPr>
            <w:r>
              <w:rPr>
                <w:sz w:val="18"/>
              </w:rPr>
              <w:t>3 621</w:t>
            </w:r>
          </w:p>
        </w:tc>
      </w:tr>
      <w:tr w:rsidR="00000000">
        <w:tblPrEx>
          <w:tblCellMar>
            <w:top w:w="0" w:type="dxa"/>
            <w:bottom w:w="0" w:type="dxa"/>
          </w:tblCellMar>
        </w:tblPrEx>
        <w:trPr>
          <w:jc w:val="center"/>
        </w:trPr>
        <w:tc>
          <w:tcPr>
            <w:tcW w:w="1694" w:type="pct"/>
            <w:tcBorders>
              <w:bottom w:val="single" w:sz="4" w:space="0" w:color="auto"/>
            </w:tcBorders>
          </w:tcPr>
          <w:p w:rsidR="00000000" w:rsidRDefault="00457650">
            <w:pPr>
              <w:widowControl/>
              <w:tabs>
                <w:tab w:val="left" w:pos="630"/>
              </w:tabs>
              <w:spacing w:after="120" w:line="320" w:lineRule="exact"/>
              <w:rPr>
                <w:rFonts w:hint="eastAsia"/>
                <w:sz w:val="18"/>
              </w:rPr>
            </w:pPr>
            <w:r>
              <w:rPr>
                <w:rFonts w:hint="eastAsia"/>
                <w:sz w:val="18"/>
              </w:rPr>
              <w:t>消灭疟蚊栖息繁衍地项目实施地点</w:t>
            </w:r>
          </w:p>
        </w:tc>
        <w:tc>
          <w:tcPr>
            <w:tcW w:w="551" w:type="pct"/>
            <w:tcBorders>
              <w:bottom w:val="single" w:sz="4" w:space="0" w:color="auto"/>
            </w:tcBorders>
          </w:tcPr>
          <w:p w:rsidR="00000000" w:rsidRDefault="00457650">
            <w:pPr>
              <w:widowControl/>
              <w:tabs>
                <w:tab w:val="left" w:pos="630"/>
              </w:tabs>
              <w:spacing w:after="120" w:line="320" w:lineRule="exact"/>
              <w:jc w:val="center"/>
              <w:rPr>
                <w:sz w:val="18"/>
              </w:rPr>
            </w:pPr>
            <w:r>
              <w:rPr>
                <w:sz w:val="18"/>
              </w:rPr>
              <w:t>0</w:t>
            </w:r>
          </w:p>
        </w:tc>
        <w:tc>
          <w:tcPr>
            <w:tcW w:w="551" w:type="pct"/>
            <w:tcBorders>
              <w:bottom w:val="single" w:sz="4" w:space="0" w:color="auto"/>
            </w:tcBorders>
          </w:tcPr>
          <w:p w:rsidR="00000000" w:rsidRDefault="00457650">
            <w:pPr>
              <w:widowControl/>
              <w:tabs>
                <w:tab w:val="left" w:pos="630"/>
              </w:tabs>
              <w:spacing w:after="120" w:line="320" w:lineRule="exact"/>
              <w:jc w:val="center"/>
              <w:rPr>
                <w:sz w:val="18"/>
              </w:rPr>
            </w:pPr>
            <w:r>
              <w:rPr>
                <w:sz w:val="18"/>
              </w:rPr>
              <w:t>254</w:t>
            </w:r>
          </w:p>
        </w:tc>
        <w:tc>
          <w:tcPr>
            <w:tcW w:w="551" w:type="pct"/>
            <w:tcBorders>
              <w:bottom w:val="single" w:sz="4" w:space="0" w:color="auto"/>
            </w:tcBorders>
          </w:tcPr>
          <w:p w:rsidR="00000000" w:rsidRDefault="00457650">
            <w:pPr>
              <w:widowControl/>
              <w:tabs>
                <w:tab w:val="left" w:pos="630"/>
              </w:tabs>
              <w:spacing w:after="120" w:line="320" w:lineRule="exact"/>
              <w:jc w:val="center"/>
              <w:rPr>
                <w:sz w:val="18"/>
              </w:rPr>
            </w:pPr>
            <w:r>
              <w:rPr>
                <w:sz w:val="18"/>
              </w:rPr>
              <w:t>678</w:t>
            </w:r>
          </w:p>
        </w:tc>
        <w:tc>
          <w:tcPr>
            <w:tcW w:w="551" w:type="pct"/>
            <w:tcBorders>
              <w:bottom w:val="single" w:sz="4" w:space="0" w:color="auto"/>
            </w:tcBorders>
          </w:tcPr>
          <w:p w:rsidR="00000000" w:rsidRDefault="00457650">
            <w:pPr>
              <w:widowControl/>
              <w:tabs>
                <w:tab w:val="left" w:pos="630"/>
              </w:tabs>
              <w:spacing w:after="120" w:line="320" w:lineRule="exact"/>
              <w:jc w:val="center"/>
              <w:rPr>
                <w:sz w:val="18"/>
              </w:rPr>
            </w:pPr>
            <w:r>
              <w:rPr>
                <w:sz w:val="18"/>
              </w:rPr>
              <w:t>1 200</w:t>
            </w:r>
          </w:p>
        </w:tc>
        <w:tc>
          <w:tcPr>
            <w:tcW w:w="551" w:type="pct"/>
            <w:tcBorders>
              <w:bottom w:val="single" w:sz="4" w:space="0" w:color="auto"/>
            </w:tcBorders>
          </w:tcPr>
          <w:p w:rsidR="00000000" w:rsidRDefault="00457650">
            <w:pPr>
              <w:widowControl/>
              <w:tabs>
                <w:tab w:val="left" w:pos="630"/>
              </w:tabs>
              <w:spacing w:after="120" w:line="320" w:lineRule="exact"/>
              <w:jc w:val="center"/>
              <w:rPr>
                <w:sz w:val="18"/>
              </w:rPr>
            </w:pPr>
            <w:r>
              <w:rPr>
                <w:sz w:val="18"/>
              </w:rPr>
              <w:t>2 083</w:t>
            </w:r>
          </w:p>
        </w:tc>
        <w:tc>
          <w:tcPr>
            <w:tcW w:w="551" w:type="pct"/>
            <w:tcBorders>
              <w:bottom w:val="single" w:sz="4" w:space="0" w:color="auto"/>
            </w:tcBorders>
          </w:tcPr>
          <w:p w:rsidR="00000000" w:rsidRDefault="00457650">
            <w:pPr>
              <w:widowControl/>
              <w:tabs>
                <w:tab w:val="left" w:pos="630"/>
              </w:tabs>
              <w:spacing w:after="120" w:line="320" w:lineRule="exact"/>
              <w:jc w:val="center"/>
              <w:rPr>
                <w:sz w:val="18"/>
              </w:rPr>
            </w:pPr>
            <w:r>
              <w:rPr>
                <w:sz w:val="18"/>
              </w:rPr>
              <w:t>3 024</w:t>
            </w:r>
          </w:p>
        </w:tc>
      </w:tr>
    </w:tbl>
    <w:p w:rsidR="00000000" w:rsidRDefault="00457650">
      <w:pPr>
        <w:widowControl/>
        <w:tabs>
          <w:tab w:val="left" w:pos="630"/>
        </w:tabs>
        <w:spacing w:after="240" w:line="360" w:lineRule="exact"/>
        <w:rPr>
          <w:rFonts w:hint="eastAsia"/>
          <w:sz w:val="18"/>
        </w:rPr>
      </w:pPr>
      <w:r>
        <w:rPr>
          <w:rFonts w:eastAsia="KaiTi_GB2312" w:hint="eastAsia"/>
          <w:iCs/>
          <w:sz w:val="18"/>
        </w:rPr>
        <w:t>资料来源</w:t>
      </w:r>
      <w:r>
        <w:rPr>
          <w:rFonts w:hint="eastAsia"/>
          <w:sz w:val="18"/>
        </w:rPr>
        <w:t>：卫生部。</w:t>
      </w:r>
    </w:p>
    <w:p w:rsidR="00000000" w:rsidRDefault="00457650">
      <w:pPr>
        <w:pStyle w:val="Date"/>
        <w:keepNext/>
        <w:widowControl/>
        <w:tabs>
          <w:tab w:val="left" w:pos="630"/>
        </w:tabs>
        <w:spacing w:after="240" w:line="360" w:lineRule="exact"/>
        <w:rPr>
          <w:rFonts w:eastAsia="SimHei" w:hint="eastAsia"/>
        </w:rPr>
      </w:pPr>
      <w:r>
        <w:rPr>
          <w:rFonts w:eastAsia="SimHei" w:hint="eastAsia"/>
        </w:rPr>
        <w:tab/>
      </w:r>
      <w:r>
        <w:rPr>
          <w:rFonts w:eastAsia="SimHei" w:hint="eastAsia"/>
        </w:rPr>
        <w:t>盘尾丝虫病</w:t>
      </w:r>
    </w:p>
    <w:p w:rsidR="00000000" w:rsidRDefault="00457650">
      <w:pPr>
        <w:keepNext/>
        <w:widowControl/>
        <w:tabs>
          <w:tab w:val="left" w:pos="630"/>
        </w:tabs>
        <w:spacing w:after="240" w:line="360" w:lineRule="exact"/>
        <w:rPr>
          <w:rFonts w:hint="eastAsia"/>
        </w:rPr>
      </w:pPr>
      <w:r>
        <w:rPr>
          <w:rFonts w:hint="eastAsia"/>
        </w:rPr>
        <w:t>568.</w:t>
      </w:r>
      <w:r>
        <w:rPr>
          <w:rFonts w:hint="eastAsia"/>
        </w:rPr>
        <w:tab/>
      </w:r>
      <w:r>
        <w:rPr>
          <w:rFonts w:hint="eastAsia"/>
        </w:rPr>
        <w:t>盘尾丝虫病出现在墨西哥两个州（恰帕斯和瓦哈卡）的山区，这种地理状况使此种疾病很难控制。受此病影响的主要是土著居民，因此它成为高度边缘化群体的一个公共卫生难题。不过，这种疾病还没有从这两个州扩散。每年恰帕斯州南部重点地区的新发病率减少</w:t>
      </w:r>
      <w:r>
        <w:rPr>
          <w:rFonts w:hint="eastAsia"/>
        </w:rPr>
        <w:t>38.1%</w:t>
      </w:r>
      <w:r>
        <w:rPr>
          <w:rFonts w:hint="eastAsia"/>
        </w:rPr>
        <w:t>。过去</w:t>
      </w:r>
      <w:r>
        <w:rPr>
          <w:rFonts w:hint="eastAsia"/>
        </w:rPr>
        <w:t>3</w:t>
      </w:r>
      <w:r>
        <w:rPr>
          <w:rFonts w:hint="eastAsia"/>
        </w:rPr>
        <w:t>年适于接受</w:t>
      </w:r>
      <w:r>
        <w:rPr>
          <w:rFonts w:hint="eastAsia"/>
        </w:rPr>
        <w:t>Mectizan</w:t>
      </w:r>
      <w:r>
        <w:rPr>
          <w:rFonts w:hint="eastAsia"/>
        </w:rPr>
        <w:t>疗法的人群覆盖率保持在</w:t>
      </w:r>
      <w:r>
        <w:rPr>
          <w:rFonts w:hint="eastAsia"/>
        </w:rPr>
        <w:t>85%</w:t>
      </w:r>
      <w:r>
        <w:rPr>
          <w:rFonts w:hint="eastAsia"/>
        </w:rPr>
        <w:t>以上。</w:t>
      </w:r>
    </w:p>
    <w:p w:rsidR="00000000" w:rsidRDefault="00457650">
      <w:pPr>
        <w:widowControl/>
        <w:tabs>
          <w:tab w:val="left" w:pos="630"/>
        </w:tabs>
        <w:spacing w:after="240" w:line="360" w:lineRule="exact"/>
        <w:rPr>
          <w:rFonts w:hint="eastAsia"/>
        </w:rPr>
      </w:pPr>
      <w:r>
        <w:rPr>
          <w:noProof/>
          <w:sz w:val="20"/>
        </w:rPr>
        <w:pict>
          <v:shape id="_x0000_s1170" type="#_x0000_t202" style="position:absolute;left:0;text-align:left;margin-left:24pt;margin-top:.4pt;width:446.4pt;height:254.8pt;z-index:19">
            <v:textbox style="mso-next-textbox:#_x0000_s1170">
              <w:txbxContent>
                <w:p w:rsidR="00000000" w:rsidRDefault="00457650">
                  <w:pPr>
                    <w:jc w:val="left"/>
                    <w:rPr>
                      <w:rFonts w:hint="eastAsia"/>
                    </w:rPr>
                  </w:pPr>
                  <w:r>
                    <w:object w:dxaOrig="8220" w:dyaOrig="4740">
                      <v:shape id="_x0000_i1040" type="#_x0000_t75" style="width:411pt;height:237pt" o:ole="">
                        <v:imagedata r:id="rId163" o:title=""/>
                      </v:shape>
                      <o:OLEObject Type="Embed" ProgID="Excel.Chart.8" ShapeID="_x0000_i1040" DrawAspect="Content" ObjectID="_1394895087" r:id="rId164">
                        <o:FieldCodes>\s</o:FieldCodes>
                      </o:OLEObject>
                    </w:object>
                  </w:r>
                </w:p>
                <w:p w:rsidR="00000000" w:rsidRDefault="00457650">
                  <w:pPr>
                    <w:jc w:val="left"/>
                    <w:rPr>
                      <w:rFonts w:hint="eastAsia"/>
                    </w:rPr>
                  </w:pPr>
                </w:p>
              </w:txbxContent>
            </v:textbox>
          </v:shape>
        </w:pict>
      </w:r>
    </w:p>
    <w:p w:rsidR="00000000" w:rsidRDefault="00457650">
      <w:pPr>
        <w:widowControl/>
        <w:tabs>
          <w:tab w:val="left" w:pos="630"/>
        </w:tabs>
        <w:spacing w:after="240" w:line="360" w:lineRule="exact"/>
        <w:rPr>
          <w:rFonts w:hint="eastAsia"/>
        </w:rPr>
      </w:pPr>
    </w:p>
    <w:p w:rsidR="00000000" w:rsidRDefault="00457650">
      <w:pPr>
        <w:widowControl/>
        <w:tabs>
          <w:tab w:val="left" w:pos="630"/>
        </w:tabs>
        <w:spacing w:after="240" w:line="360" w:lineRule="exact"/>
        <w:rPr>
          <w:rFonts w:hint="eastAsia"/>
        </w:rPr>
      </w:pPr>
    </w:p>
    <w:p w:rsidR="00000000" w:rsidRDefault="00457650">
      <w:pPr>
        <w:widowControl/>
        <w:tabs>
          <w:tab w:val="left" w:pos="630"/>
        </w:tabs>
        <w:spacing w:after="240" w:line="360" w:lineRule="exact"/>
        <w:rPr>
          <w:rFonts w:hint="eastAsia"/>
        </w:rPr>
      </w:pPr>
    </w:p>
    <w:p w:rsidR="00000000" w:rsidRDefault="00457650">
      <w:pPr>
        <w:widowControl/>
        <w:tabs>
          <w:tab w:val="left" w:pos="630"/>
        </w:tabs>
        <w:spacing w:after="240" w:line="360" w:lineRule="exact"/>
        <w:rPr>
          <w:rFonts w:hint="eastAsia"/>
        </w:rPr>
      </w:pPr>
    </w:p>
    <w:p w:rsidR="00000000" w:rsidRDefault="00457650">
      <w:pPr>
        <w:widowControl/>
        <w:tabs>
          <w:tab w:val="left" w:pos="630"/>
        </w:tabs>
        <w:spacing w:after="240" w:line="360" w:lineRule="exact"/>
        <w:rPr>
          <w:rFonts w:hint="eastAsia"/>
        </w:rPr>
      </w:pPr>
    </w:p>
    <w:p w:rsidR="00000000" w:rsidRDefault="00457650">
      <w:pPr>
        <w:widowControl/>
        <w:tabs>
          <w:tab w:val="left" w:pos="630"/>
        </w:tabs>
        <w:spacing w:after="240" w:line="360" w:lineRule="exact"/>
        <w:rPr>
          <w:rFonts w:hint="eastAsia"/>
        </w:rPr>
      </w:pPr>
    </w:p>
    <w:p w:rsidR="00000000" w:rsidRDefault="00457650">
      <w:pPr>
        <w:widowControl/>
        <w:tabs>
          <w:tab w:val="left" w:pos="630"/>
        </w:tabs>
        <w:spacing w:after="240" w:line="360" w:lineRule="exact"/>
        <w:rPr>
          <w:rFonts w:hint="eastAsia"/>
        </w:rPr>
      </w:pPr>
      <w:r>
        <w:rPr>
          <w:noProof/>
          <w:sz w:val="20"/>
        </w:rPr>
        <w:pict>
          <v:shape id="_x0000_s1171" type="#_x0000_t202" style="position:absolute;left:0;text-align:left;margin-left:198pt;margin-top:19.2pt;width:66pt;height:20.8pt;z-index:20" filled="f" stroked="f">
            <v:textbox style="mso-next-textbox:#_x0000_s1171" inset=",.3mm">
              <w:txbxContent>
                <w:p w:rsidR="00000000" w:rsidRDefault="00457650">
                  <w:pPr>
                    <w:jc w:val="center"/>
                    <w:rPr>
                      <w:rFonts w:hint="eastAsia"/>
                      <w:sz w:val="18"/>
                    </w:rPr>
                  </w:pPr>
                  <w:r>
                    <w:rPr>
                      <w:rFonts w:hint="eastAsia"/>
                      <w:sz w:val="18"/>
                    </w:rPr>
                    <w:t>年份</w:t>
                  </w:r>
                </w:p>
              </w:txbxContent>
            </v:textbox>
          </v:shape>
        </w:pict>
      </w:r>
    </w:p>
    <w:p w:rsidR="00000000" w:rsidRDefault="00457650">
      <w:pPr>
        <w:pStyle w:val="Date"/>
        <w:widowControl/>
        <w:tabs>
          <w:tab w:val="left" w:pos="630"/>
        </w:tabs>
        <w:spacing w:line="360" w:lineRule="exact"/>
        <w:rPr>
          <w:rFonts w:hint="eastAsia"/>
        </w:rPr>
      </w:pPr>
    </w:p>
    <w:p w:rsidR="00000000" w:rsidRDefault="00457650" w:rsidP="00457650">
      <w:pPr>
        <w:widowControl/>
        <w:tabs>
          <w:tab w:val="left" w:pos="630"/>
        </w:tabs>
        <w:spacing w:after="240" w:line="360" w:lineRule="exact"/>
        <w:ind w:firstLineChars="300" w:firstLine="31680"/>
        <w:rPr>
          <w:rFonts w:hint="eastAsia"/>
          <w:sz w:val="18"/>
        </w:rPr>
      </w:pPr>
      <w:r>
        <w:rPr>
          <w:rFonts w:eastAsia="KaiTi_GB2312" w:hint="eastAsia"/>
          <w:iCs/>
          <w:sz w:val="18"/>
        </w:rPr>
        <w:t>资料来源</w:t>
      </w:r>
      <w:r>
        <w:rPr>
          <w:rFonts w:hint="eastAsia"/>
          <w:sz w:val="18"/>
        </w:rPr>
        <w:t>：卫生部。</w:t>
      </w:r>
    </w:p>
    <w:p w:rsidR="00000000" w:rsidRDefault="00457650">
      <w:pPr>
        <w:widowControl/>
        <w:tabs>
          <w:tab w:val="left" w:pos="630"/>
        </w:tabs>
        <w:spacing w:after="240" w:line="360" w:lineRule="exact"/>
        <w:rPr>
          <w:rFonts w:eastAsia="SimHei" w:hint="eastAsia"/>
        </w:rPr>
      </w:pPr>
      <w:r>
        <w:rPr>
          <w:rFonts w:eastAsia="SimHei" w:hint="eastAsia"/>
        </w:rPr>
        <w:tab/>
      </w:r>
      <w:r>
        <w:rPr>
          <w:rFonts w:eastAsia="SimHei" w:hint="eastAsia"/>
        </w:rPr>
        <w:t>肺结核</w:t>
      </w:r>
    </w:p>
    <w:p w:rsidR="00000000" w:rsidRDefault="00457650">
      <w:pPr>
        <w:widowControl/>
        <w:tabs>
          <w:tab w:val="left" w:pos="630"/>
        </w:tabs>
        <w:spacing w:after="240" w:line="360" w:lineRule="exact"/>
        <w:rPr>
          <w:rFonts w:hint="eastAsia"/>
        </w:rPr>
      </w:pPr>
      <w:r>
        <w:rPr>
          <w:rFonts w:hint="eastAsia"/>
        </w:rPr>
        <w:t>569.</w:t>
      </w:r>
      <w:r>
        <w:rPr>
          <w:rFonts w:hint="eastAsia"/>
        </w:rPr>
        <w:tab/>
      </w:r>
      <w:r>
        <w:rPr>
          <w:rFonts w:hint="eastAsia"/>
        </w:rPr>
        <w:t>肺结核是墨西哥的一个主要公共卫生问题和</w:t>
      </w:r>
      <w:r>
        <w:rPr>
          <w:rFonts w:hint="eastAsia"/>
        </w:rPr>
        <w:t>健康重点。它可能影响到任何人群，但大多集中在男女工作年龄人群。过去</w:t>
      </w:r>
      <w:r>
        <w:rPr>
          <w:rFonts w:hint="eastAsia"/>
        </w:rPr>
        <w:t>5</w:t>
      </w:r>
      <w:r>
        <w:rPr>
          <w:rFonts w:hint="eastAsia"/>
        </w:rPr>
        <w:t>年来肺结核发病率趋势一直保持稳定，在</w:t>
      </w:r>
      <w:r>
        <w:rPr>
          <w:rFonts w:hint="eastAsia"/>
        </w:rPr>
        <w:t>15</w:t>
      </w:r>
      <w:r>
        <w:rPr>
          <w:rFonts w:hint="eastAsia"/>
        </w:rPr>
        <w:t>岁以上的成年人中，每</w:t>
      </w:r>
      <w:r>
        <w:rPr>
          <w:rFonts w:hint="eastAsia"/>
        </w:rPr>
        <w:t>100 000</w:t>
      </w:r>
      <w:r>
        <w:rPr>
          <w:rFonts w:hint="eastAsia"/>
        </w:rPr>
        <w:t>人的发病率保持在</w:t>
      </w:r>
      <w:r>
        <w:rPr>
          <w:rFonts w:hint="eastAsia"/>
        </w:rPr>
        <w:t>20</w:t>
      </w:r>
      <w:r>
        <w:rPr>
          <w:rFonts w:hint="eastAsia"/>
        </w:rPr>
        <w:t>例左右。</w:t>
      </w:r>
    </w:p>
    <w:p w:rsidR="00000000" w:rsidRDefault="00457650">
      <w:pPr>
        <w:widowControl/>
        <w:tabs>
          <w:tab w:val="left" w:pos="630"/>
        </w:tabs>
        <w:spacing w:after="240" w:line="360" w:lineRule="exact"/>
        <w:rPr>
          <w:rFonts w:hint="eastAsia"/>
        </w:rPr>
      </w:pPr>
      <w:r>
        <w:rPr>
          <w:rFonts w:hint="eastAsia"/>
        </w:rPr>
        <w:t>570.</w:t>
      </w:r>
      <w:r>
        <w:rPr>
          <w:rFonts w:hint="eastAsia"/>
        </w:rPr>
        <w:tab/>
        <w:t>2001</w:t>
      </w:r>
      <w:r>
        <w:rPr>
          <w:rFonts w:hint="eastAsia"/>
        </w:rPr>
        <w:t>年同</w:t>
      </w:r>
      <w:r>
        <w:rPr>
          <w:rFonts w:hint="eastAsia"/>
        </w:rPr>
        <w:t>2000</w:t>
      </w:r>
      <w:r>
        <w:rPr>
          <w:rFonts w:hint="eastAsia"/>
        </w:rPr>
        <w:t>年相比，肺结核导致的死亡率下降了</w:t>
      </w:r>
      <w:r>
        <w:rPr>
          <w:rFonts w:hint="eastAsia"/>
        </w:rPr>
        <w:t>0.04%</w:t>
      </w:r>
      <w:r>
        <w:rPr>
          <w:rFonts w:hint="eastAsia"/>
        </w:rPr>
        <w:t>。目前的治愈率是</w:t>
      </w:r>
      <w:r>
        <w:rPr>
          <w:rFonts w:hint="eastAsia"/>
        </w:rPr>
        <w:t>83%</w:t>
      </w:r>
      <w:r>
        <w:rPr>
          <w:rFonts w:hint="eastAsia"/>
        </w:rPr>
        <w:t>（目标是</w:t>
      </w:r>
      <w:r>
        <w:rPr>
          <w:rFonts w:hint="eastAsia"/>
        </w:rPr>
        <w:t>90%</w:t>
      </w:r>
      <w:r>
        <w:rPr>
          <w:rFonts w:hint="eastAsia"/>
        </w:rPr>
        <w:t>）。抗药性病例的有效治疗上升了</w:t>
      </w:r>
      <w:r>
        <w:rPr>
          <w:rFonts w:hint="eastAsia"/>
        </w:rPr>
        <w:t>50%</w:t>
      </w:r>
      <w:r>
        <w:rPr>
          <w:rFonts w:hint="eastAsia"/>
        </w:rPr>
        <w:t>。</w:t>
      </w:r>
    </w:p>
    <w:p w:rsidR="00000000" w:rsidRDefault="00457650">
      <w:pPr>
        <w:widowControl/>
        <w:tabs>
          <w:tab w:val="left" w:pos="630"/>
        </w:tabs>
        <w:spacing w:after="240" w:line="360" w:lineRule="exact"/>
        <w:rPr>
          <w:rFonts w:hint="eastAsia"/>
        </w:rPr>
      </w:pPr>
      <w:r>
        <w:rPr>
          <w:rFonts w:hint="eastAsia"/>
        </w:rPr>
        <w:t>571.</w:t>
      </w:r>
      <w:r>
        <w:rPr>
          <w:rFonts w:hint="eastAsia"/>
        </w:rPr>
        <w:tab/>
      </w:r>
      <w:r>
        <w:rPr>
          <w:rFonts w:hint="eastAsia"/>
        </w:rPr>
        <w:t>为及时诊断发现新病例，共进行了</w:t>
      </w:r>
      <w:r>
        <w:rPr>
          <w:rFonts w:hint="eastAsia"/>
        </w:rPr>
        <w:t>600 000</w:t>
      </w:r>
      <w:r>
        <w:rPr>
          <w:rFonts w:hint="eastAsia"/>
        </w:rPr>
        <w:t>次细菌观察，对</w:t>
      </w:r>
      <w:r>
        <w:rPr>
          <w:rFonts w:hint="eastAsia"/>
        </w:rPr>
        <w:t>95%</w:t>
      </w:r>
      <w:r>
        <w:rPr>
          <w:rFonts w:hint="eastAsia"/>
        </w:rPr>
        <w:t>的患者接触者进行了流行病学调查，以便预防可能的传染。</w:t>
      </w:r>
    </w:p>
    <w:p w:rsidR="00000000" w:rsidRDefault="00457650">
      <w:pPr>
        <w:widowControl/>
        <w:tabs>
          <w:tab w:val="left" w:pos="630"/>
        </w:tabs>
        <w:spacing w:after="240" w:line="360" w:lineRule="exact"/>
        <w:rPr>
          <w:rFonts w:hint="eastAsia"/>
        </w:rPr>
      </w:pPr>
      <w:r>
        <w:rPr>
          <w:rFonts w:hint="eastAsia"/>
        </w:rPr>
        <w:t>572.</w:t>
      </w:r>
      <w:r>
        <w:rPr>
          <w:rFonts w:hint="eastAsia"/>
        </w:rPr>
        <w:tab/>
      </w:r>
      <w:r>
        <w:rPr>
          <w:rFonts w:hint="eastAsia"/>
        </w:rPr>
        <w:t>建立了墨西哥肺结核护理网，有</w:t>
      </w:r>
      <w:r>
        <w:rPr>
          <w:rFonts w:hint="eastAsia"/>
        </w:rPr>
        <w:t>32</w:t>
      </w:r>
      <w:r>
        <w:rPr>
          <w:rFonts w:hint="eastAsia"/>
        </w:rPr>
        <w:t>个州参加，雇用了</w:t>
      </w:r>
      <w:r>
        <w:rPr>
          <w:rFonts w:hint="eastAsia"/>
        </w:rPr>
        <w:t>250</w:t>
      </w:r>
      <w:r>
        <w:rPr>
          <w:rFonts w:hint="eastAsia"/>
        </w:rPr>
        <w:t>多名护士和专业工作人员。此外，在全国开展了“世界肺结核日”，举办了</w:t>
      </w:r>
      <w:r>
        <w:rPr>
          <w:rFonts w:hint="eastAsia"/>
        </w:rPr>
        <w:t>25 000</w:t>
      </w:r>
      <w:r>
        <w:rPr>
          <w:rFonts w:hint="eastAsia"/>
        </w:rPr>
        <w:t>多次讲座，共有</w:t>
      </w:r>
      <w:r>
        <w:rPr>
          <w:rFonts w:hint="eastAsia"/>
        </w:rPr>
        <w:t>380 000</w:t>
      </w:r>
      <w:r>
        <w:rPr>
          <w:rFonts w:hint="eastAsia"/>
        </w:rPr>
        <w:t>多人参加，发放了</w:t>
      </w:r>
      <w:r>
        <w:rPr>
          <w:rFonts w:hint="eastAsia"/>
        </w:rPr>
        <w:t>488 000</w:t>
      </w:r>
      <w:r>
        <w:rPr>
          <w:rFonts w:hint="eastAsia"/>
        </w:rPr>
        <w:t>多份教育传单，通过广播、电视和报纸报道了</w:t>
      </w:r>
      <w:r>
        <w:rPr>
          <w:rFonts w:hint="eastAsia"/>
        </w:rPr>
        <w:t>6 300</w:t>
      </w:r>
      <w:r>
        <w:rPr>
          <w:rFonts w:hint="eastAsia"/>
        </w:rPr>
        <w:t>条消息。在全国、各州、地区和地方举办了多项活动，其中包括社会和学术活动，国家和国际组织纷纷参与，在活动过程中敦促保健工作人员不遗余力地实现“在墨西哥消灭肺结核”的目标。</w:t>
      </w:r>
    </w:p>
    <w:p w:rsidR="00000000" w:rsidRDefault="00457650">
      <w:pPr>
        <w:widowControl/>
        <w:tabs>
          <w:tab w:val="left" w:pos="630"/>
        </w:tabs>
        <w:spacing w:after="240" w:line="360" w:lineRule="exact"/>
        <w:rPr>
          <w:rFonts w:hint="eastAsia"/>
        </w:rPr>
      </w:pPr>
      <w:r>
        <w:rPr>
          <w:rFonts w:hint="eastAsia"/>
        </w:rPr>
        <w:t>573.</w:t>
      </w:r>
      <w:r>
        <w:rPr>
          <w:rFonts w:hint="eastAsia"/>
        </w:rPr>
        <w:tab/>
      </w:r>
      <w:r>
        <w:rPr>
          <w:rFonts w:hint="eastAsia"/>
        </w:rPr>
        <w:t>同美国开展双边合作，以便加强两国病人转诊和病例管理系统，向患上肺结核的移民颁发两国肺结核健康卡，以便保证治疗的持续性，支持“健康离开，健康返回”方</w:t>
      </w:r>
      <w:r>
        <w:rPr>
          <w:rFonts w:hint="eastAsia"/>
        </w:rPr>
        <w:t>案。</w:t>
      </w:r>
    </w:p>
    <w:p w:rsidR="00000000" w:rsidRDefault="00457650">
      <w:pPr>
        <w:widowControl/>
        <w:tabs>
          <w:tab w:val="left" w:pos="630"/>
        </w:tabs>
        <w:spacing w:after="240" w:line="360" w:lineRule="exact"/>
        <w:rPr>
          <w:rFonts w:hint="eastAsia"/>
        </w:rPr>
      </w:pPr>
      <w:r>
        <w:rPr>
          <w:rFonts w:hint="eastAsia"/>
        </w:rPr>
        <w:t>574.</w:t>
      </w:r>
      <w:r>
        <w:rPr>
          <w:rFonts w:hint="eastAsia"/>
        </w:rPr>
        <w:tab/>
      </w:r>
      <w:r>
        <w:rPr>
          <w:rFonts w:hint="eastAsia"/>
        </w:rPr>
        <w:t>墨西哥代表美洲参加了世界卫生组织的阻止肺结核全球倡议。</w:t>
      </w:r>
    </w:p>
    <w:p w:rsidR="00000000" w:rsidRDefault="00457650">
      <w:pPr>
        <w:keepNext/>
        <w:widowControl/>
        <w:tabs>
          <w:tab w:val="left" w:pos="630"/>
        </w:tabs>
        <w:spacing w:after="240" w:line="360" w:lineRule="exact"/>
        <w:rPr>
          <w:rFonts w:eastAsia="SimHei" w:hint="eastAsia"/>
        </w:rPr>
      </w:pPr>
      <w:r>
        <w:rPr>
          <w:rFonts w:eastAsia="SimHei" w:hint="eastAsia"/>
        </w:rPr>
        <w:tab/>
      </w:r>
      <w:r>
        <w:rPr>
          <w:rFonts w:eastAsia="SimHei" w:hint="eastAsia"/>
        </w:rPr>
        <w:t>艾滋病毒</w:t>
      </w:r>
      <w:r>
        <w:rPr>
          <w:rFonts w:eastAsia="SimHei" w:hint="eastAsia"/>
        </w:rPr>
        <w:t>/</w:t>
      </w:r>
      <w:r>
        <w:rPr>
          <w:rFonts w:eastAsia="SimHei" w:hint="eastAsia"/>
        </w:rPr>
        <w:t>艾滋病</w:t>
      </w:r>
    </w:p>
    <w:p w:rsidR="00000000" w:rsidRDefault="00457650">
      <w:pPr>
        <w:keepNext/>
        <w:widowControl/>
        <w:tabs>
          <w:tab w:val="left" w:pos="630"/>
        </w:tabs>
        <w:spacing w:after="240" w:line="360" w:lineRule="exact"/>
        <w:rPr>
          <w:rFonts w:hint="eastAsia"/>
        </w:rPr>
      </w:pPr>
      <w:r>
        <w:rPr>
          <w:rFonts w:hint="eastAsia"/>
        </w:rPr>
        <w:t>575.</w:t>
      </w:r>
      <w:r>
        <w:rPr>
          <w:rFonts w:hint="eastAsia"/>
        </w:rPr>
        <w:tab/>
      </w:r>
      <w:r>
        <w:rPr>
          <w:rFonts w:hint="eastAsia"/>
        </w:rPr>
        <w:t>过去</w:t>
      </w:r>
      <w:r>
        <w:rPr>
          <w:rFonts w:hint="eastAsia"/>
        </w:rPr>
        <w:t>3</w:t>
      </w:r>
      <w:r>
        <w:rPr>
          <w:rFonts w:hint="eastAsia"/>
        </w:rPr>
        <w:t>年来，墨西哥的艾滋病发病率平均每年增加</w:t>
      </w:r>
      <w:r>
        <w:rPr>
          <w:rFonts w:hint="eastAsia"/>
        </w:rPr>
        <w:t>3%</w:t>
      </w:r>
      <w:r>
        <w:rPr>
          <w:rFonts w:hint="eastAsia"/>
        </w:rPr>
        <w:t>。尽管</w:t>
      </w:r>
      <w:r>
        <w:rPr>
          <w:rFonts w:hint="eastAsia"/>
        </w:rPr>
        <w:t>2003</w:t>
      </w:r>
      <w:r>
        <w:rPr>
          <w:rFonts w:hint="eastAsia"/>
        </w:rPr>
        <w:t>年诊断的艾滋病病例总数高于前一年，但其比率相对保持不变，即</w:t>
      </w:r>
      <w:r>
        <w:rPr>
          <w:rFonts w:hint="eastAsia"/>
        </w:rPr>
        <w:t>2002</w:t>
      </w:r>
      <w:r>
        <w:rPr>
          <w:rFonts w:hint="eastAsia"/>
        </w:rPr>
        <w:t>年和</w:t>
      </w:r>
      <w:r>
        <w:rPr>
          <w:rFonts w:hint="eastAsia"/>
        </w:rPr>
        <w:t>2003</w:t>
      </w:r>
      <w:r>
        <w:rPr>
          <w:rFonts w:hint="eastAsia"/>
        </w:rPr>
        <w:t>年都保持了</w:t>
      </w:r>
      <w:r>
        <w:rPr>
          <w:rFonts w:hint="eastAsia"/>
        </w:rPr>
        <w:t>4.8%</w:t>
      </w:r>
      <w:r>
        <w:rPr>
          <w:rFonts w:hint="eastAsia"/>
        </w:rPr>
        <w:t>。</w:t>
      </w:r>
    </w:p>
    <w:p w:rsidR="00000000" w:rsidRDefault="00457650">
      <w:pPr>
        <w:widowControl/>
        <w:tabs>
          <w:tab w:val="left" w:pos="630"/>
        </w:tabs>
        <w:spacing w:after="240" w:line="360" w:lineRule="exact"/>
        <w:rPr>
          <w:rFonts w:hint="eastAsia"/>
        </w:rPr>
      </w:pPr>
      <w:r>
        <w:rPr>
          <w:rFonts w:hint="eastAsia"/>
        </w:rPr>
        <w:t>576.</w:t>
      </w:r>
      <w:r>
        <w:rPr>
          <w:rFonts w:hint="eastAsia"/>
        </w:rPr>
        <w:tab/>
      </w:r>
      <w:r>
        <w:rPr>
          <w:rFonts w:hint="eastAsia"/>
        </w:rPr>
        <w:t>为了向感染艾滋病毒</w:t>
      </w:r>
      <w:r>
        <w:rPr>
          <w:rFonts w:hint="eastAsia"/>
        </w:rPr>
        <w:t>/</w:t>
      </w:r>
      <w:r>
        <w:rPr>
          <w:rFonts w:hint="eastAsia"/>
        </w:rPr>
        <w:t>艾滋病的患者提供医疗保健，墨西哥拨出</w:t>
      </w:r>
      <w:r>
        <w:rPr>
          <w:rFonts w:hint="eastAsia"/>
        </w:rPr>
        <w:t>3</w:t>
      </w:r>
      <w:r>
        <w:rPr>
          <w:rFonts w:hint="eastAsia"/>
        </w:rPr>
        <w:t>亿比索为没参加社会保险的最缺乏保护的人群购买抗逆转录酶病毒药物。这笔资金用于保证</w:t>
      </w:r>
      <w:r>
        <w:rPr>
          <w:rFonts w:hint="eastAsia"/>
        </w:rPr>
        <w:t>3 000</w:t>
      </w:r>
      <w:r>
        <w:rPr>
          <w:rFonts w:hint="eastAsia"/>
        </w:rPr>
        <w:t>多名患者的持续治疗并进一步又接纳了</w:t>
      </w:r>
      <w:r>
        <w:rPr>
          <w:rFonts w:hint="eastAsia"/>
        </w:rPr>
        <w:t>3 400</w:t>
      </w:r>
      <w:r>
        <w:rPr>
          <w:rFonts w:hint="eastAsia"/>
        </w:rPr>
        <w:t>名新患者。州政府还将照管另外</w:t>
      </w:r>
      <w:r>
        <w:rPr>
          <w:rFonts w:hint="eastAsia"/>
        </w:rPr>
        <w:t>2 961</w:t>
      </w:r>
      <w:r>
        <w:rPr>
          <w:rFonts w:hint="eastAsia"/>
        </w:rPr>
        <w:t>名患者。</w:t>
      </w:r>
    </w:p>
    <w:p w:rsidR="00000000" w:rsidRDefault="00457650">
      <w:pPr>
        <w:widowControl/>
        <w:tabs>
          <w:tab w:val="left" w:pos="630"/>
        </w:tabs>
        <w:spacing w:after="240" w:line="360" w:lineRule="exact"/>
        <w:jc w:val="center"/>
        <w:rPr>
          <w:rFonts w:ascii="SimHei" w:eastAsia="SimHei" w:hint="eastAsia"/>
        </w:rPr>
      </w:pPr>
      <w:r>
        <w:rPr>
          <w:rFonts w:ascii="SimHei" w:eastAsia="SimHei" w:hint="eastAsia"/>
        </w:rPr>
        <w:t>2000</w:t>
      </w:r>
      <w:r>
        <w:rPr>
          <w:rFonts w:ascii="SimHei" w:eastAsia="SimHei"/>
        </w:rPr>
        <w:t>-</w:t>
      </w:r>
      <w:r>
        <w:rPr>
          <w:rFonts w:ascii="SimHei" w:eastAsia="SimHei" w:hint="eastAsia"/>
        </w:rPr>
        <w:t>2003</w:t>
      </w:r>
      <w:r>
        <w:rPr>
          <w:rFonts w:ascii="SimHei" w:eastAsia="SimHei" w:hint="eastAsia"/>
        </w:rPr>
        <w:t>年艾滋病趋势指标</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4"/>
        <w:gridCol w:w="1258"/>
        <w:gridCol w:w="1257"/>
        <w:gridCol w:w="1257"/>
        <w:gridCol w:w="1257"/>
        <w:gridCol w:w="1257"/>
        <w:gridCol w:w="1139"/>
      </w:tblGrid>
      <w:tr w:rsidR="00000000">
        <w:trPr>
          <w:cantSplit/>
        </w:trPr>
        <w:tc>
          <w:tcPr>
            <w:tcW w:w="1226" w:type="pct"/>
            <w:vMerge w:val="restart"/>
            <w:vAlign w:val="center"/>
          </w:tcPr>
          <w:p w:rsidR="00000000" w:rsidRDefault="00457650">
            <w:pPr>
              <w:widowControl/>
              <w:tabs>
                <w:tab w:val="left" w:pos="630"/>
              </w:tabs>
              <w:spacing w:after="60" w:line="320" w:lineRule="exact"/>
              <w:jc w:val="center"/>
              <w:rPr>
                <w:rFonts w:ascii="KaiTi_GB2312" w:eastAsia="KaiTi_GB2312" w:hint="eastAsia"/>
                <w:iCs/>
                <w:sz w:val="18"/>
              </w:rPr>
            </w:pPr>
            <w:r>
              <w:rPr>
                <w:rFonts w:ascii="KaiTi_GB2312" w:eastAsia="KaiTi_GB2312" w:hint="eastAsia"/>
                <w:iCs/>
                <w:sz w:val="18"/>
              </w:rPr>
              <w:t>项别</w:t>
            </w:r>
          </w:p>
        </w:tc>
        <w:tc>
          <w:tcPr>
            <w:tcW w:w="639" w:type="pct"/>
            <w:vMerge w:val="restart"/>
            <w:vAlign w:val="center"/>
          </w:tcPr>
          <w:p w:rsidR="00000000" w:rsidRDefault="00457650">
            <w:pPr>
              <w:widowControl/>
              <w:tabs>
                <w:tab w:val="left" w:pos="630"/>
              </w:tabs>
              <w:spacing w:after="60" w:line="320" w:lineRule="exact"/>
              <w:jc w:val="center"/>
              <w:rPr>
                <w:rFonts w:ascii="KaiTi_GB2312" w:eastAsia="KaiTi_GB2312" w:hint="eastAsia"/>
                <w:iCs/>
                <w:sz w:val="18"/>
              </w:rPr>
            </w:pPr>
            <w:r>
              <w:rPr>
                <w:rFonts w:ascii="KaiTi_GB2312" w:eastAsia="KaiTi_GB2312" w:hint="eastAsia"/>
                <w:iCs/>
                <w:sz w:val="18"/>
              </w:rPr>
              <w:t>2000</w:t>
            </w:r>
            <w:r>
              <w:rPr>
                <w:rFonts w:ascii="KaiTi_GB2312" w:eastAsia="KaiTi_GB2312" w:hint="eastAsia"/>
                <w:iCs/>
                <w:sz w:val="18"/>
              </w:rPr>
              <w:t>年</w:t>
            </w:r>
          </w:p>
        </w:tc>
        <w:tc>
          <w:tcPr>
            <w:tcW w:w="639" w:type="pct"/>
            <w:vMerge w:val="restart"/>
            <w:vAlign w:val="center"/>
          </w:tcPr>
          <w:p w:rsidR="00000000" w:rsidRDefault="00457650">
            <w:pPr>
              <w:widowControl/>
              <w:tabs>
                <w:tab w:val="left" w:pos="630"/>
              </w:tabs>
              <w:spacing w:after="60" w:line="320" w:lineRule="exact"/>
              <w:jc w:val="center"/>
              <w:rPr>
                <w:rFonts w:ascii="KaiTi_GB2312" w:eastAsia="KaiTi_GB2312" w:hint="eastAsia"/>
                <w:iCs/>
                <w:sz w:val="18"/>
              </w:rPr>
            </w:pPr>
            <w:r>
              <w:rPr>
                <w:rFonts w:ascii="KaiTi_GB2312" w:eastAsia="KaiTi_GB2312" w:hint="eastAsia"/>
                <w:iCs/>
                <w:sz w:val="18"/>
              </w:rPr>
              <w:t>2001</w:t>
            </w:r>
            <w:r>
              <w:rPr>
                <w:rFonts w:ascii="KaiTi_GB2312" w:eastAsia="KaiTi_GB2312" w:hint="eastAsia"/>
                <w:iCs/>
                <w:sz w:val="18"/>
              </w:rPr>
              <w:t>年</w:t>
            </w:r>
          </w:p>
        </w:tc>
        <w:tc>
          <w:tcPr>
            <w:tcW w:w="639" w:type="pct"/>
            <w:vMerge w:val="restart"/>
            <w:vAlign w:val="center"/>
          </w:tcPr>
          <w:p w:rsidR="00000000" w:rsidRDefault="00457650">
            <w:pPr>
              <w:widowControl/>
              <w:tabs>
                <w:tab w:val="left" w:pos="630"/>
              </w:tabs>
              <w:spacing w:after="60" w:line="320" w:lineRule="exact"/>
              <w:jc w:val="center"/>
              <w:rPr>
                <w:rFonts w:ascii="KaiTi_GB2312" w:eastAsia="KaiTi_GB2312" w:hint="eastAsia"/>
                <w:iCs/>
                <w:sz w:val="18"/>
              </w:rPr>
            </w:pPr>
            <w:r>
              <w:rPr>
                <w:rFonts w:ascii="KaiTi_GB2312" w:eastAsia="KaiTi_GB2312" w:hint="eastAsia"/>
                <w:iCs/>
                <w:sz w:val="18"/>
              </w:rPr>
              <w:t>2002</w:t>
            </w:r>
            <w:r>
              <w:rPr>
                <w:rFonts w:ascii="KaiTi_GB2312" w:eastAsia="KaiTi_GB2312" w:hint="eastAsia"/>
                <w:iCs/>
                <w:sz w:val="18"/>
              </w:rPr>
              <w:t>年</w:t>
            </w:r>
          </w:p>
        </w:tc>
        <w:tc>
          <w:tcPr>
            <w:tcW w:w="1858" w:type="pct"/>
            <w:gridSpan w:val="3"/>
            <w:vAlign w:val="center"/>
          </w:tcPr>
          <w:p w:rsidR="00000000" w:rsidRDefault="00457650">
            <w:pPr>
              <w:widowControl/>
              <w:tabs>
                <w:tab w:val="left" w:pos="630"/>
              </w:tabs>
              <w:spacing w:after="60" w:line="320" w:lineRule="exact"/>
              <w:jc w:val="center"/>
              <w:rPr>
                <w:rFonts w:ascii="KaiTi_GB2312" w:eastAsia="KaiTi_GB2312" w:hint="eastAsia"/>
                <w:iCs/>
                <w:sz w:val="18"/>
              </w:rPr>
            </w:pPr>
            <w:r>
              <w:rPr>
                <w:rFonts w:ascii="KaiTi_GB2312" w:eastAsia="KaiTi_GB2312" w:hint="eastAsia"/>
                <w:iCs/>
                <w:sz w:val="18"/>
              </w:rPr>
              <w:t>2003</w:t>
            </w:r>
            <w:r>
              <w:rPr>
                <w:rFonts w:ascii="KaiTi_GB2312" w:eastAsia="KaiTi_GB2312" w:hint="eastAsia"/>
                <w:iCs/>
                <w:sz w:val="18"/>
              </w:rPr>
              <w:t>年</w:t>
            </w:r>
          </w:p>
        </w:tc>
      </w:tr>
      <w:tr w:rsidR="00000000">
        <w:trPr>
          <w:cantSplit/>
        </w:trPr>
        <w:tc>
          <w:tcPr>
            <w:tcW w:w="1226" w:type="pct"/>
            <w:vMerge/>
            <w:vAlign w:val="center"/>
          </w:tcPr>
          <w:p w:rsidR="00000000" w:rsidRDefault="00457650">
            <w:pPr>
              <w:widowControl/>
              <w:tabs>
                <w:tab w:val="left" w:pos="630"/>
              </w:tabs>
              <w:spacing w:after="60" w:line="320" w:lineRule="exact"/>
              <w:jc w:val="center"/>
              <w:rPr>
                <w:rFonts w:ascii="KaiTi_GB2312" w:eastAsia="KaiTi_GB2312" w:hint="eastAsia"/>
                <w:iCs/>
                <w:sz w:val="18"/>
              </w:rPr>
            </w:pPr>
          </w:p>
        </w:tc>
        <w:tc>
          <w:tcPr>
            <w:tcW w:w="639" w:type="pct"/>
            <w:vMerge/>
            <w:vAlign w:val="center"/>
          </w:tcPr>
          <w:p w:rsidR="00000000" w:rsidRDefault="00457650">
            <w:pPr>
              <w:widowControl/>
              <w:tabs>
                <w:tab w:val="left" w:pos="630"/>
              </w:tabs>
              <w:spacing w:after="60" w:line="320" w:lineRule="exact"/>
              <w:jc w:val="center"/>
              <w:rPr>
                <w:rFonts w:ascii="KaiTi_GB2312" w:eastAsia="KaiTi_GB2312" w:hint="eastAsia"/>
                <w:iCs/>
                <w:sz w:val="18"/>
              </w:rPr>
            </w:pPr>
          </w:p>
        </w:tc>
        <w:tc>
          <w:tcPr>
            <w:tcW w:w="639" w:type="pct"/>
            <w:vMerge/>
            <w:vAlign w:val="center"/>
          </w:tcPr>
          <w:p w:rsidR="00000000" w:rsidRDefault="00457650">
            <w:pPr>
              <w:widowControl/>
              <w:tabs>
                <w:tab w:val="left" w:pos="630"/>
              </w:tabs>
              <w:spacing w:after="60" w:line="320" w:lineRule="exact"/>
              <w:jc w:val="center"/>
              <w:rPr>
                <w:rFonts w:ascii="KaiTi_GB2312" w:eastAsia="KaiTi_GB2312" w:hint="eastAsia"/>
                <w:iCs/>
                <w:sz w:val="18"/>
              </w:rPr>
            </w:pPr>
          </w:p>
        </w:tc>
        <w:tc>
          <w:tcPr>
            <w:tcW w:w="639" w:type="pct"/>
            <w:vMerge/>
            <w:vAlign w:val="center"/>
          </w:tcPr>
          <w:p w:rsidR="00000000" w:rsidRDefault="00457650">
            <w:pPr>
              <w:widowControl/>
              <w:tabs>
                <w:tab w:val="left" w:pos="630"/>
              </w:tabs>
              <w:spacing w:after="60" w:line="320" w:lineRule="exact"/>
              <w:jc w:val="center"/>
              <w:rPr>
                <w:rFonts w:ascii="KaiTi_GB2312" w:eastAsia="KaiTi_GB2312" w:hint="eastAsia"/>
                <w:iCs/>
                <w:sz w:val="18"/>
              </w:rPr>
            </w:pPr>
          </w:p>
        </w:tc>
        <w:tc>
          <w:tcPr>
            <w:tcW w:w="639" w:type="pct"/>
            <w:vMerge w:val="restart"/>
            <w:vAlign w:val="center"/>
          </w:tcPr>
          <w:p w:rsidR="00000000" w:rsidRDefault="00457650">
            <w:pPr>
              <w:widowControl/>
              <w:tabs>
                <w:tab w:val="left" w:pos="630"/>
              </w:tabs>
              <w:spacing w:after="60" w:line="320" w:lineRule="exact"/>
              <w:jc w:val="center"/>
              <w:rPr>
                <w:rFonts w:ascii="KaiTi_GB2312" w:eastAsia="KaiTi_GB2312" w:hint="eastAsia"/>
                <w:iCs/>
                <w:sz w:val="18"/>
              </w:rPr>
            </w:pPr>
            <w:r>
              <w:rPr>
                <w:rFonts w:ascii="KaiTi_GB2312" w:eastAsia="KaiTi_GB2312" w:hint="eastAsia"/>
                <w:iCs/>
                <w:sz w:val="18"/>
              </w:rPr>
              <w:t>观测数据</w:t>
            </w:r>
          </w:p>
        </w:tc>
        <w:tc>
          <w:tcPr>
            <w:tcW w:w="1219" w:type="pct"/>
            <w:gridSpan w:val="2"/>
            <w:vAlign w:val="center"/>
          </w:tcPr>
          <w:p w:rsidR="00000000" w:rsidRDefault="00457650">
            <w:pPr>
              <w:widowControl/>
              <w:tabs>
                <w:tab w:val="left" w:pos="630"/>
              </w:tabs>
              <w:spacing w:after="60" w:line="320" w:lineRule="exact"/>
              <w:jc w:val="center"/>
              <w:rPr>
                <w:rFonts w:ascii="KaiTi_GB2312" w:eastAsia="KaiTi_GB2312" w:hint="eastAsia"/>
                <w:iCs/>
                <w:sz w:val="18"/>
              </w:rPr>
            </w:pPr>
            <w:r>
              <w:rPr>
                <w:rFonts w:ascii="KaiTi_GB2312" w:eastAsia="KaiTi_GB2312" w:hint="eastAsia"/>
                <w:iCs/>
                <w:sz w:val="18"/>
              </w:rPr>
              <w:t>百分比变化比较</w:t>
            </w:r>
          </w:p>
        </w:tc>
      </w:tr>
      <w:tr w:rsidR="00000000">
        <w:trPr>
          <w:cantSplit/>
        </w:trPr>
        <w:tc>
          <w:tcPr>
            <w:tcW w:w="1226" w:type="pct"/>
            <w:vMerge/>
            <w:vAlign w:val="center"/>
          </w:tcPr>
          <w:p w:rsidR="00000000" w:rsidRDefault="00457650">
            <w:pPr>
              <w:widowControl/>
              <w:tabs>
                <w:tab w:val="left" w:pos="630"/>
              </w:tabs>
              <w:spacing w:after="60" w:line="320" w:lineRule="exact"/>
              <w:jc w:val="center"/>
              <w:rPr>
                <w:rFonts w:ascii="KaiTi_GB2312" w:eastAsia="KaiTi_GB2312" w:hint="eastAsia"/>
                <w:iCs/>
                <w:sz w:val="18"/>
              </w:rPr>
            </w:pPr>
          </w:p>
        </w:tc>
        <w:tc>
          <w:tcPr>
            <w:tcW w:w="639" w:type="pct"/>
            <w:vMerge/>
            <w:vAlign w:val="center"/>
          </w:tcPr>
          <w:p w:rsidR="00000000" w:rsidRDefault="00457650">
            <w:pPr>
              <w:widowControl/>
              <w:tabs>
                <w:tab w:val="left" w:pos="630"/>
              </w:tabs>
              <w:spacing w:after="60" w:line="320" w:lineRule="exact"/>
              <w:jc w:val="center"/>
              <w:rPr>
                <w:rFonts w:ascii="KaiTi_GB2312" w:eastAsia="KaiTi_GB2312" w:hint="eastAsia"/>
                <w:iCs/>
                <w:sz w:val="18"/>
              </w:rPr>
            </w:pPr>
          </w:p>
        </w:tc>
        <w:tc>
          <w:tcPr>
            <w:tcW w:w="639" w:type="pct"/>
            <w:vMerge/>
            <w:vAlign w:val="center"/>
          </w:tcPr>
          <w:p w:rsidR="00000000" w:rsidRDefault="00457650">
            <w:pPr>
              <w:widowControl/>
              <w:tabs>
                <w:tab w:val="left" w:pos="630"/>
              </w:tabs>
              <w:spacing w:after="60" w:line="320" w:lineRule="exact"/>
              <w:jc w:val="center"/>
              <w:rPr>
                <w:rFonts w:ascii="KaiTi_GB2312" w:eastAsia="KaiTi_GB2312" w:hint="eastAsia"/>
                <w:iCs/>
                <w:sz w:val="18"/>
              </w:rPr>
            </w:pPr>
          </w:p>
        </w:tc>
        <w:tc>
          <w:tcPr>
            <w:tcW w:w="639" w:type="pct"/>
            <w:vMerge/>
            <w:vAlign w:val="center"/>
          </w:tcPr>
          <w:p w:rsidR="00000000" w:rsidRDefault="00457650">
            <w:pPr>
              <w:widowControl/>
              <w:tabs>
                <w:tab w:val="left" w:pos="630"/>
              </w:tabs>
              <w:spacing w:after="60" w:line="320" w:lineRule="exact"/>
              <w:jc w:val="center"/>
              <w:rPr>
                <w:rFonts w:ascii="KaiTi_GB2312" w:eastAsia="KaiTi_GB2312" w:hint="eastAsia"/>
                <w:iCs/>
                <w:sz w:val="18"/>
              </w:rPr>
            </w:pPr>
          </w:p>
        </w:tc>
        <w:tc>
          <w:tcPr>
            <w:tcW w:w="639" w:type="pct"/>
            <w:vMerge/>
            <w:vAlign w:val="center"/>
          </w:tcPr>
          <w:p w:rsidR="00000000" w:rsidRDefault="00457650">
            <w:pPr>
              <w:widowControl/>
              <w:tabs>
                <w:tab w:val="left" w:pos="630"/>
              </w:tabs>
              <w:spacing w:after="60" w:line="320" w:lineRule="exact"/>
              <w:jc w:val="center"/>
              <w:rPr>
                <w:rFonts w:ascii="KaiTi_GB2312" w:eastAsia="KaiTi_GB2312" w:hint="eastAsia"/>
                <w:iCs/>
                <w:sz w:val="18"/>
              </w:rPr>
            </w:pPr>
          </w:p>
        </w:tc>
        <w:tc>
          <w:tcPr>
            <w:tcW w:w="639" w:type="pct"/>
            <w:vAlign w:val="center"/>
          </w:tcPr>
          <w:p w:rsidR="00000000" w:rsidRDefault="00457650">
            <w:pPr>
              <w:widowControl/>
              <w:tabs>
                <w:tab w:val="left" w:pos="630"/>
              </w:tabs>
              <w:spacing w:after="60" w:line="320" w:lineRule="exact"/>
              <w:jc w:val="center"/>
              <w:rPr>
                <w:rFonts w:ascii="KaiTi_GB2312" w:eastAsia="KaiTi_GB2312" w:hint="eastAsia"/>
                <w:iCs/>
                <w:sz w:val="18"/>
              </w:rPr>
            </w:pPr>
            <w:r>
              <w:rPr>
                <w:rFonts w:ascii="KaiTi_GB2312" w:eastAsia="KaiTi_GB2312" w:hint="eastAsia"/>
                <w:iCs/>
                <w:sz w:val="18"/>
              </w:rPr>
              <w:t>2000</w:t>
            </w:r>
            <w:r>
              <w:rPr>
                <w:rFonts w:ascii="KaiTi_GB2312" w:eastAsia="KaiTi_GB2312" w:hint="eastAsia"/>
                <w:iCs/>
                <w:sz w:val="18"/>
              </w:rPr>
              <w:t>年</w:t>
            </w:r>
          </w:p>
        </w:tc>
        <w:tc>
          <w:tcPr>
            <w:tcW w:w="580" w:type="pct"/>
            <w:vAlign w:val="center"/>
          </w:tcPr>
          <w:p w:rsidR="00000000" w:rsidRDefault="00457650">
            <w:pPr>
              <w:widowControl/>
              <w:tabs>
                <w:tab w:val="left" w:pos="630"/>
              </w:tabs>
              <w:spacing w:after="60" w:line="320" w:lineRule="exact"/>
              <w:jc w:val="center"/>
              <w:rPr>
                <w:rFonts w:ascii="KaiTi_GB2312" w:eastAsia="KaiTi_GB2312" w:hint="eastAsia"/>
                <w:iCs/>
                <w:sz w:val="18"/>
              </w:rPr>
            </w:pPr>
            <w:r>
              <w:rPr>
                <w:rFonts w:ascii="KaiTi_GB2312" w:eastAsia="KaiTi_GB2312" w:hint="eastAsia"/>
                <w:iCs/>
                <w:sz w:val="18"/>
              </w:rPr>
              <w:t>2003</w:t>
            </w:r>
            <w:r>
              <w:rPr>
                <w:rFonts w:ascii="KaiTi_GB2312" w:eastAsia="KaiTi_GB2312" w:hint="eastAsia"/>
                <w:iCs/>
                <w:sz w:val="18"/>
              </w:rPr>
              <w:t>年</w:t>
            </w:r>
          </w:p>
        </w:tc>
      </w:tr>
      <w:tr w:rsidR="00000000">
        <w:tc>
          <w:tcPr>
            <w:tcW w:w="1226" w:type="pct"/>
          </w:tcPr>
          <w:p w:rsidR="00000000" w:rsidRDefault="00457650">
            <w:pPr>
              <w:widowControl/>
              <w:tabs>
                <w:tab w:val="left" w:pos="630"/>
              </w:tabs>
              <w:spacing w:after="120" w:line="320" w:lineRule="exact"/>
              <w:rPr>
                <w:rFonts w:hint="eastAsia"/>
                <w:sz w:val="18"/>
              </w:rPr>
            </w:pPr>
            <w:r>
              <w:rPr>
                <w:rFonts w:hint="eastAsia"/>
                <w:sz w:val="18"/>
              </w:rPr>
              <w:t>病例总数</w:t>
            </w:r>
            <w:r>
              <w:rPr>
                <w:rFonts w:hint="eastAsia"/>
                <w:sz w:val="18"/>
                <w:vertAlign w:val="superscript"/>
              </w:rPr>
              <w:t>e</w:t>
            </w:r>
          </w:p>
        </w:tc>
        <w:tc>
          <w:tcPr>
            <w:tcW w:w="639" w:type="pct"/>
          </w:tcPr>
          <w:p w:rsidR="00000000" w:rsidRDefault="00457650">
            <w:pPr>
              <w:widowControl/>
              <w:tabs>
                <w:tab w:val="left" w:pos="630"/>
              </w:tabs>
              <w:spacing w:after="120" w:line="320" w:lineRule="exact"/>
              <w:jc w:val="center"/>
              <w:rPr>
                <w:sz w:val="18"/>
              </w:rPr>
            </w:pPr>
            <w:r>
              <w:rPr>
                <w:sz w:val="18"/>
              </w:rPr>
              <w:t>4 596</w:t>
            </w:r>
          </w:p>
        </w:tc>
        <w:tc>
          <w:tcPr>
            <w:tcW w:w="639" w:type="pct"/>
          </w:tcPr>
          <w:p w:rsidR="00000000" w:rsidRDefault="00457650">
            <w:pPr>
              <w:widowControl/>
              <w:tabs>
                <w:tab w:val="left" w:pos="630"/>
              </w:tabs>
              <w:spacing w:after="120" w:line="320" w:lineRule="exact"/>
              <w:jc w:val="center"/>
              <w:rPr>
                <w:sz w:val="18"/>
              </w:rPr>
            </w:pPr>
            <w:r>
              <w:rPr>
                <w:sz w:val="18"/>
              </w:rPr>
              <w:t>4 696</w:t>
            </w:r>
          </w:p>
        </w:tc>
        <w:tc>
          <w:tcPr>
            <w:tcW w:w="639" w:type="pct"/>
          </w:tcPr>
          <w:p w:rsidR="00000000" w:rsidRDefault="00457650">
            <w:pPr>
              <w:widowControl/>
              <w:tabs>
                <w:tab w:val="left" w:pos="630"/>
              </w:tabs>
              <w:spacing w:after="120" w:line="320" w:lineRule="exact"/>
              <w:jc w:val="center"/>
              <w:rPr>
                <w:sz w:val="18"/>
              </w:rPr>
            </w:pPr>
            <w:r>
              <w:rPr>
                <w:sz w:val="18"/>
              </w:rPr>
              <w:t>4 916</w:t>
            </w:r>
          </w:p>
        </w:tc>
        <w:tc>
          <w:tcPr>
            <w:tcW w:w="639" w:type="pct"/>
          </w:tcPr>
          <w:p w:rsidR="00000000" w:rsidRDefault="00457650">
            <w:pPr>
              <w:widowControl/>
              <w:tabs>
                <w:tab w:val="left" w:pos="630"/>
              </w:tabs>
              <w:spacing w:after="120" w:line="320" w:lineRule="exact"/>
              <w:jc w:val="center"/>
              <w:rPr>
                <w:sz w:val="18"/>
              </w:rPr>
            </w:pPr>
            <w:r>
              <w:rPr>
                <w:sz w:val="18"/>
              </w:rPr>
              <w:t>5 020</w:t>
            </w:r>
          </w:p>
        </w:tc>
        <w:tc>
          <w:tcPr>
            <w:tcW w:w="639" w:type="pct"/>
          </w:tcPr>
          <w:p w:rsidR="00000000" w:rsidRDefault="00457650">
            <w:pPr>
              <w:widowControl/>
              <w:tabs>
                <w:tab w:val="left" w:pos="630"/>
              </w:tabs>
              <w:spacing w:after="120" w:line="320" w:lineRule="exact"/>
              <w:jc w:val="center"/>
              <w:rPr>
                <w:sz w:val="18"/>
              </w:rPr>
            </w:pPr>
            <w:r>
              <w:rPr>
                <w:sz w:val="18"/>
              </w:rPr>
              <w:t>9.2</w:t>
            </w:r>
          </w:p>
        </w:tc>
        <w:tc>
          <w:tcPr>
            <w:tcW w:w="580" w:type="pct"/>
          </w:tcPr>
          <w:p w:rsidR="00000000" w:rsidRDefault="00457650">
            <w:pPr>
              <w:widowControl/>
              <w:tabs>
                <w:tab w:val="left" w:pos="630"/>
              </w:tabs>
              <w:spacing w:after="120" w:line="320" w:lineRule="exact"/>
              <w:jc w:val="center"/>
              <w:rPr>
                <w:sz w:val="18"/>
              </w:rPr>
            </w:pPr>
            <w:r>
              <w:rPr>
                <w:sz w:val="18"/>
              </w:rPr>
              <w:t>2.1</w:t>
            </w:r>
          </w:p>
        </w:tc>
      </w:tr>
      <w:tr w:rsidR="00000000">
        <w:tc>
          <w:tcPr>
            <w:tcW w:w="1226" w:type="pct"/>
          </w:tcPr>
          <w:p w:rsidR="00000000" w:rsidRDefault="00457650">
            <w:pPr>
              <w:widowControl/>
              <w:tabs>
                <w:tab w:val="left" w:pos="630"/>
              </w:tabs>
              <w:spacing w:after="120" w:line="320" w:lineRule="exact"/>
              <w:rPr>
                <w:rFonts w:hint="eastAsia"/>
                <w:sz w:val="18"/>
              </w:rPr>
            </w:pPr>
            <w:r>
              <w:rPr>
                <w:rFonts w:hint="eastAsia"/>
                <w:sz w:val="18"/>
              </w:rPr>
              <w:t>男</w:t>
            </w:r>
          </w:p>
        </w:tc>
        <w:tc>
          <w:tcPr>
            <w:tcW w:w="639" w:type="pct"/>
          </w:tcPr>
          <w:p w:rsidR="00000000" w:rsidRDefault="00457650">
            <w:pPr>
              <w:widowControl/>
              <w:tabs>
                <w:tab w:val="left" w:pos="630"/>
              </w:tabs>
              <w:spacing w:after="120" w:line="320" w:lineRule="exact"/>
              <w:jc w:val="center"/>
              <w:rPr>
                <w:sz w:val="18"/>
              </w:rPr>
            </w:pPr>
            <w:r>
              <w:rPr>
                <w:sz w:val="18"/>
              </w:rPr>
              <w:t>3 981</w:t>
            </w:r>
          </w:p>
        </w:tc>
        <w:tc>
          <w:tcPr>
            <w:tcW w:w="639" w:type="pct"/>
          </w:tcPr>
          <w:p w:rsidR="00000000" w:rsidRDefault="00457650">
            <w:pPr>
              <w:widowControl/>
              <w:tabs>
                <w:tab w:val="left" w:pos="630"/>
              </w:tabs>
              <w:spacing w:after="120" w:line="320" w:lineRule="exact"/>
              <w:jc w:val="center"/>
              <w:rPr>
                <w:sz w:val="18"/>
              </w:rPr>
            </w:pPr>
            <w:r>
              <w:rPr>
                <w:sz w:val="18"/>
              </w:rPr>
              <w:t>4 086</w:t>
            </w:r>
          </w:p>
        </w:tc>
        <w:tc>
          <w:tcPr>
            <w:tcW w:w="639" w:type="pct"/>
          </w:tcPr>
          <w:p w:rsidR="00000000" w:rsidRDefault="00457650">
            <w:pPr>
              <w:pStyle w:val="a3"/>
              <w:widowControl/>
              <w:tabs>
                <w:tab w:val="left" w:pos="630"/>
              </w:tabs>
              <w:adjustRightInd w:val="0"/>
              <w:spacing w:after="120" w:line="320" w:lineRule="exact"/>
              <w:jc w:val="center"/>
              <w:textAlignment w:val="baseline"/>
              <w:rPr>
                <w:kern w:val="0"/>
                <w:szCs w:val="20"/>
              </w:rPr>
            </w:pPr>
            <w:r>
              <w:rPr>
                <w:kern w:val="0"/>
                <w:szCs w:val="20"/>
              </w:rPr>
              <w:t>4 214</w:t>
            </w:r>
          </w:p>
        </w:tc>
        <w:tc>
          <w:tcPr>
            <w:tcW w:w="639" w:type="pct"/>
          </w:tcPr>
          <w:p w:rsidR="00000000" w:rsidRDefault="00457650">
            <w:pPr>
              <w:widowControl/>
              <w:tabs>
                <w:tab w:val="left" w:pos="630"/>
              </w:tabs>
              <w:spacing w:after="120" w:line="320" w:lineRule="exact"/>
              <w:jc w:val="center"/>
              <w:rPr>
                <w:sz w:val="18"/>
              </w:rPr>
            </w:pPr>
            <w:r>
              <w:rPr>
                <w:sz w:val="18"/>
              </w:rPr>
              <w:t>4 303</w:t>
            </w:r>
          </w:p>
        </w:tc>
        <w:tc>
          <w:tcPr>
            <w:tcW w:w="639" w:type="pct"/>
          </w:tcPr>
          <w:p w:rsidR="00000000" w:rsidRDefault="00457650">
            <w:pPr>
              <w:widowControl/>
              <w:tabs>
                <w:tab w:val="left" w:pos="630"/>
              </w:tabs>
              <w:spacing w:after="120" w:line="320" w:lineRule="exact"/>
              <w:jc w:val="center"/>
              <w:rPr>
                <w:sz w:val="18"/>
              </w:rPr>
            </w:pPr>
            <w:r>
              <w:rPr>
                <w:sz w:val="18"/>
              </w:rPr>
              <w:t>8.1</w:t>
            </w:r>
          </w:p>
        </w:tc>
        <w:tc>
          <w:tcPr>
            <w:tcW w:w="580" w:type="pct"/>
          </w:tcPr>
          <w:p w:rsidR="00000000" w:rsidRDefault="00457650">
            <w:pPr>
              <w:widowControl/>
              <w:tabs>
                <w:tab w:val="left" w:pos="630"/>
              </w:tabs>
              <w:spacing w:after="120" w:line="320" w:lineRule="exact"/>
              <w:jc w:val="center"/>
              <w:rPr>
                <w:sz w:val="18"/>
              </w:rPr>
            </w:pPr>
            <w:r>
              <w:rPr>
                <w:sz w:val="18"/>
              </w:rPr>
              <w:t>2.1</w:t>
            </w:r>
          </w:p>
        </w:tc>
      </w:tr>
      <w:tr w:rsidR="00000000">
        <w:tc>
          <w:tcPr>
            <w:tcW w:w="1226" w:type="pct"/>
          </w:tcPr>
          <w:p w:rsidR="00000000" w:rsidRDefault="00457650">
            <w:pPr>
              <w:widowControl/>
              <w:tabs>
                <w:tab w:val="left" w:pos="630"/>
              </w:tabs>
              <w:spacing w:after="120" w:line="320" w:lineRule="exact"/>
              <w:rPr>
                <w:rFonts w:hint="eastAsia"/>
                <w:sz w:val="18"/>
              </w:rPr>
            </w:pPr>
            <w:r>
              <w:rPr>
                <w:rFonts w:hint="eastAsia"/>
                <w:sz w:val="18"/>
              </w:rPr>
              <w:t>女</w:t>
            </w:r>
          </w:p>
        </w:tc>
        <w:tc>
          <w:tcPr>
            <w:tcW w:w="639" w:type="pct"/>
          </w:tcPr>
          <w:p w:rsidR="00000000" w:rsidRDefault="00457650">
            <w:pPr>
              <w:widowControl/>
              <w:tabs>
                <w:tab w:val="left" w:pos="630"/>
              </w:tabs>
              <w:spacing w:after="120" w:line="320" w:lineRule="exact"/>
              <w:jc w:val="center"/>
              <w:rPr>
                <w:sz w:val="18"/>
              </w:rPr>
            </w:pPr>
            <w:r>
              <w:rPr>
                <w:sz w:val="18"/>
              </w:rPr>
              <w:t>615</w:t>
            </w:r>
          </w:p>
        </w:tc>
        <w:tc>
          <w:tcPr>
            <w:tcW w:w="639" w:type="pct"/>
          </w:tcPr>
          <w:p w:rsidR="00000000" w:rsidRDefault="00457650">
            <w:pPr>
              <w:widowControl/>
              <w:tabs>
                <w:tab w:val="left" w:pos="630"/>
              </w:tabs>
              <w:spacing w:after="120" w:line="320" w:lineRule="exact"/>
              <w:jc w:val="center"/>
              <w:rPr>
                <w:sz w:val="18"/>
              </w:rPr>
            </w:pPr>
            <w:r>
              <w:rPr>
                <w:sz w:val="18"/>
              </w:rPr>
              <w:t>610</w:t>
            </w:r>
          </w:p>
        </w:tc>
        <w:tc>
          <w:tcPr>
            <w:tcW w:w="639" w:type="pct"/>
          </w:tcPr>
          <w:p w:rsidR="00000000" w:rsidRDefault="00457650">
            <w:pPr>
              <w:widowControl/>
              <w:tabs>
                <w:tab w:val="left" w:pos="630"/>
              </w:tabs>
              <w:spacing w:after="120" w:line="320" w:lineRule="exact"/>
              <w:jc w:val="center"/>
              <w:rPr>
                <w:sz w:val="18"/>
              </w:rPr>
            </w:pPr>
            <w:r>
              <w:rPr>
                <w:sz w:val="18"/>
              </w:rPr>
              <w:t>702</w:t>
            </w:r>
          </w:p>
        </w:tc>
        <w:tc>
          <w:tcPr>
            <w:tcW w:w="639" w:type="pct"/>
          </w:tcPr>
          <w:p w:rsidR="00000000" w:rsidRDefault="00457650">
            <w:pPr>
              <w:widowControl/>
              <w:tabs>
                <w:tab w:val="left" w:pos="630"/>
              </w:tabs>
              <w:spacing w:after="120" w:line="320" w:lineRule="exact"/>
              <w:jc w:val="center"/>
              <w:rPr>
                <w:sz w:val="18"/>
              </w:rPr>
            </w:pPr>
            <w:r>
              <w:rPr>
                <w:sz w:val="18"/>
              </w:rPr>
              <w:t>717</w:t>
            </w:r>
          </w:p>
        </w:tc>
        <w:tc>
          <w:tcPr>
            <w:tcW w:w="639" w:type="pct"/>
          </w:tcPr>
          <w:p w:rsidR="00000000" w:rsidRDefault="00457650">
            <w:pPr>
              <w:widowControl/>
              <w:tabs>
                <w:tab w:val="left" w:pos="630"/>
              </w:tabs>
              <w:spacing w:after="120" w:line="320" w:lineRule="exact"/>
              <w:jc w:val="center"/>
              <w:rPr>
                <w:sz w:val="18"/>
              </w:rPr>
            </w:pPr>
            <w:r>
              <w:rPr>
                <w:sz w:val="18"/>
              </w:rPr>
              <w:t>16.6</w:t>
            </w:r>
          </w:p>
        </w:tc>
        <w:tc>
          <w:tcPr>
            <w:tcW w:w="580" w:type="pct"/>
          </w:tcPr>
          <w:p w:rsidR="00000000" w:rsidRDefault="00457650">
            <w:pPr>
              <w:widowControl/>
              <w:tabs>
                <w:tab w:val="left" w:pos="630"/>
              </w:tabs>
              <w:spacing w:after="120" w:line="320" w:lineRule="exact"/>
              <w:jc w:val="center"/>
              <w:rPr>
                <w:sz w:val="18"/>
              </w:rPr>
            </w:pPr>
            <w:r>
              <w:rPr>
                <w:sz w:val="18"/>
              </w:rPr>
              <w:t>2.1</w:t>
            </w:r>
          </w:p>
        </w:tc>
      </w:tr>
      <w:tr w:rsidR="00000000">
        <w:tc>
          <w:tcPr>
            <w:tcW w:w="1226" w:type="pct"/>
          </w:tcPr>
          <w:p w:rsidR="00000000" w:rsidRDefault="00457650">
            <w:pPr>
              <w:widowControl/>
              <w:tabs>
                <w:tab w:val="left" w:pos="630"/>
              </w:tabs>
              <w:spacing w:after="120" w:line="320" w:lineRule="exact"/>
              <w:rPr>
                <w:rFonts w:hint="eastAsia"/>
                <w:sz w:val="18"/>
              </w:rPr>
            </w:pPr>
            <w:r>
              <w:rPr>
                <w:rFonts w:hint="eastAsia"/>
                <w:sz w:val="18"/>
              </w:rPr>
              <w:t>新发现的病例数量</w:t>
            </w:r>
            <w:r>
              <w:rPr>
                <w:rFonts w:hint="eastAsia"/>
                <w:sz w:val="18"/>
                <w:vertAlign w:val="superscript"/>
              </w:rPr>
              <w:t>1</w:t>
            </w:r>
          </w:p>
        </w:tc>
        <w:tc>
          <w:tcPr>
            <w:tcW w:w="639" w:type="pct"/>
            <w:vAlign w:val="bottom"/>
          </w:tcPr>
          <w:p w:rsidR="00000000" w:rsidRDefault="00457650">
            <w:pPr>
              <w:widowControl/>
              <w:tabs>
                <w:tab w:val="left" w:pos="630"/>
              </w:tabs>
              <w:spacing w:after="120" w:line="320" w:lineRule="exact"/>
              <w:jc w:val="center"/>
              <w:rPr>
                <w:sz w:val="18"/>
              </w:rPr>
            </w:pPr>
            <w:r>
              <w:rPr>
                <w:sz w:val="18"/>
              </w:rPr>
              <w:t>1 114</w:t>
            </w:r>
          </w:p>
        </w:tc>
        <w:tc>
          <w:tcPr>
            <w:tcW w:w="639" w:type="pct"/>
            <w:vAlign w:val="bottom"/>
          </w:tcPr>
          <w:p w:rsidR="00000000" w:rsidRDefault="00457650">
            <w:pPr>
              <w:widowControl/>
              <w:tabs>
                <w:tab w:val="left" w:pos="630"/>
              </w:tabs>
              <w:spacing w:after="120" w:line="320" w:lineRule="exact"/>
              <w:jc w:val="center"/>
              <w:rPr>
                <w:sz w:val="18"/>
              </w:rPr>
            </w:pPr>
            <w:r>
              <w:rPr>
                <w:sz w:val="18"/>
              </w:rPr>
              <w:t>1 172</w:t>
            </w:r>
          </w:p>
        </w:tc>
        <w:tc>
          <w:tcPr>
            <w:tcW w:w="639" w:type="pct"/>
            <w:vAlign w:val="bottom"/>
          </w:tcPr>
          <w:p w:rsidR="00000000" w:rsidRDefault="00457650">
            <w:pPr>
              <w:widowControl/>
              <w:tabs>
                <w:tab w:val="left" w:pos="630"/>
              </w:tabs>
              <w:spacing w:after="120" w:line="320" w:lineRule="exact"/>
              <w:jc w:val="center"/>
              <w:rPr>
                <w:sz w:val="18"/>
              </w:rPr>
            </w:pPr>
            <w:r>
              <w:rPr>
                <w:sz w:val="18"/>
              </w:rPr>
              <w:t>1 574</w:t>
            </w:r>
          </w:p>
        </w:tc>
        <w:tc>
          <w:tcPr>
            <w:tcW w:w="639" w:type="pct"/>
            <w:vAlign w:val="bottom"/>
          </w:tcPr>
          <w:p w:rsidR="00000000" w:rsidRDefault="00457650">
            <w:pPr>
              <w:widowControl/>
              <w:tabs>
                <w:tab w:val="left" w:pos="630"/>
              </w:tabs>
              <w:spacing w:after="120" w:line="320" w:lineRule="exact"/>
              <w:jc w:val="center"/>
              <w:rPr>
                <w:sz w:val="18"/>
              </w:rPr>
            </w:pPr>
            <w:r>
              <w:rPr>
                <w:sz w:val="18"/>
              </w:rPr>
              <w:t>2 033</w:t>
            </w:r>
          </w:p>
        </w:tc>
        <w:tc>
          <w:tcPr>
            <w:tcW w:w="639" w:type="pct"/>
            <w:vAlign w:val="bottom"/>
          </w:tcPr>
          <w:p w:rsidR="00000000" w:rsidRDefault="00457650">
            <w:pPr>
              <w:widowControl/>
              <w:tabs>
                <w:tab w:val="left" w:pos="630"/>
              </w:tabs>
              <w:spacing w:after="120" w:line="320" w:lineRule="exact"/>
              <w:jc w:val="center"/>
              <w:rPr>
                <w:sz w:val="18"/>
              </w:rPr>
            </w:pPr>
            <w:r>
              <w:rPr>
                <w:sz w:val="18"/>
              </w:rPr>
              <w:t>82.5</w:t>
            </w:r>
          </w:p>
        </w:tc>
        <w:tc>
          <w:tcPr>
            <w:tcW w:w="580" w:type="pct"/>
            <w:vAlign w:val="bottom"/>
          </w:tcPr>
          <w:p w:rsidR="00000000" w:rsidRDefault="00457650">
            <w:pPr>
              <w:widowControl/>
              <w:tabs>
                <w:tab w:val="left" w:pos="630"/>
              </w:tabs>
              <w:spacing w:after="120" w:line="320" w:lineRule="exact"/>
              <w:jc w:val="center"/>
              <w:rPr>
                <w:sz w:val="18"/>
              </w:rPr>
            </w:pPr>
            <w:r>
              <w:rPr>
                <w:sz w:val="18"/>
              </w:rPr>
              <w:t>29.2</w:t>
            </w:r>
          </w:p>
        </w:tc>
      </w:tr>
      <w:tr w:rsidR="00000000">
        <w:tc>
          <w:tcPr>
            <w:tcW w:w="1226" w:type="pct"/>
          </w:tcPr>
          <w:p w:rsidR="00000000" w:rsidRDefault="00457650">
            <w:pPr>
              <w:widowControl/>
              <w:tabs>
                <w:tab w:val="left" w:pos="630"/>
              </w:tabs>
              <w:spacing w:after="120" w:line="320" w:lineRule="exact"/>
              <w:rPr>
                <w:rFonts w:hint="eastAsia"/>
                <w:sz w:val="18"/>
              </w:rPr>
            </w:pPr>
            <w:r>
              <w:rPr>
                <w:rFonts w:hint="eastAsia"/>
                <w:sz w:val="18"/>
              </w:rPr>
              <w:t>年度发病比率</w:t>
            </w:r>
            <w:r>
              <w:rPr>
                <w:rFonts w:hint="eastAsia"/>
                <w:sz w:val="18"/>
                <w:vertAlign w:val="superscript"/>
              </w:rPr>
              <w:t>2</w:t>
            </w:r>
          </w:p>
        </w:tc>
        <w:tc>
          <w:tcPr>
            <w:tcW w:w="639" w:type="pct"/>
          </w:tcPr>
          <w:p w:rsidR="00000000" w:rsidRDefault="00457650">
            <w:pPr>
              <w:widowControl/>
              <w:tabs>
                <w:tab w:val="left" w:pos="630"/>
              </w:tabs>
              <w:spacing w:after="120" w:line="320" w:lineRule="exact"/>
              <w:jc w:val="center"/>
              <w:rPr>
                <w:sz w:val="18"/>
              </w:rPr>
            </w:pPr>
            <w:r>
              <w:rPr>
                <w:sz w:val="18"/>
              </w:rPr>
              <w:t>4.2</w:t>
            </w:r>
          </w:p>
        </w:tc>
        <w:tc>
          <w:tcPr>
            <w:tcW w:w="639" w:type="pct"/>
          </w:tcPr>
          <w:p w:rsidR="00000000" w:rsidRDefault="00457650">
            <w:pPr>
              <w:widowControl/>
              <w:tabs>
                <w:tab w:val="left" w:pos="630"/>
              </w:tabs>
              <w:spacing w:after="120" w:line="320" w:lineRule="exact"/>
              <w:jc w:val="center"/>
              <w:rPr>
                <w:sz w:val="18"/>
              </w:rPr>
            </w:pPr>
            <w:r>
              <w:rPr>
                <w:sz w:val="18"/>
              </w:rPr>
              <w:t>4.3</w:t>
            </w:r>
          </w:p>
        </w:tc>
        <w:tc>
          <w:tcPr>
            <w:tcW w:w="639" w:type="pct"/>
          </w:tcPr>
          <w:p w:rsidR="00000000" w:rsidRDefault="00457650">
            <w:pPr>
              <w:widowControl/>
              <w:tabs>
                <w:tab w:val="left" w:pos="630"/>
              </w:tabs>
              <w:spacing w:after="120" w:line="320" w:lineRule="exact"/>
              <w:jc w:val="center"/>
              <w:rPr>
                <w:sz w:val="18"/>
              </w:rPr>
            </w:pPr>
            <w:r>
              <w:rPr>
                <w:sz w:val="18"/>
              </w:rPr>
              <w:t>4.48</w:t>
            </w:r>
          </w:p>
        </w:tc>
        <w:tc>
          <w:tcPr>
            <w:tcW w:w="639" w:type="pct"/>
          </w:tcPr>
          <w:p w:rsidR="00000000" w:rsidRDefault="00457650">
            <w:pPr>
              <w:widowControl/>
              <w:tabs>
                <w:tab w:val="left" w:pos="630"/>
              </w:tabs>
              <w:spacing w:after="120" w:line="320" w:lineRule="exact"/>
              <w:jc w:val="center"/>
              <w:rPr>
                <w:sz w:val="18"/>
              </w:rPr>
            </w:pPr>
            <w:r>
              <w:rPr>
                <w:sz w:val="18"/>
              </w:rPr>
              <w:t>4.5</w:t>
            </w:r>
          </w:p>
        </w:tc>
        <w:tc>
          <w:tcPr>
            <w:tcW w:w="639" w:type="pct"/>
          </w:tcPr>
          <w:p w:rsidR="00000000" w:rsidRDefault="00457650">
            <w:pPr>
              <w:widowControl/>
              <w:tabs>
                <w:tab w:val="left" w:pos="630"/>
              </w:tabs>
              <w:spacing w:after="120" w:line="320" w:lineRule="exact"/>
              <w:jc w:val="center"/>
              <w:rPr>
                <w:sz w:val="18"/>
              </w:rPr>
            </w:pPr>
            <w:r>
              <w:rPr>
                <w:sz w:val="18"/>
              </w:rPr>
              <w:t>7</w:t>
            </w:r>
            <w:r>
              <w:rPr>
                <w:sz w:val="18"/>
              </w:rPr>
              <w:t>.1</w:t>
            </w:r>
          </w:p>
        </w:tc>
        <w:tc>
          <w:tcPr>
            <w:tcW w:w="580" w:type="pct"/>
          </w:tcPr>
          <w:p w:rsidR="00000000" w:rsidRDefault="00457650">
            <w:pPr>
              <w:pStyle w:val="a3"/>
              <w:widowControl/>
              <w:tabs>
                <w:tab w:val="left" w:pos="630"/>
              </w:tabs>
              <w:adjustRightInd w:val="0"/>
              <w:spacing w:after="120" w:line="320" w:lineRule="exact"/>
              <w:jc w:val="center"/>
              <w:textAlignment w:val="baseline"/>
              <w:rPr>
                <w:kern w:val="0"/>
                <w:szCs w:val="20"/>
              </w:rPr>
            </w:pPr>
            <w:r>
              <w:rPr>
                <w:kern w:val="0"/>
                <w:szCs w:val="20"/>
              </w:rPr>
              <w:t>0.44</w:t>
            </w:r>
          </w:p>
        </w:tc>
      </w:tr>
    </w:tbl>
    <w:p w:rsidR="00000000" w:rsidRDefault="00457650">
      <w:pPr>
        <w:widowControl/>
        <w:tabs>
          <w:tab w:val="left" w:pos="630"/>
        </w:tabs>
        <w:spacing w:line="360" w:lineRule="exact"/>
        <w:rPr>
          <w:rFonts w:hint="eastAsia"/>
          <w:i/>
          <w:sz w:val="18"/>
        </w:rPr>
      </w:pPr>
      <w:r>
        <w:rPr>
          <w:rFonts w:eastAsia="KaiTi_GB2312" w:hint="eastAsia"/>
          <w:iCs/>
          <w:sz w:val="18"/>
        </w:rPr>
        <w:t>资料来源</w:t>
      </w:r>
      <w:r>
        <w:rPr>
          <w:rFonts w:hint="eastAsia"/>
          <w:iCs/>
          <w:sz w:val="18"/>
        </w:rPr>
        <w:t>：</w:t>
      </w:r>
      <w:r>
        <w:rPr>
          <w:rFonts w:hint="eastAsia"/>
          <w:sz w:val="18"/>
        </w:rPr>
        <w:t>卫生部，</w:t>
      </w:r>
      <w:r>
        <w:rPr>
          <w:rFonts w:hint="eastAsia"/>
          <w:sz w:val="18"/>
        </w:rPr>
        <w:t>2004</w:t>
      </w:r>
      <w:r>
        <w:rPr>
          <w:rFonts w:hint="eastAsia"/>
          <w:sz w:val="18"/>
        </w:rPr>
        <w:t>年。</w:t>
      </w:r>
    </w:p>
    <w:p w:rsidR="00000000" w:rsidRDefault="00457650">
      <w:pPr>
        <w:widowControl/>
        <w:tabs>
          <w:tab w:val="left" w:pos="360"/>
        </w:tabs>
        <w:spacing w:line="360" w:lineRule="exact"/>
        <w:rPr>
          <w:rFonts w:hint="eastAsia"/>
          <w:sz w:val="18"/>
        </w:rPr>
      </w:pPr>
      <w:r>
        <w:rPr>
          <w:rFonts w:hint="eastAsia"/>
          <w:sz w:val="18"/>
          <w:vertAlign w:val="superscript"/>
        </w:rPr>
        <w:t>e</w:t>
      </w:r>
      <w:r>
        <w:rPr>
          <w:rFonts w:hint="eastAsia"/>
          <w:sz w:val="18"/>
        </w:rPr>
        <w:tab/>
      </w:r>
      <w:r>
        <w:rPr>
          <w:rFonts w:hint="eastAsia"/>
          <w:sz w:val="18"/>
        </w:rPr>
        <w:t>根据拖延通知的艾滋病病例估计的数字。这与每年诊断估计的新病例相应。</w:t>
      </w:r>
    </w:p>
    <w:p w:rsidR="00000000" w:rsidRDefault="00457650">
      <w:pPr>
        <w:widowControl/>
        <w:tabs>
          <w:tab w:val="left" w:pos="360"/>
        </w:tabs>
        <w:spacing w:line="360" w:lineRule="exact"/>
        <w:rPr>
          <w:rFonts w:hint="eastAsia"/>
          <w:sz w:val="18"/>
        </w:rPr>
      </w:pPr>
      <w:r>
        <w:rPr>
          <w:rFonts w:hint="eastAsia"/>
          <w:sz w:val="18"/>
          <w:vertAlign w:val="superscript"/>
        </w:rPr>
        <w:t>1</w:t>
      </w:r>
      <w:r>
        <w:rPr>
          <w:rFonts w:hint="eastAsia"/>
          <w:sz w:val="18"/>
        </w:rPr>
        <w:tab/>
      </w:r>
      <w:r>
        <w:rPr>
          <w:rFonts w:hint="eastAsia"/>
          <w:sz w:val="18"/>
        </w:rPr>
        <w:t>该年中通知的艾滋病病例。</w:t>
      </w:r>
    </w:p>
    <w:p w:rsidR="00000000" w:rsidRDefault="00457650">
      <w:pPr>
        <w:widowControl/>
        <w:tabs>
          <w:tab w:val="left" w:pos="360"/>
        </w:tabs>
        <w:spacing w:after="240" w:line="360" w:lineRule="exact"/>
        <w:rPr>
          <w:rFonts w:hint="eastAsia"/>
          <w:sz w:val="18"/>
        </w:rPr>
      </w:pPr>
      <w:r>
        <w:rPr>
          <w:rFonts w:hint="eastAsia"/>
          <w:sz w:val="18"/>
          <w:vertAlign w:val="superscript"/>
        </w:rPr>
        <w:t>2</w:t>
      </w:r>
      <w:r>
        <w:rPr>
          <w:rFonts w:hint="eastAsia"/>
          <w:sz w:val="18"/>
        </w:rPr>
        <w:tab/>
      </w:r>
      <w:r>
        <w:rPr>
          <w:rFonts w:hint="eastAsia"/>
          <w:sz w:val="18"/>
        </w:rPr>
        <w:t>年度发病率根据每年的新病例诊断估计总数计算。</w:t>
      </w:r>
    </w:p>
    <w:p w:rsidR="00000000" w:rsidRDefault="00457650">
      <w:pPr>
        <w:keepNext/>
        <w:widowControl/>
        <w:tabs>
          <w:tab w:val="left" w:pos="630"/>
        </w:tabs>
        <w:spacing w:after="240" w:line="360" w:lineRule="exact"/>
        <w:rPr>
          <w:rFonts w:hint="eastAsia"/>
        </w:rPr>
      </w:pPr>
      <w:r>
        <w:rPr>
          <w:rFonts w:hint="eastAsia"/>
        </w:rPr>
        <w:t>577.</w:t>
      </w:r>
      <w:r>
        <w:rPr>
          <w:rFonts w:hint="eastAsia"/>
        </w:rPr>
        <w:tab/>
      </w:r>
      <w:r>
        <w:rPr>
          <w:rFonts w:hint="eastAsia"/>
        </w:rPr>
        <w:t>就墨西哥在防治艾滋病毒</w:t>
      </w:r>
      <w:r>
        <w:rPr>
          <w:rFonts w:hint="eastAsia"/>
        </w:rPr>
        <w:t>/</w:t>
      </w:r>
      <w:r>
        <w:rPr>
          <w:rFonts w:hint="eastAsia"/>
        </w:rPr>
        <w:t>艾滋病方面所取得的进展而言，值得一提的是：</w:t>
      </w:r>
    </w:p>
    <w:p w:rsidR="00000000" w:rsidRDefault="00457650" w:rsidP="00457650">
      <w:pPr>
        <w:keepNext/>
        <w:widowControl/>
        <w:numPr>
          <w:ilvl w:val="0"/>
          <w:numId w:val="1898"/>
        </w:numPr>
        <w:tabs>
          <w:tab w:val="clear" w:pos="900"/>
          <w:tab w:val="left" w:pos="1050"/>
        </w:tabs>
        <w:spacing w:after="240" w:line="360" w:lineRule="exact"/>
        <w:ind w:leftChars="300" w:left="31680"/>
        <w:rPr>
          <w:rFonts w:hint="eastAsia"/>
        </w:rPr>
      </w:pPr>
      <w:r>
        <w:rPr>
          <w:rFonts w:hint="eastAsia"/>
        </w:rPr>
        <w:t>通过在全国开展的</w:t>
      </w:r>
      <w:r>
        <w:rPr>
          <w:rFonts w:hint="eastAsia"/>
        </w:rPr>
        <w:t>400</w:t>
      </w:r>
      <w:r>
        <w:rPr>
          <w:rFonts w:hint="eastAsia"/>
        </w:rPr>
        <w:t>个教育项目，拨出</w:t>
      </w:r>
      <w:r>
        <w:rPr>
          <w:rFonts w:hint="eastAsia"/>
        </w:rPr>
        <w:t>2 000</w:t>
      </w:r>
      <w:r>
        <w:rPr>
          <w:rFonts w:hint="eastAsia"/>
        </w:rPr>
        <w:t>万元用于高危和易受伤害人群的艾滋病毒预防项目。</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对于在卫生机构注册的仍健在的艾滋病患者，提供免费抗逆转录酶病毒治疗的比例从</w:t>
      </w:r>
      <w:r>
        <w:rPr>
          <w:rFonts w:hint="eastAsia"/>
        </w:rPr>
        <w:t>84%</w:t>
      </w:r>
      <w:r>
        <w:rPr>
          <w:rFonts w:hint="eastAsia"/>
        </w:rPr>
        <w:t>提高到</w:t>
      </w:r>
      <w:r>
        <w:rPr>
          <w:rFonts w:hint="eastAsia"/>
        </w:rPr>
        <w:t>100%</w:t>
      </w:r>
      <w:r>
        <w:rPr>
          <w:rFonts w:hint="eastAsia"/>
        </w:rPr>
        <w:t>。</w:t>
      </w:r>
    </w:p>
    <w:p w:rsidR="00000000" w:rsidRDefault="00457650">
      <w:pPr>
        <w:widowControl/>
        <w:tabs>
          <w:tab w:val="left" w:pos="630"/>
        </w:tabs>
        <w:spacing w:after="240" w:line="360" w:lineRule="exact"/>
        <w:jc w:val="center"/>
        <w:rPr>
          <w:rFonts w:ascii="SimHei" w:eastAsia="SimHei" w:hint="eastAsia"/>
        </w:rPr>
      </w:pPr>
      <w:r>
        <w:rPr>
          <w:rFonts w:ascii="SimHei" w:eastAsia="SimHei" w:hint="eastAsia"/>
        </w:rPr>
        <w:t>艾滋病毒</w:t>
      </w:r>
      <w:r>
        <w:rPr>
          <w:rFonts w:ascii="SimHei" w:eastAsia="SimHei" w:hint="eastAsia"/>
        </w:rPr>
        <w:t>/</w:t>
      </w:r>
      <w:r>
        <w:rPr>
          <w:rFonts w:ascii="SimHei" w:eastAsia="SimHei" w:hint="eastAsia"/>
        </w:rPr>
        <w:t>艾滋病患者接受抗逆转录酶病毒</w:t>
      </w:r>
      <w:r>
        <w:rPr>
          <w:rFonts w:ascii="SimHei" w:eastAsia="SimHei" w:hint="eastAsia"/>
        </w:rPr>
        <w:t>药物治疗的百分比</w:t>
      </w:r>
    </w:p>
    <w:p w:rsidR="00000000" w:rsidRDefault="00457650">
      <w:pPr>
        <w:widowControl/>
        <w:tabs>
          <w:tab w:val="left" w:pos="630"/>
        </w:tabs>
        <w:spacing w:line="240" w:lineRule="auto"/>
        <w:jc w:val="center"/>
        <w:rPr>
          <w:rFonts w:eastAsia="KaiTi_GB2312" w:hint="eastAsia"/>
          <w:iCs/>
          <w:sz w:val="18"/>
        </w:rPr>
      </w:pPr>
      <w:r>
        <w:object w:dxaOrig="8790" w:dyaOrig="4305">
          <v:shape id="_x0000_i1028" type="#_x0000_t75" style="width:439.5pt;height:215.25pt" o:ole="">
            <v:imagedata r:id="rId165" o:title=""/>
          </v:shape>
          <o:OLEObject Type="Embed" ProgID="Excel.Chart.8" ShapeID="_x0000_i1028" DrawAspect="Content" ObjectID="_1394895081" r:id="rId166">
            <o:FieldCodes>\s</o:FieldCodes>
          </o:OLEObject>
        </w:object>
      </w:r>
    </w:p>
    <w:p w:rsidR="00000000" w:rsidRDefault="00457650" w:rsidP="00457650">
      <w:pPr>
        <w:widowControl/>
        <w:tabs>
          <w:tab w:val="left" w:pos="630"/>
        </w:tabs>
        <w:spacing w:after="240" w:line="360" w:lineRule="exact"/>
        <w:ind w:firstLineChars="300" w:firstLine="31680"/>
        <w:rPr>
          <w:rFonts w:hint="eastAsia"/>
          <w:iCs/>
          <w:sz w:val="18"/>
        </w:rPr>
      </w:pPr>
      <w:r>
        <w:rPr>
          <w:rFonts w:eastAsia="KaiTi_GB2312" w:hint="eastAsia"/>
          <w:iCs/>
          <w:sz w:val="18"/>
        </w:rPr>
        <w:t>资料来源</w:t>
      </w:r>
      <w:r>
        <w:rPr>
          <w:rFonts w:hint="eastAsia"/>
          <w:iCs/>
          <w:sz w:val="18"/>
        </w:rPr>
        <w:t>：卫生部。</w:t>
      </w:r>
    </w:p>
    <w:p w:rsidR="00000000" w:rsidRDefault="00457650">
      <w:pPr>
        <w:widowControl/>
        <w:tabs>
          <w:tab w:val="left" w:pos="630"/>
        </w:tabs>
        <w:spacing w:after="240" w:line="340" w:lineRule="exact"/>
        <w:rPr>
          <w:rFonts w:hint="eastAsia"/>
        </w:rPr>
      </w:pPr>
      <w:r>
        <w:rPr>
          <w:rFonts w:hint="eastAsia"/>
        </w:rPr>
        <w:t>578.</w:t>
      </w:r>
      <w:r>
        <w:rPr>
          <w:rFonts w:hint="eastAsia"/>
        </w:rPr>
        <w:tab/>
      </w:r>
      <w:r>
        <w:rPr>
          <w:rFonts w:hint="eastAsia"/>
        </w:rPr>
        <w:t>到</w:t>
      </w:r>
      <w:r>
        <w:rPr>
          <w:rFonts w:hint="eastAsia"/>
        </w:rPr>
        <w:t>2003</w:t>
      </w:r>
      <w:r>
        <w:rPr>
          <w:rFonts w:hint="eastAsia"/>
        </w:rPr>
        <w:t>年底，持续开展了一个项目，其目的是在受危险行为影响人群和一般更容易感染艾滋病和其他性传播疾病的人群中推广正确使用安全套，作为该项目的组成部分之一，通过民间组织、教育中心和不同层次的公共管理部门发放了</w:t>
      </w:r>
      <w:r>
        <w:rPr>
          <w:rFonts w:hint="eastAsia"/>
        </w:rPr>
        <w:t>16</w:t>
      </w:r>
      <w:r>
        <w:t xml:space="preserve"> </w:t>
      </w:r>
      <w:r>
        <w:rPr>
          <w:rFonts w:hint="eastAsia"/>
        </w:rPr>
        <w:t>500</w:t>
      </w:r>
      <w:r>
        <w:t xml:space="preserve"> </w:t>
      </w:r>
      <w:r>
        <w:rPr>
          <w:rFonts w:hint="eastAsia"/>
        </w:rPr>
        <w:t>000</w:t>
      </w:r>
      <w:r>
        <w:rPr>
          <w:rFonts w:hint="eastAsia"/>
        </w:rPr>
        <w:t>个安全套。</w:t>
      </w:r>
    </w:p>
    <w:p w:rsidR="00000000" w:rsidRDefault="00457650">
      <w:pPr>
        <w:widowControl/>
        <w:tabs>
          <w:tab w:val="left" w:pos="630"/>
        </w:tabs>
        <w:spacing w:after="240" w:line="340" w:lineRule="exact"/>
        <w:rPr>
          <w:rFonts w:hint="eastAsia"/>
        </w:rPr>
      </w:pPr>
      <w:r>
        <w:rPr>
          <w:rFonts w:hint="eastAsia"/>
        </w:rPr>
        <w:t>579.</w:t>
      </w:r>
      <w:r>
        <w:rPr>
          <w:rFonts w:hint="eastAsia"/>
        </w:rPr>
        <w:tab/>
      </w:r>
      <w:r>
        <w:rPr>
          <w:rFonts w:hint="eastAsia"/>
        </w:rPr>
        <w:t>从</w:t>
      </w:r>
      <w:r>
        <w:rPr>
          <w:rFonts w:hint="eastAsia"/>
        </w:rPr>
        <w:t>2001</w:t>
      </w:r>
      <w:r>
        <w:rPr>
          <w:rFonts w:hint="eastAsia"/>
        </w:rPr>
        <w:t>到</w:t>
      </w:r>
      <w:r>
        <w:rPr>
          <w:rFonts w:hint="eastAsia"/>
        </w:rPr>
        <w:t>2004</w:t>
      </w:r>
      <w:r>
        <w:rPr>
          <w:rFonts w:hint="eastAsia"/>
        </w:rPr>
        <w:t>年，每名患者每年的治疗费用从</w:t>
      </w:r>
      <w:r>
        <w:rPr>
          <w:rFonts w:hint="eastAsia"/>
        </w:rPr>
        <w:t>73</w:t>
      </w:r>
      <w:r>
        <w:t xml:space="preserve"> </w:t>
      </w:r>
      <w:r>
        <w:rPr>
          <w:rFonts w:hint="eastAsia"/>
        </w:rPr>
        <w:t>000</w:t>
      </w:r>
      <w:r>
        <w:rPr>
          <w:rFonts w:hint="eastAsia"/>
        </w:rPr>
        <w:t>比索下降到</w:t>
      </w:r>
      <w:r>
        <w:rPr>
          <w:rFonts w:hint="eastAsia"/>
        </w:rPr>
        <w:t>51</w:t>
      </w:r>
      <w:r>
        <w:t xml:space="preserve"> </w:t>
      </w:r>
      <w:r>
        <w:rPr>
          <w:rFonts w:hint="eastAsia"/>
        </w:rPr>
        <w:t>000</w:t>
      </w:r>
      <w:r>
        <w:rPr>
          <w:rFonts w:hint="eastAsia"/>
        </w:rPr>
        <w:t>比索。在</w:t>
      </w:r>
      <w:r>
        <w:rPr>
          <w:rFonts w:hint="eastAsia"/>
        </w:rPr>
        <w:t>2002</w:t>
      </w:r>
      <w:r>
        <w:rPr>
          <w:rFonts w:hint="eastAsia"/>
        </w:rPr>
        <w:t>年</w:t>
      </w:r>
      <w:r>
        <w:rPr>
          <w:rFonts w:hint="eastAsia"/>
        </w:rPr>
        <w:t>6</w:t>
      </w:r>
      <w:r>
        <w:rPr>
          <w:rFonts w:hint="eastAsia"/>
        </w:rPr>
        <w:t>月，最终达成了降低一线抗逆转录酶病毒治疗价格的协议，这</w:t>
      </w:r>
      <w:r>
        <w:rPr>
          <w:rFonts w:hint="eastAsia"/>
        </w:rPr>
        <w:t>是感染艾滋病毒者使用最广泛的治疗方法。</w:t>
      </w:r>
      <w:r>
        <w:rPr>
          <w:rFonts w:hint="eastAsia"/>
        </w:rPr>
        <w:t>2001</w:t>
      </w:r>
      <w:r>
        <w:rPr>
          <w:rFonts w:hint="eastAsia"/>
        </w:rPr>
        <w:t>年这种治疗方法的价格是</w:t>
      </w:r>
      <w:r>
        <w:rPr>
          <w:rFonts w:hint="eastAsia"/>
        </w:rPr>
        <w:t>1</w:t>
      </w:r>
      <w:r>
        <w:t xml:space="preserve"> </w:t>
      </w:r>
      <w:r>
        <w:rPr>
          <w:rFonts w:hint="eastAsia"/>
        </w:rPr>
        <w:t>000</w:t>
      </w:r>
      <w:r>
        <w:rPr>
          <w:rFonts w:hint="eastAsia"/>
        </w:rPr>
        <w:t>到</w:t>
      </w:r>
      <w:r>
        <w:rPr>
          <w:rFonts w:hint="eastAsia"/>
        </w:rPr>
        <w:t>5</w:t>
      </w:r>
      <w:r>
        <w:t xml:space="preserve"> </w:t>
      </w:r>
      <w:r>
        <w:rPr>
          <w:rFonts w:hint="eastAsia"/>
        </w:rPr>
        <w:t>000</w:t>
      </w:r>
      <w:r>
        <w:rPr>
          <w:rFonts w:hint="eastAsia"/>
        </w:rPr>
        <w:t>元，现在价格是</w:t>
      </w:r>
      <w:r>
        <w:rPr>
          <w:rFonts w:hint="eastAsia"/>
        </w:rPr>
        <w:t>350</w:t>
      </w:r>
      <w:r>
        <w:rPr>
          <w:rFonts w:hint="eastAsia"/>
        </w:rPr>
        <w:t>到</w:t>
      </w:r>
      <w:r>
        <w:rPr>
          <w:rFonts w:hint="eastAsia"/>
        </w:rPr>
        <w:t>690</w:t>
      </w:r>
      <w:r>
        <w:rPr>
          <w:rFonts w:hint="eastAsia"/>
        </w:rPr>
        <w:t>元。</w:t>
      </w:r>
    </w:p>
    <w:p w:rsidR="00000000" w:rsidRDefault="00457650">
      <w:pPr>
        <w:widowControl/>
        <w:tabs>
          <w:tab w:val="left" w:pos="630"/>
        </w:tabs>
        <w:spacing w:after="240" w:line="340" w:lineRule="exact"/>
        <w:rPr>
          <w:rFonts w:hint="eastAsia"/>
        </w:rPr>
      </w:pPr>
      <w:r>
        <w:rPr>
          <w:rFonts w:hint="eastAsia"/>
        </w:rPr>
        <w:t>580</w:t>
      </w:r>
      <w:r>
        <w:t>.</w:t>
      </w:r>
      <w:r>
        <w:rPr>
          <w:rFonts w:hint="eastAsia"/>
        </w:rPr>
        <w:tab/>
      </w:r>
      <w:r>
        <w:rPr>
          <w:rFonts w:hint="eastAsia"/>
        </w:rPr>
        <w:t>艾滋病毒检测数量增加了</w:t>
      </w:r>
      <w:r>
        <w:rPr>
          <w:rFonts w:hint="eastAsia"/>
        </w:rPr>
        <w:t>10.5%</w:t>
      </w:r>
      <w:r>
        <w:rPr>
          <w:rFonts w:hint="eastAsia"/>
        </w:rPr>
        <w:t>，从</w:t>
      </w:r>
      <w:r>
        <w:rPr>
          <w:rFonts w:hint="eastAsia"/>
        </w:rPr>
        <w:t>2002</w:t>
      </w:r>
      <w:r>
        <w:rPr>
          <w:rFonts w:hint="eastAsia"/>
        </w:rPr>
        <w:t>年的</w:t>
      </w:r>
      <w:r>
        <w:rPr>
          <w:rFonts w:hint="eastAsia"/>
        </w:rPr>
        <w:t>448</w:t>
      </w:r>
      <w:r>
        <w:t xml:space="preserve"> </w:t>
      </w:r>
      <w:r>
        <w:rPr>
          <w:rFonts w:hint="eastAsia"/>
        </w:rPr>
        <w:t>825</w:t>
      </w:r>
      <w:r>
        <w:rPr>
          <w:rFonts w:hint="eastAsia"/>
        </w:rPr>
        <w:t>次增加到</w:t>
      </w:r>
      <w:r>
        <w:rPr>
          <w:rFonts w:hint="eastAsia"/>
        </w:rPr>
        <w:t>2003</w:t>
      </w:r>
      <w:r>
        <w:rPr>
          <w:rFonts w:hint="eastAsia"/>
        </w:rPr>
        <w:t>年的</w:t>
      </w:r>
      <w:r>
        <w:rPr>
          <w:rFonts w:hint="eastAsia"/>
        </w:rPr>
        <w:t>495</w:t>
      </w:r>
      <w:r>
        <w:t xml:space="preserve"> </w:t>
      </w:r>
      <w:r>
        <w:rPr>
          <w:rFonts w:hint="eastAsia"/>
        </w:rPr>
        <w:t>993</w:t>
      </w:r>
      <w:r>
        <w:rPr>
          <w:rFonts w:hint="eastAsia"/>
        </w:rPr>
        <w:t>次。</w:t>
      </w:r>
    </w:p>
    <w:p w:rsidR="00000000" w:rsidRDefault="00457650">
      <w:pPr>
        <w:widowControl/>
        <w:tabs>
          <w:tab w:val="left" w:pos="630"/>
        </w:tabs>
        <w:spacing w:after="240" w:line="340" w:lineRule="exact"/>
        <w:rPr>
          <w:rFonts w:hint="eastAsia"/>
        </w:rPr>
      </w:pPr>
      <w:r>
        <w:rPr>
          <w:rFonts w:hint="eastAsia"/>
        </w:rPr>
        <w:t>581.</w:t>
      </w:r>
      <w:r>
        <w:rPr>
          <w:rFonts w:hint="eastAsia"/>
        </w:rPr>
        <w:tab/>
        <w:t>2003</w:t>
      </w:r>
      <w:r>
        <w:rPr>
          <w:rFonts w:hint="eastAsia"/>
        </w:rPr>
        <w:t>年，进行了</w:t>
      </w:r>
      <w:r>
        <w:rPr>
          <w:rFonts w:hint="eastAsia"/>
        </w:rPr>
        <w:t>408</w:t>
      </w:r>
      <w:r>
        <w:t xml:space="preserve"> </w:t>
      </w:r>
      <w:r>
        <w:rPr>
          <w:rFonts w:hint="eastAsia"/>
        </w:rPr>
        <w:t>000</w:t>
      </w:r>
      <w:r>
        <w:rPr>
          <w:rFonts w:hint="eastAsia"/>
        </w:rPr>
        <w:t>次性病治疗咨询，前一年的数量是</w:t>
      </w:r>
      <w:r>
        <w:rPr>
          <w:rFonts w:hint="eastAsia"/>
        </w:rPr>
        <w:t>360</w:t>
      </w:r>
      <w:r>
        <w:t xml:space="preserve"> </w:t>
      </w:r>
      <w:r>
        <w:rPr>
          <w:rFonts w:hint="eastAsia"/>
        </w:rPr>
        <w:t>000</w:t>
      </w:r>
      <w:r>
        <w:rPr>
          <w:rFonts w:hint="eastAsia"/>
        </w:rPr>
        <w:t>次，这意味着增加了</w:t>
      </w:r>
      <w:r>
        <w:rPr>
          <w:rFonts w:hint="eastAsia"/>
        </w:rPr>
        <w:t>13.3%</w:t>
      </w:r>
      <w:r>
        <w:rPr>
          <w:rFonts w:hint="eastAsia"/>
        </w:rPr>
        <w:t>。</w:t>
      </w:r>
    </w:p>
    <w:p w:rsidR="00000000" w:rsidRDefault="00457650">
      <w:pPr>
        <w:widowControl/>
        <w:tabs>
          <w:tab w:val="left" w:pos="630"/>
        </w:tabs>
        <w:spacing w:after="240" w:line="340" w:lineRule="exact"/>
        <w:rPr>
          <w:rFonts w:hint="eastAsia"/>
        </w:rPr>
      </w:pPr>
      <w:r>
        <w:rPr>
          <w:rFonts w:hint="eastAsia"/>
        </w:rPr>
        <w:t>582.</w:t>
      </w:r>
      <w:r>
        <w:rPr>
          <w:rFonts w:hint="eastAsia"/>
        </w:rPr>
        <w:tab/>
      </w:r>
      <w:r>
        <w:rPr>
          <w:rFonts w:hint="eastAsia"/>
        </w:rPr>
        <w:t>为了向没参加社会保险的艾滋病毒</w:t>
      </w:r>
      <w:r>
        <w:rPr>
          <w:rFonts w:hint="eastAsia"/>
        </w:rPr>
        <w:t>/</w:t>
      </w:r>
      <w:r>
        <w:rPr>
          <w:rFonts w:hint="eastAsia"/>
        </w:rPr>
        <w:t>艾滋病患者提供充分的治疗，卫生部专门保健单位从</w:t>
      </w:r>
      <w:r>
        <w:rPr>
          <w:rFonts w:hint="eastAsia"/>
        </w:rPr>
        <w:t>2002</w:t>
      </w:r>
      <w:r>
        <w:rPr>
          <w:rFonts w:hint="eastAsia"/>
        </w:rPr>
        <w:t>年的</w:t>
      </w:r>
      <w:r>
        <w:rPr>
          <w:rFonts w:hint="eastAsia"/>
        </w:rPr>
        <w:t>76</w:t>
      </w:r>
      <w:r>
        <w:rPr>
          <w:rFonts w:hint="eastAsia"/>
        </w:rPr>
        <w:t>个上升到</w:t>
      </w:r>
      <w:r>
        <w:rPr>
          <w:rFonts w:hint="eastAsia"/>
        </w:rPr>
        <w:t>2003</w:t>
      </w:r>
      <w:r>
        <w:rPr>
          <w:rFonts w:hint="eastAsia"/>
        </w:rPr>
        <w:t>年的</w:t>
      </w:r>
      <w:r>
        <w:rPr>
          <w:rFonts w:hint="eastAsia"/>
        </w:rPr>
        <w:t>94</w:t>
      </w:r>
      <w:r>
        <w:rPr>
          <w:rFonts w:hint="eastAsia"/>
        </w:rPr>
        <w:t>个，增加了</w:t>
      </w:r>
      <w:r>
        <w:rPr>
          <w:rFonts w:hint="eastAsia"/>
        </w:rPr>
        <w:t>23%</w:t>
      </w:r>
      <w:r>
        <w:rPr>
          <w:rFonts w:hint="eastAsia"/>
        </w:rPr>
        <w:t>。这些新单位设</w:t>
      </w:r>
      <w:r>
        <w:rPr>
          <w:rFonts w:hint="eastAsia"/>
        </w:rPr>
        <w:t>立在艾滋病毒</w:t>
      </w:r>
      <w:r>
        <w:rPr>
          <w:rFonts w:hint="eastAsia"/>
        </w:rPr>
        <w:t>/</w:t>
      </w:r>
      <w:r>
        <w:rPr>
          <w:rFonts w:hint="eastAsia"/>
        </w:rPr>
        <w:t>艾滋病患者感染数量最高的州和因为距离遥远而难以获得医疗保健的州。</w:t>
      </w:r>
    </w:p>
    <w:p w:rsidR="00000000" w:rsidRDefault="00457650">
      <w:pPr>
        <w:widowControl/>
        <w:tabs>
          <w:tab w:val="left" w:pos="630"/>
        </w:tabs>
        <w:spacing w:after="240" w:line="360" w:lineRule="exact"/>
        <w:rPr>
          <w:rFonts w:eastAsia="SimHei" w:hint="eastAsia"/>
        </w:rPr>
      </w:pPr>
      <w:r>
        <w:rPr>
          <w:rFonts w:eastAsia="SimHei" w:hint="eastAsia"/>
        </w:rPr>
        <w:tab/>
      </w:r>
      <w:r>
        <w:rPr>
          <w:rFonts w:eastAsia="SimHei" w:hint="eastAsia"/>
        </w:rPr>
        <w:t>慢性变性疾病</w:t>
      </w:r>
    </w:p>
    <w:p w:rsidR="00000000" w:rsidRDefault="00457650">
      <w:pPr>
        <w:widowControl/>
        <w:tabs>
          <w:tab w:val="left" w:pos="630"/>
        </w:tabs>
        <w:spacing w:after="240" w:line="360" w:lineRule="exact"/>
        <w:rPr>
          <w:rFonts w:hint="eastAsia"/>
        </w:rPr>
      </w:pPr>
      <w:r>
        <w:rPr>
          <w:rFonts w:hint="eastAsia"/>
        </w:rPr>
        <w:t>583.</w:t>
      </w:r>
      <w:r>
        <w:rPr>
          <w:rFonts w:hint="eastAsia"/>
        </w:rPr>
        <w:tab/>
      </w:r>
      <w:r>
        <w:rPr>
          <w:rFonts w:hint="eastAsia"/>
        </w:rPr>
        <w:t>墨西哥流行病转变周期的显著特点是非传染疾病占主流，其中包括糖尿病和动脉高血压，原因是人口老龄化和工业化和城市化导致的危险增加。</w:t>
      </w:r>
    </w:p>
    <w:p w:rsidR="00000000" w:rsidRDefault="00457650">
      <w:pPr>
        <w:keepNext/>
        <w:widowControl/>
        <w:tabs>
          <w:tab w:val="left" w:pos="630"/>
        </w:tabs>
        <w:spacing w:after="240" w:line="360" w:lineRule="exact"/>
        <w:rPr>
          <w:rFonts w:eastAsia="SimHei" w:hint="eastAsia"/>
        </w:rPr>
      </w:pPr>
      <w:r>
        <w:rPr>
          <w:rFonts w:eastAsia="SimHei" w:hint="eastAsia"/>
        </w:rPr>
        <w:tab/>
      </w:r>
      <w:r>
        <w:rPr>
          <w:rFonts w:eastAsia="SimHei" w:hint="eastAsia"/>
        </w:rPr>
        <w:t>糖尿病</w:t>
      </w:r>
    </w:p>
    <w:p w:rsidR="00000000" w:rsidRDefault="00457650">
      <w:pPr>
        <w:keepNext/>
        <w:widowControl/>
        <w:tabs>
          <w:tab w:val="left" w:pos="630"/>
        </w:tabs>
        <w:spacing w:after="240" w:line="360" w:lineRule="exact"/>
        <w:rPr>
          <w:rFonts w:hint="eastAsia"/>
        </w:rPr>
      </w:pPr>
      <w:r>
        <w:rPr>
          <w:rFonts w:hint="eastAsia"/>
        </w:rPr>
        <w:t>584.</w:t>
      </w:r>
      <w:r>
        <w:rPr>
          <w:rFonts w:hint="eastAsia"/>
        </w:rPr>
        <w:tab/>
      </w:r>
      <w:r>
        <w:rPr>
          <w:rFonts w:hint="eastAsia"/>
        </w:rPr>
        <w:t>在糖尿病类目下，所开展的活动包括推广健康生活方式；早期发现糖尿病；通过参加互助团培训医疗工作人员和大众，帮助患者控制代谢，还可以为此开展社会和教育交流运动。</w:t>
      </w:r>
    </w:p>
    <w:p w:rsidR="00000000" w:rsidRDefault="00457650">
      <w:pPr>
        <w:widowControl/>
        <w:tabs>
          <w:tab w:val="left" w:pos="630"/>
        </w:tabs>
        <w:spacing w:after="240" w:line="360" w:lineRule="exact"/>
        <w:rPr>
          <w:rFonts w:hint="eastAsia"/>
        </w:rPr>
      </w:pPr>
      <w:r>
        <w:rPr>
          <w:rFonts w:hint="eastAsia"/>
        </w:rPr>
        <w:t>585.</w:t>
      </w:r>
      <w:r>
        <w:rPr>
          <w:rFonts w:hint="eastAsia"/>
        </w:rPr>
        <w:tab/>
      </w:r>
      <w:r>
        <w:rPr>
          <w:rFonts w:hint="eastAsia"/>
        </w:rPr>
        <w:t>在泛美卫生组织的协助下，墨西哥实施了“提高糖尿病患者健康质量”项目，旨在提高保健服务单位的</w:t>
      </w:r>
      <w:r>
        <w:rPr>
          <w:rFonts w:hint="eastAsia"/>
        </w:rPr>
        <w:t>诊断和控制糖尿病能力，实施保证糖尿病医护质量的战略。</w:t>
      </w:r>
    </w:p>
    <w:p w:rsidR="00000000" w:rsidRDefault="00457650">
      <w:pPr>
        <w:widowControl/>
        <w:tabs>
          <w:tab w:val="left" w:pos="630"/>
        </w:tabs>
        <w:spacing w:after="240" w:line="360" w:lineRule="exact"/>
        <w:rPr>
          <w:rFonts w:hint="eastAsia"/>
        </w:rPr>
      </w:pPr>
      <w:r>
        <w:rPr>
          <w:rFonts w:hint="eastAsia"/>
        </w:rPr>
        <w:t>586.</w:t>
      </w:r>
      <w:r>
        <w:rPr>
          <w:rFonts w:hint="eastAsia"/>
        </w:rPr>
        <w:tab/>
        <w:t>2002</w:t>
      </w:r>
      <w:r>
        <w:rPr>
          <w:rFonts w:hint="eastAsia"/>
        </w:rPr>
        <w:t>年，进行了</w:t>
      </w:r>
      <w:r>
        <w:rPr>
          <w:rFonts w:hint="eastAsia"/>
        </w:rPr>
        <w:t>610</w:t>
      </w:r>
      <w:r>
        <w:rPr>
          <w:rFonts w:hint="eastAsia"/>
        </w:rPr>
        <w:t>多万次的糖尿病检测，这一数字在</w:t>
      </w:r>
      <w:r>
        <w:rPr>
          <w:rFonts w:hint="eastAsia"/>
        </w:rPr>
        <w:t>2003</w:t>
      </w:r>
      <w:r>
        <w:rPr>
          <w:rFonts w:hint="eastAsia"/>
        </w:rPr>
        <w:t>年上升到</w:t>
      </w:r>
      <w:r>
        <w:rPr>
          <w:rFonts w:hint="eastAsia"/>
        </w:rPr>
        <w:t>650</w:t>
      </w:r>
      <w:r>
        <w:rPr>
          <w:rFonts w:hint="eastAsia"/>
        </w:rPr>
        <w:t>万次，增加了</w:t>
      </w:r>
      <w:r>
        <w:rPr>
          <w:rFonts w:hint="eastAsia"/>
        </w:rPr>
        <w:t>7%</w:t>
      </w:r>
      <w:r>
        <w:rPr>
          <w:rFonts w:hint="eastAsia"/>
        </w:rPr>
        <w:t>。</w:t>
      </w:r>
    </w:p>
    <w:p w:rsidR="00000000" w:rsidRDefault="00457650">
      <w:pPr>
        <w:widowControl/>
        <w:tabs>
          <w:tab w:val="left" w:pos="630"/>
        </w:tabs>
        <w:spacing w:after="240" w:line="360" w:lineRule="exact"/>
        <w:rPr>
          <w:rFonts w:hint="eastAsia"/>
        </w:rPr>
      </w:pPr>
      <w:r>
        <w:rPr>
          <w:rFonts w:hint="eastAsia"/>
        </w:rPr>
        <w:t>587.</w:t>
      </w:r>
      <w:r>
        <w:rPr>
          <w:rFonts w:hint="eastAsia"/>
        </w:rPr>
        <w:tab/>
      </w:r>
      <w:r>
        <w:rPr>
          <w:rFonts w:hint="eastAsia"/>
        </w:rPr>
        <w:t>在卫生部门各机构共有</w:t>
      </w:r>
      <w:r>
        <w:rPr>
          <w:rFonts w:hint="eastAsia"/>
        </w:rPr>
        <w:t>7</w:t>
      </w:r>
      <w:r>
        <w:t xml:space="preserve"> </w:t>
      </w:r>
      <w:r>
        <w:rPr>
          <w:rFonts w:hint="eastAsia"/>
        </w:rPr>
        <w:t>413</w:t>
      </w:r>
      <w:r>
        <w:rPr>
          <w:rFonts w:hint="eastAsia"/>
        </w:rPr>
        <w:t>个互助团在发挥作用，约有</w:t>
      </w:r>
      <w:r>
        <w:rPr>
          <w:rFonts w:hint="eastAsia"/>
        </w:rPr>
        <w:t>132</w:t>
      </w:r>
      <w:r>
        <w:t xml:space="preserve"> </w:t>
      </w:r>
      <w:r>
        <w:rPr>
          <w:rFonts w:hint="eastAsia"/>
        </w:rPr>
        <w:t>000</w:t>
      </w:r>
      <w:r>
        <w:rPr>
          <w:rFonts w:hint="eastAsia"/>
        </w:rPr>
        <w:t>名糖尿病、动脉高血压和肥胖患者参加这些互助团。</w:t>
      </w:r>
    </w:p>
    <w:p w:rsidR="00000000" w:rsidRDefault="00457650">
      <w:pPr>
        <w:widowControl/>
        <w:tabs>
          <w:tab w:val="left" w:pos="630"/>
        </w:tabs>
        <w:spacing w:after="240" w:line="360" w:lineRule="exact"/>
        <w:jc w:val="center"/>
        <w:rPr>
          <w:rFonts w:ascii="SimHei" w:eastAsia="SimHei" w:hint="eastAsia"/>
        </w:rPr>
      </w:pPr>
      <w:r>
        <w:rPr>
          <w:rFonts w:ascii="SimHei" w:eastAsia="SimHei" w:hint="eastAsia"/>
        </w:rPr>
        <w:t>慢性变性疾病——糖尿病</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7"/>
        <w:gridCol w:w="3356"/>
        <w:gridCol w:w="3238"/>
      </w:tblGrid>
      <w:tr w:rsidR="00000000">
        <w:tc>
          <w:tcPr>
            <w:tcW w:w="1649" w:type="pct"/>
          </w:tcPr>
          <w:p w:rsidR="00000000" w:rsidRDefault="00457650">
            <w:pPr>
              <w:widowControl/>
              <w:tabs>
                <w:tab w:val="left" w:pos="630"/>
              </w:tabs>
              <w:spacing w:after="120" w:line="320" w:lineRule="exact"/>
              <w:jc w:val="center"/>
              <w:rPr>
                <w:rFonts w:ascii="KaiTi_GB2312" w:eastAsia="KaiTi_GB2312" w:hint="eastAsia"/>
                <w:iCs/>
                <w:sz w:val="18"/>
              </w:rPr>
            </w:pPr>
            <w:r>
              <w:rPr>
                <w:rFonts w:ascii="KaiTi_GB2312" w:eastAsia="KaiTi_GB2312" w:hint="eastAsia"/>
                <w:iCs/>
                <w:sz w:val="18"/>
              </w:rPr>
              <w:t>行动</w:t>
            </w:r>
          </w:p>
        </w:tc>
        <w:tc>
          <w:tcPr>
            <w:tcW w:w="1705" w:type="pct"/>
          </w:tcPr>
          <w:p w:rsidR="00000000" w:rsidRDefault="00457650">
            <w:pPr>
              <w:widowControl/>
              <w:tabs>
                <w:tab w:val="left" w:pos="630"/>
              </w:tabs>
              <w:spacing w:after="120" w:line="320" w:lineRule="exact"/>
              <w:jc w:val="center"/>
              <w:rPr>
                <w:rFonts w:ascii="KaiTi_GB2312" w:eastAsia="KaiTi_GB2312" w:hint="eastAsia"/>
                <w:iCs/>
                <w:sz w:val="18"/>
              </w:rPr>
            </w:pPr>
            <w:r>
              <w:rPr>
                <w:rFonts w:ascii="KaiTi_GB2312" w:eastAsia="KaiTi_GB2312" w:hint="eastAsia"/>
                <w:iCs/>
                <w:sz w:val="18"/>
              </w:rPr>
              <w:t>2002</w:t>
            </w:r>
            <w:r>
              <w:rPr>
                <w:rFonts w:ascii="KaiTi_GB2312" w:eastAsia="KaiTi_GB2312" w:hint="eastAsia"/>
                <w:iCs/>
                <w:sz w:val="18"/>
              </w:rPr>
              <w:t>年</w:t>
            </w:r>
          </w:p>
        </w:tc>
        <w:tc>
          <w:tcPr>
            <w:tcW w:w="1645" w:type="pct"/>
          </w:tcPr>
          <w:p w:rsidR="00000000" w:rsidRDefault="00457650">
            <w:pPr>
              <w:widowControl/>
              <w:tabs>
                <w:tab w:val="left" w:pos="630"/>
              </w:tabs>
              <w:spacing w:after="120" w:line="320" w:lineRule="exact"/>
              <w:jc w:val="center"/>
              <w:rPr>
                <w:rFonts w:ascii="KaiTi_GB2312" w:eastAsia="KaiTi_GB2312" w:hint="eastAsia"/>
                <w:iCs/>
                <w:sz w:val="18"/>
              </w:rPr>
            </w:pPr>
            <w:r>
              <w:rPr>
                <w:rFonts w:ascii="KaiTi_GB2312" w:eastAsia="KaiTi_GB2312" w:hint="eastAsia"/>
                <w:iCs/>
                <w:sz w:val="18"/>
              </w:rPr>
              <w:t>2003</w:t>
            </w:r>
            <w:r>
              <w:rPr>
                <w:rFonts w:ascii="KaiTi_GB2312" w:eastAsia="KaiTi_GB2312" w:hint="eastAsia"/>
                <w:iCs/>
                <w:sz w:val="18"/>
              </w:rPr>
              <w:t>年</w:t>
            </w:r>
          </w:p>
        </w:tc>
      </w:tr>
      <w:tr w:rsidR="00000000">
        <w:tc>
          <w:tcPr>
            <w:tcW w:w="1649" w:type="pct"/>
          </w:tcPr>
          <w:p w:rsidR="00000000" w:rsidRDefault="00457650">
            <w:pPr>
              <w:widowControl/>
              <w:tabs>
                <w:tab w:val="left" w:pos="630"/>
              </w:tabs>
              <w:spacing w:after="120" w:line="320" w:lineRule="exact"/>
              <w:rPr>
                <w:rFonts w:hint="eastAsia"/>
                <w:sz w:val="18"/>
              </w:rPr>
            </w:pPr>
            <w:r>
              <w:rPr>
                <w:rFonts w:hint="eastAsia"/>
                <w:sz w:val="18"/>
              </w:rPr>
              <w:t>发现的病例</w:t>
            </w:r>
          </w:p>
        </w:tc>
        <w:tc>
          <w:tcPr>
            <w:tcW w:w="1705" w:type="pct"/>
          </w:tcPr>
          <w:p w:rsidR="00000000" w:rsidRDefault="00457650" w:rsidP="00457650">
            <w:pPr>
              <w:widowControl/>
              <w:tabs>
                <w:tab w:val="left" w:pos="630"/>
              </w:tabs>
              <w:spacing w:after="120" w:line="320" w:lineRule="exact"/>
              <w:ind w:rightChars="578" w:right="31680"/>
              <w:jc w:val="right"/>
              <w:rPr>
                <w:sz w:val="18"/>
              </w:rPr>
            </w:pPr>
            <w:r>
              <w:rPr>
                <w:sz w:val="18"/>
              </w:rPr>
              <w:t>6 107 822</w:t>
            </w:r>
          </w:p>
        </w:tc>
        <w:tc>
          <w:tcPr>
            <w:tcW w:w="1645" w:type="pct"/>
          </w:tcPr>
          <w:p w:rsidR="00000000" w:rsidRDefault="00457650" w:rsidP="00457650">
            <w:pPr>
              <w:widowControl/>
              <w:tabs>
                <w:tab w:val="left" w:pos="630"/>
              </w:tabs>
              <w:spacing w:after="120" w:line="320" w:lineRule="exact"/>
              <w:ind w:rightChars="578" w:right="31680"/>
              <w:jc w:val="right"/>
              <w:rPr>
                <w:sz w:val="18"/>
                <w:u w:val="single"/>
              </w:rPr>
            </w:pPr>
            <w:r>
              <w:rPr>
                <w:sz w:val="18"/>
              </w:rPr>
              <w:t>6 539 322</w:t>
            </w:r>
          </w:p>
        </w:tc>
      </w:tr>
      <w:tr w:rsidR="00000000">
        <w:tc>
          <w:tcPr>
            <w:tcW w:w="1649" w:type="pct"/>
          </w:tcPr>
          <w:p w:rsidR="00000000" w:rsidRDefault="00457650">
            <w:pPr>
              <w:widowControl/>
              <w:tabs>
                <w:tab w:val="left" w:pos="630"/>
              </w:tabs>
              <w:spacing w:after="120" w:line="320" w:lineRule="exact"/>
              <w:rPr>
                <w:rFonts w:hint="eastAsia"/>
                <w:sz w:val="18"/>
              </w:rPr>
            </w:pPr>
            <w:r>
              <w:rPr>
                <w:rFonts w:hint="eastAsia"/>
                <w:sz w:val="18"/>
              </w:rPr>
              <w:t>治疗的病例</w:t>
            </w:r>
          </w:p>
        </w:tc>
        <w:tc>
          <w:tcPr>
            <w:tcW w:w="1705" w:type="pct"/>
          </w:tcPr>
          <w:p w:rsidR="00000000" w:rsidRDefault="00457650" w:rsidP="00457650">
            <w:pPr>
              <w:widowControl/>
              <w:tabs>
                <w:tab w:val="left" w:pos="630"/>
              </w:tabs>
              <w:spacing w:after="120" w:line="320" w:lineRule="exact"/>
              <w:ind w:rightChars="578" w:right="31680"/>
              <w:jc w:val="right"/>
              <w:rPr>
                <w:sz w:val="18"/>
              </w:rPr>
            </w:pPr>
            <w:r>
              <w:rPr>
                <w:sz w:val="18"/>
              </w:rPr>
              <w:t>321 857</w:t>
            </w:r>
          </w:p>
        </w:tc>
        <w:tc>
          <w:tcPr>
            <w:tcW w:w="1645" w:type="pct"/>
          </w:tcPr>
          <w:p w:rsidR="00000000" w:rsidRDefault="00457650" w:rsidP="00457650">
            <w:pPr>
              <w:widowControl/>
              <w:tabs>
                <w:tab w:val="left" w:pos="630"/>
              </w:tabs>
              <w:spacing w:after="120" w:line="320" w:lineRule="exact"/>
              <w:ind w:rightChars="578" w:right="31680"/>
              <w:jc w:val="right"/>
              <w:rPr>
                <w:sz w:val="18"/>
              </w:rPr>
            </w:pPr>
            <w:r>
              <w:rPr>
                <w:sz w:val="18"/>
              </w:rPr>
              <w:t>369 606</w:t>
            </w:r>
          </w:p>
        </w:tc>
      </w:tr>
      <w:tr w:rsidR="00000000">
        <w:tc>
          <w:tcPr>
            <w:tcW w:w="1649" w:type="pct"/>
          </w:tcPr>
          <w:p w:rsidR="00000000" w:rsidRDefault="00457650">
            <w:pPr>
              <w:widowControl/>
              <w:tabs>
                <w:tab w:val="left" w:pos="630"/>
              </w:tabs>
              <w:spacing w:after="120" w:line="320" w:lineRule="exact"/>
              <w:rPr>
                <w:rFonts w:hint="eastAsia"/>
                <w:sz w:val="18"/>
              </w:rPr>
            </w:pPr>
            <w:r>
              <w:rPr>
                <w:rFonts w:hint="eastAsia"/>
                <w:sz w:val="18"/>
              </w:rPr>
              <w:t>监测的病例</w:t>
            </w:r>
          </w:p>
        </w:tc>
        <w:tc>
          <w:tcPr>
            <w:tcW w:w="1705" w:type="pct"/>
          </w:tcPr>
          <w:p w:rsidR="00000000" w:rsidRDefault="00457650" w:rsidP="00457650">
            <w:pPr>
              <w:widowControl/>
              <w:tabs>
                <w:tab w:val="left" w:pos="630"/>
              </w:tabs>
              <w:spacing w:after="120" w:line="320" w:lineRule="exact"/>
              <w:ind w:rightChars="578" w:right="31680"/>
              <w:jc w:val="right"/>
              <w:rPr>
                <w:sz w:val="18"/>
              </w:rPr>
            </w:pPr>
            <w:r>
              <w:rPr>
                <w:sz w:val="18"/>
              </w:rPr>
              <w:t>108 731</w:t>
            </w:r>
          </w:p>
        </w:tc>
        <w:tc>
          <w:tcPr>
            <w:tcW w:w="1645" w:type="pct"/>
          </w:tcPr>
          <w:p w:rsidR="00000000" w:rsidRDefault="00457650" w:rsidP="00457650">
            <w:pPr>
              <w:widowControl/>
              <w:tabs>
                <w:tab w:val="left" w:pos="630"/>
              </w:tabs>
              <w:spacing w:after="120" w:line="320" w:lineRule="exact"/>
              <w:ind w:rightChars="578" w:right="31680"/>
              <w:jc w:val="right"/>
              <w:rPr>
                <w:sz w:val="18"/>
              </w:rPr>
            </w:pPr>
            <w:r>
              <w:rPr>
                <w:sz w:val="18"/>
              </w:rPr>
              <w:t>131 770</w:t>
            </w:r>
          </w:p>
        </w:tc>
      </w:tr>
      <w:tr w:rsidR="00000000">
        <w:tc>
          <w:tcPr>
            <w:tcW w:w="1649" w:type="pct"/>
          </w:tcPr>
          <w:p w:rsidR="00000000" w:rsidRDefault="00457650">
            <w:pPr>
              <w:widowControl/>
              <w:tabs>
                <w:tab w:val="left" w:pos="630"/>
              </w:tabs>
              <w:spacing w:after="120" w:line="320" w:lineRule="exact"/>
              <w:rPr>
                <w:rFonts w:ascii="KaiTi_GB2312" w:eastAsia="KaiTi_GB2312" w:hint="eastAsia"/>
                <w:sz w:val="18"/>
              </w:rPr>
            </w:pPr>
            <w:r>
              <w:rPr>
                <w:rFonts w:ascii="KaiTi_GB2312" w:eastAsia="KaiTi_GB2312" w:hint="eastAsia"/>
                <w:sz w:val="18"/>
              </w:rPr>
              <w:t>互助团</w:t>
            </w:r>
          </w:p>
        </w:tc>
        <w:tc>
          <w:tcPr>
            <w:tcW w:w="1705" w:type="pct"/>
          </w:tcPr>
          <w:p w:rsidR="00000000" w:rsidRDefault="00457650" w:rsidP="00457650">
            <w:pPr>
              <w:pStyle w:val="Header"/>
              <w:widowControl/>
              <w:pBdr>
                <w:bottom w:val="none" w:sz="0" w:space="0" w:color="auto"/>
              </w:pBdr>
              <w:tabs>
                <w:tab w:val="clear" w:pos="4320"/>
                <w:tab w:val="clear" w:pos="8640"/>
                <w:tab w:val="left" w:pos="630"/>
              </w:tabs>
              <w:spacing w:after="120" w:line="320" w:lineRule="exact"/>
              <w:ind w:rightChars="578" w:right="31680"/>
              <w:jc w:val="right"/>
              <w:rPr>
                <w:rFonts w:ascii="KaiTi_GB2312" w:eastAsia="KaiTi_GB2312"/>
              </w:rPr>
            </w:pPr>
            <w:r>
              <w:rPr>
                <w:rFonts w:ascii="KaiTi_GB2312" w:eastAsia="KaiTi_GB2312"/>
              </w:rPr>
              <w:t>4 085</w:t>
            </w:r>
          </w:p>
        </w:tc>
        <w:tc>
          <w:tcPr>
            <w:tcW w:w="1645" w:type="pct"/>
          </w:tcPr>
          <w:p w:rsidR="00000000" w:rsidRDefault="00457650" w:rsidP="00457650">
            <w:pPr>
              <w:widowControl/>
              <w:tabs>
                <w:tab w:val="left" w:pos="630"/>
              </w:tabs>
              <w:spacing w:after="120" w:line="320" w:lineRule="exact"/>
              <w:ind w:rightChars="578" w:right="31680"/>
              <w:jc w:val="right"/>
              <w:rPr>
                <w:rFonts w:ascii="KaiTi_GB2312" w:eastAsia="KaiTi_GB2312"/>
                <w:sz w:val="18"/>
              </w:rPr>
            </w:pPr>
            <w:r>
              <w:rPr>
                <w:rFonts w:ascii="KaiTi_GB2312" w:eastAsia="KaiTi_GB2312"/>
                <w:sz w:val="18"/>
              </w:rPr>
              <w:t xml:space="preserve">7 </w:t>
            </w:r>
            <w:r>
              <w:rPr>
                <w:rFonts w:ascii="KaiTi_GB2312" w:eastAsia="KaiTi_GB2312"/>
                <w:sz w:val="18"/>
              </w:rPr>
              <w:t>413</w:t>
            </w:r>
          </w:p>
        </w:tc>
      </w:tr>
    </w:tbl>
    <w:p w:rsidR="00000000" w:rsidRDefault="00457650">
      <w:pPr>
        <w:widowControl/>
        <w:tabs>
          <w:tab w:val="left" w:pos="630"/>
        </w:tabs>
        <w:spacing w:after="240" w:line="360" w:lineRule="exact"/>
        <w:rPr>
          <w:rFonts w:hint="eastAsia"/>
          <w:iCs/>
          <w:sz w:val="18"/>
        </w:rPr>
      </w:pPr>
      <w:r>
        <w:rPr>
          <w:rFonts w:ascii="KaiTi_GB2312" w:eastAsia="KaiTi_GB2312" w:hint="eastAsia"/>
          <w:iCs/>
          <w:sz w:val="18"/>
        </w:rPr>
        <w:t>资料来源</w:t>
      </w:r>
      <w:r>
        <w:rPr>
          <w:rFonts w:hint="eastAsia"/>
          <w:iCs/>
          <w:sz w:val="18"/>
        </w:rPr>
        <w:t>：卫生部，</w:t>
      </w:r>
      <w:r>
        <w:rPr>
          <w:rFonts w:hint="eastAsia"/>
          <w:iCs/>
          <w:sz w:val="18"/>
        </w:rPr>
        <w:t>2004</w:t>
      </w:r>
      <w:r>
        <w:rPr>
          <w:rFonts w:hint="eastAsia"/>
          <w:iCs/>
          <w:sz w:val="18"/>
        </w:rPr>
        <w:t>年。</w:t>
      </w:r>
    </w:p>
    <w:p w:rsidR="00000000" w:rsidRDefault="00457650">
      <w:pPr>
        <w:widowControl/>
        <w:tabs>
          <w:tab w:val="left" w:pos="630"/>
        </w:tabs>
        <w:spacing w:after="240" w:line="360" w:lineRule="exact"/>
        <w:rPr>
          <w:rFonts w:eastAsia="SimHei" w:hint="eastAsia"/>
        </w:rPr>
      </w:pPr>
      <w:r>
        <w:rPr>
          <w:rFonts w:eastAsia="SimHei" w:hint="eastAsia"/>
        </w:rPr>
        <w:tab/>
      </w:r>
      <w:r>
        <w:rPr>
          <w:rFonts w:eastAsia="SimHei" w:hint="eastAsia"/>
        </w:rPr>
        <w:t>动脉高血压</w:t>
      </w:r>
    </w:p>
    <w:p w:rsidR="00000000" w:rsidRDefault="00457650">
      <w:pPr>
        <w:widowControl/>
        <w:tabs>
          <w:tab w:val="left" w:pos="630"/>
        </w:tabs>
        <w:spacing w:after="240" w:line="360" w:lineRule="exact"/>
        <w:rPr>
          <w:rFonts w:hint="eastAsia"/>
        </w:rPr>
      </w:pPr>
      <w:r>
        <w:rPr>
          <w:rFonts w:hint="eastAsia"/>
        </w:rPr>
        <w:t>588.</w:t>
      </w:r>
      <w:r>
        <w:rPr>
          <w:rFonts w:hint="eastAsia"/>
        </w:rPr>
        <w:tab/>
      </w:r>
      <w:r>
        <w:rPr>
          <w:rFonts w:hint="eastAsia"/>
        </w:rPr>
        <w:t>心血管疾病是公共卫生的一大难题，它在墨西哥一般死亡率中占第一位。其中心脏病是第一大致死原因。</w:t>
      </w:r>
    </w:p>
    <w:p w:rsidR="00000000" w:rsidRDefault="00457650">
      <w:pPr>
        <w:widowControl/>
        <w:tabs>
          <w:tab w:val="left" w:pos="630"/>
        </w:tabs>
        <w:spacing w:after="240" w:line="360" w:lineRule="exact"/>
        <w:rPr>
          <w:rFonts w:hint="eastAsia"/>
        </w:rPr>
      </w:pPr>
      <w:r>
        <w:rPr>
          <w:rFonts w:hint="eastAsia"/>
        </w:rPr>
        <w:t>589.</w:t>
      </w:r>
      <w:r>
        <w:rPr>
          <w:rFonts w:hint="eastAsia"/>
        </w:rPr>
        <w:tab/>
      </w:r>
      <w:r>
        <w:rPr>
          <w:rFonts w:hint="eastAsia"/>
        </w:rPr>
        <w:t>人们面临的特定危险因素不断增加，例如饮食不足、久坐的生活方式、肥胖、碳水化合物代谢紊乱、脂肪和蛋白质、吸烟、酒精和动脉高血压，这些都刺激了这些疾病的发生，心血管疾病现在已经成为墨西哥面临的一大主要挑战。</w:t>
      </w:r>
    </w:p>
    <w:p w:rsidR="00000000" w:rsidRDefault="00457650">
      <w:pPr>
        <w:widowControl/>
        <w:tabs>
          <w:tab w:val="left" w:pos="630"/>
        </w:tabs>
        <w:spacing w:after="240" w:line="360" w:lineRule="exact"/>
        <w:rPr>
          <w:rFonts w:hint="eastAsia"/>
        </w:rPr>
      </w:pPr>
      <w:r>
        <w:rPr>
          <w:rFonts w:hint="eastAsia"/>
        </w:rPr>
        <w:t>590.</w:t>
      </w:r>
      <w:r>
        <w:rPr>
          <w:rFonts w:hint="eastAsia"/>
        </w:rPr>
        <w:tab/>
      </w:r>
      <w:r>
        <w:rPr>
          <w:rFonts w:hint="eastAsia"/>
        </w:rPr>
        <w:t>为防治动脉高血压开展了各种活动，包括推广健康的生活方式，早期发现动脉高血压患者，通过参加互助团培训医疗工作人员和大众。</w:t>
      </w:r>
    </w:p>
    <w:p w:rsidR="00000000" w:rsidRDefault="00457650">
      <w:pPr>
        <w:widowControl/>
        <w:tabs>
          <w:tab w:val="left" w:pos="630"/>
        </w:tabs>
        <w:spacing w:after="240" w:line="360" w:lineRule="exact"/>
        <w:rPr>
          <w:rFonts w:hint="eastAsia"/>
        </w:rPr>
      </w:pPr>
      <w:r>
        <w:rPr>
          <w:rFonts w:hint="eastAsia"/>
        </w:rPr>
        <w:t>591.</w:t>
      </w:r>
      <w:r>
        <w:rPr>
          <w:rFonts w:hint="eastAsia"/>
        </w:rPr>
        <w:tab/>
        <w:t>2002</w:t>
      </w:r>
      <w:r>
        <w:rPr>
          <w:rFonts w:hint="eastAsia"/>
        </w:rPr>
        <w:t>年，进行了</w:t>
      </w:r>
      <w:r>
        <w:rPr>
          <w:rFonts w:hint="eastAsia"/>
        </w:rPr>
        <w:t>850</w:t>
      </w:r>
      <w:r>
        <w:rPr>
          <w:rFonts w:hint="eastAsia"/>
        </w:rPr>
        <w:t>万次检测，这一数字</w:t>
      </w:r>
      <w:r>
        <w:rPr>
          <w:rFonts w:hint="eastAsia"/>
        </w:rPr>
        <w:t>2003</w:t>
      </w:r>
      <w:r>
        <w:rPr>
          <w:rFonts w:hint="eastAsia"/>
        </w:rPr>
        <w:t>年上升到</w:t>
      </w:r>
      <w:r>
        <w:rPr>
          <w:rFonts w:hint="eastAsia"/>
        </w:rPr>
        <w:t>860</w:t>
      </w:r>
      <w:r>
        <w:rPr>
          <w:rFonts w:hint="eastAsia"/>
        </w:rPr>
        <w:t>多万次。</w:t>
      </w:r>
    </w:p>
    <w:p w:rsidR="00000000" w:rsidRDefault="00457650">
      <w:pPr>
        <w:widowControl/>
        <w:tabs>
          <w:tab w:val="left" w:pos="630"/>
        </w:tabs>
        <w:spacing w:after="240" w:line="360" w:lineRule="exact"/>
        <w:rPr>
          <w:rFonts w:hint="eastAsia"/>
        </w:rPr>
      </w:pPr>
      <w:r>
        <w:rPr>
          <w:rFonts w:hint="eastAsia"/>
        </w:rPr>
        <w:t>592.</w:t>
      </w:r>
      <w:r>
        <w:rPr>
          <w:rFonts w:hint="eastAsia"/>
        </w:rPr>
        <w:tab/>
      </w:r>
      <w:r>
        <w:rPr>
          <w:rFonts w:hint="eastAsia"/>
        </w:rPr>
        <w:t>“在</w:t>
      </w:r>
      <w:r>
        <w:rPr>
          <w:rFonts w:hint="eastAsia"/>
        </w:rPr>
        <w:t>60</w:t>
      </w:r>
      <w:r>
        <w:rPr>
          <w:rFonts w:hint="eastAsia"/>
        </w:rPr>
        <w:t>岁以上的人群中减少动脉高血压计划”覆盖了</w:t>
      </w:r>
      <w:r>
        <w:rPr>
          <w:rFonts w:hint="eastAsia"/>
        </w:rPr>
        <w:t>117 000</w:t>
      </w:r>
      <w:r>
        <w:rPr>
          <w:rFonts w:hint="eastAsia"/>
        </w:rPr>
        <w:t>多名该年龄段的动脉高血压患者，其结果是</w:t>
      </w:r>
      <w:r>
        <w:rPr>
          <w:rFonts w:hint="eastAsia"/>
        </w:rPr>
        <w:t>44.5%</w:t>
      </w:r>
      <w:r>
        <w:rPr>
          <w:rFonts w:hint="eastAsia"/>
        </w:rPr>
        <w:t>动脉高血压患者的病情得到控制；这有助于预防</w:t>
      </w:r>
      <w:r>
        <w:rPr>
          <w:rFonts w:hint="eastAsia"/>
        </w:rPr>
        <w:t>20%</w:t>
      </w:r>
      <w:r>
        <w:rPr>
          <w:rFonts w:hint="eastAsia"/>
        </w:rPr>
        <w:t>的人患上脑血管疾病。</w:t>
      </w:r>
    </w:p>
    <w:p w:rsidR="00000000" w:rsidRDefault="00457650">
      <w:pPr>
        <w:widowControl/>
        <w:tabs>
          <w:tab w:val="left" w:pos="630"/>
        </w:tabs>
        <w:spacing w:after="240" w:line="360" w:lineRule="exact"/>
        <w:rPr>
          <w:rFonts w:hint="eastAsia"/>
        </w:rPr>
      </w:pPr>
      <w:r>
        <w:rPr>
          <w:rFonts w:hint="eastAsia"/>
        </w:rPr>
        <w:t>593.</w:t>
      </w:r>
      <w:r>
        <w:rPr>
          <w:rFonts w:hint="eastAsia"/>
        </w:rPr>
        <w:tab/>
      </w:r>
      <w:r>
        <w:rPr>
          <w:rFonts w:hint="eastAsia"/>
        </w:rPr>
        <w:t>动脉高血压的数字处于控制之中，</w:t>
      </w:r>
      <w:r>
        <w:rPr>
          <w:rFonts w:hint="eastAsia"/>
        </w:rPr>
        <w:t>45.8%</w:t>
      </w:r>
      <w:r>
        <w:rPr>
          <w:rFonts w:hint="eastAsia"/>
        </w:rPr>
        <w:t>的患者接受了治疗，</w:t>
      </w:r>
      <w:r>
        <w:rPr>
          <w:rFonts w:hint="eastAsia"/>
        </w:rPr>
        <w:t xml:space="preserve"> 60</w:t>
      </w:r>
      <w:r>
        <w:rPr>
          <w:rFonts w:hint="eastAsia"/>
        </w:rPr>
        <w:t>岁以上的老年患者中</w:t>
      </w:r>
      <w:r>
        <w:rPr>
          <w:rFonts w:hint="eastAsia"/>
        </w:rPr>
        <w:t>44.5%</w:t>
      </w:r>
      <w:r>
        <w:rPr>
          <w:rFonts w:hint="eastAsia"/>
        </w:rPr>
        <w:t>的病情得到控制。</w:t>
      </w:r>
      <w:r>
        <w:rPr>
          <w:rFonts w:hint="eastAsia"/>
        </w:rPr>
        <w:t>42%</w:t>
      </w:r>
      <w:r>
        <w:rPr>
          <w:rFonts w:hint="eastAsia"/>
        </w:rPr>
        <w:t>的医疗单位有自助团体，这比</w:t>
      </w:r>
      <w:r>
        <w:rPr>
          <w:rFonts w:hint="eastAsia"/>
        </w:rPr>
        <w:t>2002</w:t>
      </w:r>
      <w:r>
        <w:rPr>
          <w:rFonts w:hint="eastAsia"/>
        </w:rPr>
        <w:t>年进步了</w:t>
      </w:r>
      <w:r>
        <w:rPr>
          <w:rFonts w:hint="eastAsia"/>
        </w:rPr>
        <w:t>2%</w:t>
      </w:r>
      <w:r>
        <w:rPr>
          <w:rFonts w:hint="eastAsia"/>
        </w:rPr>
        <w:t>。动脉高血压的普及数字是</w:t>
      </w:r>
      <w:r>
        <w:rPr>
          <w:rFonts w:hint="eastAsia"/>
        </w:rPr>
        <w:t>36.3%</w:t>
      </w:r>
      <w:r>
        <w:rPr>
          <w:rFonts w:hint="eastAsia"/>
        </w:rPr>
        <w:t>。局部缺血性心脏病的死亡率是</w:t>
      </w:r>
      <w:r>
        <w:rPr>
          <w:rFonts w:hint="eastAsia"/>
        </w:rPr>
        <w:t>44.97%</w:t>
      </w:r>
      <w:r>
        <w:rPr>
          <w:rFonts w:hint="eastAsia"/>
        </w:rPr>
        <w:t>，</w:t>
      </w:r>
      <w:r>
        <w:rPr>
          <w:rFonts w:hint="eastAsia"/>
        </w:rPr>
        <w:t>心血管疾病的相应死亡率在每</w:t>
      </w:r>
      <w:r>
        <w:rPr>
          <w:rFonts w:hint="eastAsia"/>
        </w:rPr>
        <w:t>100 000</w:t>
      </w:r>
      <w:r>
        <w:rPr>
          <w:rFonts w:hint="eastAsia"/>
        </w:rPr>
        <w:t>人中占</w:t>
      </w:r>
      <w:r>
        <w:rPr>
          <w:rFonts w:hint="eastAsia"/>
        </w:rPr>
        <w:t>25.4%</w:t>
      </w:r>
      <w:r>
        <w:rPr>
          <w:rFonts w:hint="eastAsia"/>
        </w:rPr>
        <w:t>。</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51</w:t>
      </w:r>
      <w:r>
        <w:rPr>
          <w:rFonts w:ascii="SimHei" w:eastAsia="SimHei" w:hint="eastAsia"/>
        </w:rPr>
        <w:t>段（</w:t>
      </w:r>
      <w:r>
        <w:rPr>
          <w:rFonts w:ascii="SimHei" w:eastAsia="SimHei" w:hint="eastAsia"/>
        </w:rPr>
        <w:t>h</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594.</w:t>
      </w:r>
      <w:r>
        <w:rPr>
          <w:rFonts w:hint="eastAsia"/>
        </w:rPr>
        <w:tab/>
      </w:r>
      <w:r>
        <w:rPr>
          <w:rFonts w:hint="eastAsia"/>
        </w:rPr>
        <w:t>对这一问题的答复见第十二条，</w:t>
      </w:r>
      <w:r>
        <w:rPr>
          <w:rFonts w:hint="eastAsia"/>
        </w:rPr>
        <w:t>C.5</w:t>
      </w:r>
      <w:r>
        <w:rPr>
          <w:rFonts w:hint="eastAsia"/>
        </w:rPr>
        <w:t>。</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51</w:t>
      </w:r>
      <w:r>
        <w:rPr>
          <w:rFonts w:ascii="SimHei" w:eastAsia="SimHei" w:hint="eastAsia"/>
        </w:rPr>
        <w:t>段（</w:t>
      </w:r>
      <w:r>
        <w:rPr>
          <w:rFonts w:ascii="SimHei" w:eastAsia="SimHei" w:hint="eastAsia"/>
        </w:rPr>
        <w:t>i</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595.</w:t>
      </w:r>
      <w:r>
        <w:rPr>
          <w:rFonts w:hint="eastAsia"/>
        </w:rPr>
        <w:tab/>
      </w:r>
      <w:r>
        <w:rPr>
          <w:rFonts w:hint="eastAsia"/>
        </w:rPr>
        <w:t>改革产生了一系列挑战。首先，需要额外的公共资源代替个人支出并满足人民未得到满足的健康需要。公共和社区健康服务资金也需要大量重组，以保证用于预防的投资和用于个人治疗的投资之间的平衡。另一项挑战是在该体系内建立反应能力更强和更重视用户的组织文化。人民必须开始信任公共服务，这样他们才会信任事先缴费的医疗保健的用处并愿意重新加入国家健康保险计划。另一项挑战是在供应领域</w:t>
      </w:r>
      <w:r>
        <w:rPr>
          <w:rFonts w:hint="eastAsia"/>
        </w:rPr>
        <w:t>发展富有竞争性的环境。在转型阶段需要转换激励的重点，使之更能满足需求，同时提高供给。在组织和系统快速转变的背景下，实现这一点需要在适当的变革管理战略基础上进行大量的再设计。</w:t>
      </w:r>
    </w:p>
    <w:p w:rsidR="00000000" w:rsidRDefault="00457650">
      <w:pPr>
        <w:widowControl/>
        <w:tabs>
          <w:tab w:val="left" w:pos="630"/>
        </w:tabs>
        <w:spacing w:after="240" w:line="360" w:lineRule="exact"/>
        <w:rPr>
          <w:rFonts w:hint="eastAsia"/>
        </w:rPr>
      </w:pPr>
      <w:r>
        <w:rPr>
          <w:rFonts w:hint="eastAsia"/>
        </w:rPr>
        <w:t>596.</w:t>
      </w:r>
      <w:r>
        <w:rPr>
          <w:rFonts w:hint="eastAsia"/>
        </w:rPr>
        <w:tab/>
      </w:r>
      <w:r>
        <w:rPr>
          <w:rFonts w:hint="eastAsia"/>
        </w:rPr>
        <w:t>还必须在州和供应者之间建立补偿机制，在地理和体制上增强公共保险系统的移动性，促进供应者之间开展竞争，并为用户提供更多的选择。应该更加重视鼓励私人和非营利部门的更多、更理性的参与。</w:t>
      </w:r>
    </w:p>
    <w:p w:rsidR="00000000" w:rsidRDefault="00457650">
      <w:pPr>
        <w:widowControl/>
        <w:tabs>
          <w:tab w:val="left" w:pos="630"/>
        </w:tabs>
        <w:spacing w:after="240" w:line="360" w:lineRule="exact"/>
        <w:rPr>
          <w:rFonts w:hint="eastAsia"/>
        </w:rPr>
      </w:pPr>
      <w:r>
        <w:rPr>
          <w:rFonts w:hint="eastAsia"/>
        </w:rPr>
        <w:t>597.</w:t>
      </w:r>
      <w:r>
        <w:rPr>
          <w:rFonts w:hint="eastAsia"/>
        </w:rPr>
        <w:tab/>
      </w:r>
      <w:r>
        <w:rPr>
          <w:rFonts w:hint="eastAsia"/>
        </w:rPr>
        <w:t>墨西哥的改革作为一个范例还展示出有可能同时进行伦理、技术和政治层面的改革。最后，墨西哥的改革还提供了在国家和国际信息资料编制过程中形成的道</w:t>
      </w:r>
      <w:r>
        <w:rPr>
          <w:rFonts w:hint="eastAsia"/>
        </w:rPr>
        <w:t>德循环模式。</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52</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598.</w:t>
      </w:r>
      <w:r>
        <w:rPr>
          <w:rFonts w:hint="eastAsia"/>
        </w:rPr>
        <w:tab/>
      </w:r>
      <w:r>
        <w:rPr>
          <w:rFonts w:hint="eastAsia"/>
        </w:rPr>
        <w:t>人口金字塔的变化导致了人口转型，这对流行病学产生了影响，并伴随着糖尿病和高血压等病的治疗需要的增加，这些疾病更加复杂，费用更昂贵，主要影响到成年人。</w:t>
      </w:r>
    </w:p>
    <w:p w:rsidR="00000000" w:rsidRDefault="00457650">
      <w:pPr>
        <w:widowControl/>
        <w:tabs>
          <w:tab w:val="left" w:pos="630"/>
        </w:tabs>
        <w:spacing w:after="240" w:line="360" w:lineRule="exact"/>
        <w:rPr>
          <w:rFonts w:hint="eastAsia"/>
        </w:rPr>
      </w:pPr>
      <w:r>
        <w:rPr>
          <w:rFonts w:hint="eastAsia"/>
        </w:rPr>
        <w:t>599.</w:t>
      </w:r>
      <w:r>
        <w:rPr>
          <w:rFonts w:hint="eastAsia"/>
        </w:rPr>
        <w:tab/>
      </w:r>
      <w:r>
        <w:rPr>
          <w:rFonts w:hint="eastAsia"/>
        </w:rPr>
        <w:t>由于墨西哥人口中老年人的比例越来越大，鉴于此前几年所采取的预防措施极大地提高了预期寿命，国家卫生系统必须更重视那些致力于造福部分人口并保障其有尊严的生活方式的项目。在这方面，在联邦、州和市三级政府的积极参与下，大部分项目覆盖了专门为这一部分人口制定的目标和活动。这方面的范例包括成人接种疫苗活动，如残疾预防和康复，事故</w:t>
      </w:r>
      <w:r>
        <w:rPr>
          <w:rFonts w:hint="eastAsia"/>
        </w:rPr>
        <w:t>控制和专门的医疗服务。</w:t>
      </w:r>
    </w:p>
    <w:p w:rsidR="00000000" w:rsidRDefault="00457650">
      <w:pPr>
        <w:widowControl/>
        <w:tabs>
          <w:tab w:val="left" w:pos="630"/>
        </w:tabs>
        <w:spacing w:after="240" w:line="360" w:lineRule="exact"/>
        <w:rPr>
          <w:rFonts w:hint="eastAsia"/>
        </w:rPr>
      </w:pPr>
      <w:r>
        <w:rPr>
          <w:noProof/>
          <w:sz w:val="20"/>
        </w:rPr>
        <w:pict>
          <v:shape id="_x0000_s1172" type="#_x0000_t202" style="position:absolute;left:0;text-align:left;margin-left:0;margin-top:21.2pt;width:485.95pt;height:164.9pt;z-index:21" filled="f" stroked="f">
            <v:textbox style="mso-next-textbox:#_x0000_s1172">
              <w:txbxContent>
                <w:p w:rsidR="00000000" w:rsidRDefault="00457650">
                  <w:pPr>
                    <w:rPr>
                      <w:rFonts w:hint="eastAsia"/>
                    </w:rPr>
                  </w:pPr>
                  <w:r>
                    <w:pict>
                      <v:shape id="_x0000_i1041" type="#_x0000_t75" style="width:471pt;height:156.75pt">
                        <v:imagedata r:id="rId167" o:title=""/>
                      </v:shape>
                    </w:pict>
                  </w:r>
                </w:p>
                <w:p w:rsidR="00000000" w:rsidRDefault="00457650">
                  <w:pPr>
                    <w:rPr>
                      <w:rFonts w:hint="eastAsia"/>
                    </w:rPr>
                  </w:pPr>
                </w:p>
              </w:txbxContent>
            </v:textbox>
          </v:shape>
        </w:pict>
      </w:r>
      <w:r>
        <w:rPr>
          <w:rFonts w:hint="eastAsia"/>
        </w:rPr>
        <w:t>600.</w:t>
      </w:r>
      <w:r>
        <w:rPr>
          <w:rFonts w:hint="eastAsia"/>
        </w:rPr>
        <w:tab/>
      </w:r>
      <w:r>
        <w:rPr>
          <w:rFonts w:hint="eastAsia"/>
        </w:rPr>
        <w:t>在过去</w:t>
      </w:r>
      <w:r>
        <w:rPr>
          <w:rFonts w:hint="eastAsia"/>
        </w:rPr>
        <w:t>8</w:t>
      </w:r>
      <w:r>
        <w:rPr>
          <w:rFonts w:hint="eastAsia"/>
        </w:rPr>
        <w:t>年中，预期寿命增加了近两年。</w:t>
      </w:r>
    </w:p>
    <w:p w:rsidR="00000000" w:rsidRDefault="00457650">
      <w:pPr>
        <w:widowControl/>
        <w:tabs>
          <w:tab w:val="left" w:pos="630"/>
        </w:tabs>
        <w:spacing w:after="240" w:line="360" w:lineRule="exact"/>
        <w:rPr>
          <w:rFonts w:hint="eastAsia"/>
        </w:rPr>
      </w:pPr>
    </w:p>
    <w:p w:rsidR="00000000" w:rsidRDefault="00457650">
      <w:pPr>
        <w:widowControl/>
        <w:tabs>
          <w:tab w:val="left" w:pos="630"/>
        </w:tabs>
        <w:spacing w:after="240" w:line="360" w:lineRule="exact"/>
        <w:rPr>
          <w:rFonts w:hint="eastAsia"/>
        </w:rPr>
      </w:pPr>
    </w:p>
    <w:p w:rsidR="00000000" w:rsidRDefault="00457650">
      <w:pPr>
        <w:widowControl/>
        <w:tabs>
          <w:tab w:val="left" w:pos="630"/>
        </w:tabs>
        <w:spacing w:after="240" w:line="360" w:lineRule="exact"/>
        <w:rPr>
          <w:rFonts w:hint="eastAsia"/>
        </w:rPr>
      </w:pPr>
    </w:p>
    <w:p w:rsidR="00000000" w:rsidRDefault="00457650">
      <w:pPr>
        <w:widowControl/>
        <w:tabs>
          <w:tab w:val="left" w:pos="630"/>
        </w:tabs>
        <w:spacing w:after="240" w:line="360" w:lineRule="exact"/>
        <w:rPr>
          <w:rFonts w:hint="eastAsia"/>
        </w:rPr>
      </w:pPr>
    </w:p>
    <w:p w:rsidR="00000000" w:rsidRDefault="00457650">
      <w:pPr>
        <w:widowControl/>
        <w:tabs>
          <w:tab w:val="left" w:pos="630"/>
        </w:tabs>
        <w:spacing w:after="240" w:line="360" w:lineRule="exact"/>
        <w:rPr>
          <w:rFonts w:hint="eastAsia"/>
        </w:rPr>
      </w:pPr>
    </w:p>
    <w:p w:rsidR="00000000" w:rsidRDefault="00457650" w:rsidP="00457650">
      <w:pPr>
        <w:widowControl/>
        <w:tabs>
          <w:tab w:val="left" w:pos="630"/>
        </w:tabs>
        <w:spacing w:after="240" w:line="360" w:lineRule="exact"/>
        <w:ind w:firstLineChars="100" w:firstLine="31680"/>
        <w:rPr>
          <w:rFonts w:hint="eastAsia"/>
          <w:iCs/>
          <w:sz w:val="18"/>
        </w:rPr>
      </w:pPr>
      <w:r>
        <w:rPr>
          <w:rFonts w:eastAsia="KaiTi_GB2312" w:hint="eastAsia"/>
          <w:iCs/>
          <w:sz w:val="18"/>
        </w:rPr>
        <w:t>资料来源</w:t>
      </w:r>
      <w:r>
        <w:rPr>
          <w:rFonts w:hint="eastAsia"/>
          <w:iCs/>
          <w:sz w:val="18"/>
        </w:rPr>
        <w:t>：卫生部，</w:t>
      </w:r>
      <w:r>
        <w:rPr>
          <w:rFonts w:hint="eastAsia"/>
          <w:iCs/>
          <w:sz w:val="18"/>
        </w:rPr>
        <w:t>2004</w:t>
      </w:r>
      <w:r>
        <w:rPr>
          <w:rFonts w:hint="eastAsia"/>
          <w:iCs/>
          <w:sz w:val="18"/>
        </w:rPr>
        <w:t>年。</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53</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601.</w:t>
      </w:r>
      <w:r>
        <w:rPr>
          <w:rFonts w:hint="eastAsia"/>
        </w:rPr>
        <w:tab/>
      </w:r>
      <w:r>
        <w:rPr>
          <w:rFonts w:hint="eastAsia"/>
        </w:rPr>
        <w:t>健康社区方案在卫生主管机构的配合下让市政府和社区参与进来。</w:t>
      </w:r>
    </w:p>
    <w:p w:rsidR="00000000" w:rsidRDefault="00457650">
      <w:pPr>
        <w:widowControl/>
        <w:tabs>
          <w:tab w:val="left" w:pos="630"/>
        </w:tabs>
        <w:spacing w:after="240" w:line="360" w:lineRule="exact"/>
        <w:rPr>
          <w:rFonts w:hint="eastAsia"/>
        </w:rPr>
      </w:pPr>
      <w:r>
        <w:rPr>
          <w:rFonts w:hint="eastAsia"/>
        </w:rPr>
        <w:t>602.</w:t>
      </w:r>
      <w:r>
        <w:rPr>
          <w:rFonts w:hint="eastAsia"/>
        </w:rPr>
        <w:tab/>
      </w:r>
      <w:r>
        <w:rPr>
          <w:rFonts w:hint="eastAsia"/>
        </w:rPr>
        <w:t>所采取的主要卫生保健措施如下：</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宣传、指导、鼓励、加强和认可地方当局的参与；</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对公众的宣传、教育和培训；</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发展教育交流手段；</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通过地方市政委员会管理各种措施和承诺的落实工作；</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为执行这些项目提供技术和财政援助。</w:t>
      </w:r>
    </w:p>
    <w:p w:rsidR="00000000" w:rsidRDefault="00457650">
      <w:pPr>
        <w:widowControl/>
        <w:tabs>
          <w:tab w:val="left" w:pos="630"/>
        </w:tabs>
        <w:spacing w:after="240" w:line="360" w:lineRule="exact"/>
        <w:rPr>
          <w:rFonts w:hint="eastAsia"/>
        </w:rPr>
      </w:pPr>
      <w:r>
        <w:rPr>
          <w:rFonts w:hint="eastAsia"/>
        </w:rPr>
        <w:t>603.</w:t>
      </w:r>
      <w:r>
        <w:rPr>
          <w:rFonts w:hint="eastAsia"/>
        </w:rPr>
        <w:tab/>
      </w:r>
      <w:r>
        <w:rPr>
          <w:rFonts w:hint="eastAsia"/>
        </w:rPr>
        <w:t>目前的系统覆盖了墨西哥</w:t>
      </w:r>
      <w:r>
        <w:rPr>
          <w:rFonts w:hint="eastAsia"/>
        </w:rPr>
        <w:t>71.22%</w:t>
      </w:r>
      <w:r>
        <w:rPr>
          <w:rFonts w:hint="eastAsia"/>
        </w:rPr>
        <w:t>的城市，它们都成立了市卫生委员会。在卫生主管机构的</w:t>
      </w:r>
      <w:r>
        <w:rPr>
          <w:rFonts w:hint="eastAsia"/>
        </w:rPr>
        <w:t>合作下进行了总体情况分析；此外还在一个重点规划研讨会上对此作了进一步讨论，并将制定一项工作计划。</w:t>
      </w:r>
    </w:p>
    <w:p w:rsidR="00000000" w:rsidRDefault="00457650">
      <w:pPr>
        <w:widowControl/>
        <w:tabs>
          <w:tab w:val="left" w:pos="630"/>
        </w:tabs>
        <w:spacing w:after="240" w:line="360" w:lineRule="exact"/>
        <w:rPr>
          <w:rFonts w:hint="eastAsia"/>
        </w:rPr>
      </w:pPr>
      <w:r>
        <w:rPr>
          <w:rFonts w:hint="eastAsia"/>
        </w:rPr>
        <w:t>604.</w:t>
      </w:r>
      <w:r>
        <w:rPr>
          <w:rFonts w:hint="eastAsia"/>
        </w:rPr>
        <w:tab/>
      </w:r>
      <w:r>
        <w:rPr>
          <w:rFonts w:hint="eastAsia"/>
        </w:rPr>
        <w:t>值得一提的是</w:t>
      </w:r>
      <w:r>
        <w:rPr>
          <w:rFonts w:hint="eastAsia"/>
        </w:rPr>
        <w:t>59.27%</w:t>
      </w:r>
      <w:r>
        <w:rPr>
          <w:rFonts w:hint="eastAsia"/>
        </w:rPr>
        <w:t>的土著市政当局已经加入了这一系统，这比</w:t>
      </w:r>
      <w:r>
        <w:rPr>
          <w:rFonts w:hint="eastAsia"/>
        </w:rPr>
        <w:t>2002</w:t>
      </w:r>
      <w:r>
        <w:rPr>
          <w:rFonts w:hint="eastAsia"/>
        </w:rPr>
        <w:t>年增加了</w:t>
      </w:r>
      <w:r>
        <w:rPr>
          <w:rFonts w:hint="eastAsia"/>
        </w:rPr>
        <w:t>10.88%</w:t>
      </w:r>
      <w:r>
        <w:rPr>
          <w:rFonts w:hint="eastAsia"/>
        </w:rPr>
        <w:t>。</w:t>
      </w:r>
    </w:p>
    <w:p w:rsidR="00000000" w:rsidRDefault="00457650">
      <w:pPr>
        <w:widowControl/>
        <w:tabs>
          <w:tab w:val="left" w:pos="630"/>
        </w:tabs>
        <w:spacing w:after="240" w:line="360" w:lineRule="exact"/>
        <w:rPr>
          <w:rFonts w:hint="eastAsia"/>
        </w:rPr>
      </w:pPr>
      <w:r>
        <w:rPr>
          <w:rFonts w:hint="eastAsia"/>
        </w:rPr>
        <w:t>605.</w:t>
      </w:r>
      <w:r>
        <w:rPr>
          <w:rFonts w:hint="eastAsia"/>
        </w:rPr>
        <w:tab/>
        <w:t>2000</w:t>
      </w:r>
      <w:r>
        <w:rPr>
          <w:rFonts w:hint="eastAsia"/>
        </w:rPr>
        <w:t>年至</w:t>
      </w:r>
      <w:r>
        <w:rPr>
          <w:rFonts w:hint="eastAsia"/>
        </w:rPr>
        <w:t>2003</w:t>
      </w:r>
      <w:r>
        <w:rPr>
          <w:rFonts w:hint="eastAsia"/>
        </w:rPr>
        <w:t>年，国家健康城市网络从</w:t>
      </w:r>
      <w:r>
        <w:rPr>
          <w:rFonts w:hint="eastAsia"/>
        </w:rPr>
        <w:t>25</w:t>
      </w:r>
      <w:r>
        <w:rPr>
          <w:rFonts w:hint="eastAsia"/>
        </w:rPr>
        <w:t>个增加到</w:t>
      </w:r>
      <w:r>
        <w:rPr>
          <w:rFonts w:hint="eastAsia"/>
        </w:rPr>
        <w:t>30</w:t>
      </w:r>
      <w:r>
        <w:rPr>
          <w:rFonts w:hint="eastAsia"/>
        </w:rPr>
        <w:t>个。</w:t>
      </w:r>
    </w:p>
    <w:p w:rsidR="00000000" w:rsidRDefault="00457650">
      <w:pPr>
        <w:widowControl/>
        <w:tabs>
          <w:tab w:val="left" w:pos="630"/>
        </w:tabs>
        <w:spacing w:after="240" w:line="360" w:lineRule="exact"/>
        <w:rPr>
          <w:rFonts w:hint="eastAsia"/>
        </w:rPr>
      </w:pPr>
      <w:r>
        <w:rPr>
          <w:rFonts w:hint="eastAsia"/>
        </w:rPr>
        <w:t>606.</w:t>
      </w:r>
      <w:r>
        <w:rPr>
          <w:rFonts w:hint="eastAsia"/>
        </w:rPr>
        <w:tab/>
      </w:r>
      <w:r>
        <w:rPr>
          <w:rFonts w:hint="eastAsia"/>
        </w:rPr>
        <w:t>到目前为止，全国各地的</w:t>
      </w:r>
      <w:r>
        <w:rPr>
          <w:rFonts w:hint="eastAsia"/>
        </w:rPr>
        <w:t>1 742</w:t>
      </w:r>
      <w:r>
        <w:rPr>
          <w:rFonts w:hint="eastAsia"/>
        </w:rPr>
        <w:t>个城市加入了这个方案：</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该方案的目标之一是为城市健康项目提供财政支持；</w:t>
      </w:r>
      <w:r>
        <w:rPr>
          <w:rFonts w:hint="eastAsia"/>
        </w:rPr>
        <w:t xml:space="preserve"> 2002</w:t>
      </w:r>
      <w:r>
        <w:rPr>
          <w:rFonts w:hint="eastAsia"/>
        </w:rPr>
        <w:t>年为支援</w:t>
      </w:r>
      <w:r>
        <w:rPr>
          <w:rFonts w:hint="eastAsia"/>
        </w:rPr>
        <w:t>371</w:t>
      </w:r>
      <w:r>
        <w:rPr>
          <w:rFonts w:hint="eastAsia"/>
        </w:rPr>
        <w:t>个城市项目拨付了价值</w:t>
      </w:r>
      <w:r>
        <w:rPr>
          <w:rFonts w:hint="eastAsia"/>
        </w:rPr>
        <w:t>7 600</w:t>
      </w:r>
      <w:r>
        <w:rPr>
          <w:rFonts w:hint="eastAsia"/>
        </w:rPr>
        <w:t>万比索的资源；</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在本财政年度，收到了</w:t>
      </w:r>
      <w:r>
        <w:rPr>
          <w:rFonts w:hint="eastAsia"/>
        </w:rPr>
        <w:t>428</w:t>
      </w:r>
      <w:r>
        <w:rPr>
          <w:rFonts w:hint="eastAsia"/>
        </w:rPr>
        <w:t>个项目，从中挑选了</w:t>
      </w:r>
      <w:r>
        <w:rPr>
          <w:rFonts w:hint="eastAsia"/>
        </w:rPr>
        <w:t>176</w:t>
      </w:r>
      <w:r>
        <w:rPr>
          <w:rFonts w:hint="eastAsia"/>
        </w:rPr>
        <w:t>个项</w:t>
      </w:r>
      <w:r>
        <w:rPr>
          <w:rFonts w:hint="eastAsia"/>
        </w:rPr>
        <w:t>目加以支持，这一数字少于</w:t>
      </w:r>
      <w:r>
        <w:rPr>
          <w:rFonts w:hint="eastAsia"/>
        </w:rPr>
        <w:t>2002</w:t>
      </w:r>
      <w:r>
        <w:rPr>
          <w:rFonts w:hint="eastAsia"/>
        </w:rPr>
        <w:t>年，因为鉴于市政府为这些项目另外拨付了</w:t>
      </w:r>
      <w:r>
        <w:rPr>
          <w:rFonts w:hint="eastAsia"/>
        </w:rPr>
        <w:t>5 950</w:t>
      </w:r>
      <w:r>
        <w:rPr>
          <w:rFonts w:hint="eastAsia"/>
        </w:rPr>
        <w:t>万比索，该项目的预算减少到</w:t>
      </w:r>
      <w:r>
        <w:rPr>
          <w:rFonts w:hint="eastAsia"/>
        </w:rPr>
        <w:t>2 860</w:t>
      </w:r>
      <w:r>
        <w:rPr>
          <w:rFonts w:hint="eastAsia"/>
        </w:rPr>
        <w:t>万比索；</w:t>
      </w:r>
    </w:p>
    <w:p w:rsidR="00000000" w:rsidRDefault="00457650">
      <w:pPr>
        <w:widowControl/>
        <w:tabs>
          <w:tab w:val="left" w:pos="630"/>
        </w:tabs>
        <w:spacing w:after="240" w:line="360" w:lineRule="exact"/>
        <w:rPr>
          <w:rFonts w:hint="eastAsia"/>
        </w:rPr>
      </w:pPr>
      <w:r>
        <w:rPr>
          <w:rFonts w:hint="eastAsia"/>
        </w:rPr>
        <w:t>607.</w:t>
      </w:r>
      <w:r>
        <w:rPr>
          <w:rFonts w:hint="eastAsia"/>
        </w:rPr>
        <w:tab/>
      </w:r>
      <w:r>
        <w:rPr>
          <w:rFonts w:hint="eastAsia"/>
        </w:rPr>
        <w:t>社区保健措施旨在确认健康社区，为此建立了</w:t>
      </w:r>
      <w:r>
        <w:rPr>
          <w:rFonts w:hint="eastAsia"/>
        </w:rPr>
        <w:t>20 995</w:t>
      </w:r>
      <w:r>
        <w:rPr>
          <w:rFonts w:hint="eastAsia"/>
        </w:rPr>
        <w:t>个地方卫生委员会，其中</w:t>
      </w:r>
      <w:r>
        <w:rPr>
          <w:rFonts w:hint="eastAsia"/>
        </w:rPr>
        <w:t>16 515</w:t>
      </w:r>
      <w:r>
        <w:rPr>
          <w:rFonts w:hint="eastAsia"/>
        </w:rPr>
        <w:t>个制定了工作计划并能诊断分析，</w:t>
      </w:r>
      <w:r>
        <w:rPr>
          <w:rFonts w:hint="eastAsia"/>
        </w:rPr>
        <w:t>8 154</w:t>
      </w:r>
      <w:r>
        <w:rPr>
          <w:rFonts w:hint="eastAsia"/>
        </w:rPr>
        <w:t>个开展了向大众宣传自我保健的专题运动和活动，</w:t>
      </w:r>
      <w:r>
        <w:rPr>
          <w:rFonts w:hint="eastAsia"/>
        </w:rPr>
        <w:t>155</w:t>
      </w:r>
      <w:r>
        <w:rPr>
          <w:rFonts w:hint="eastAsia"/>
        </w:rPr>
        <w:t>个被确认为健康社区。</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54</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608.</w:t>
      </w:r>
      <w:r>
        <w:rPr>
          <w:rFonts w:hint="eastAsia"/>
        </w:rPr>
        <w:tab/>
        <w:t>2001</w:t>
      </w:r>
      <w:r>
        <w:rPr>
          <w:rFonts w:hint="eastAsia"/>
        </w:rPr>
        <w:t>年</w:t>
      </w:r>
      <w:r>
        <w:rPr>
          <w:rFonts w:hint="eastAsia"/>
        </w:rPr>
        <w:t>8</w:t>
      </w:r>
      <w:r>
        <w:rPr>
          <w:rFonts w:hint="eastAsia"/>
        </w:rPr>
        <w:t>月在教育部和卫生部签署合作协议的基础上发起了部门间健康教育方案：</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2003</w:t>
      </w:r>
      <w:r>
        <w:rPr>
          <w:rFonts w:hint="eastAsia"/>
        </w:rPr>
        <w:t>年</w:t>
      </w:r>
      <w:r>
        <w:rPr>
          <w:rFonts w:hint="eastAsia"/>
        </w:rPr>
        <w:t>8</w:t>
      </w:r>
      <w:r>
        <w:rPr>
          <w:rFonts w:hint="eastAsia"/>
        </w:rPr>
        <w:t>月，该方案覆盖了</w:t>
      </w:r>
      <w:r>
        <w:rPr>
          <w:rFonts w:hint="eastAsia"/>
        </w:rPr>
        <w:t>7 187</w:t>
      </w:r>
      <w:r>
        <w:rPr>
          <w:rFonts w:hint="eastAsia"/>
        </w:rPr>
        <w:t>所学校，其中</w:t>
      </w:r>
      <w:r>
        <w:rPr>
          <w:rFonts w:hint="eastAsia"/>
        </w:rPr>
        <w:t>1 271</w:t>
      </w:r>
      <w:r>
        <w:rPr>
          <w:rFonts w:hint="eastAsia"/>
        </w:rPr>
        <w:t>所被誉为健康安全学校</w:t>
      </w:r>
      <w:r>
        <w:rPr>
          <w:rFonts w:hint="eastAsia"/>
        </w:rPr>
        <w:t>：</w:t>
      </w:r>
      <w:r>
        <w:rPr>
          <w:rFonts w:hint="eastAsia"/>
        </w:rPr>
        <w:t>215</w:t>
      </w:r>
      <w:r>
        <w:rPr>
          <w:rFonts w:hint="eastAsia"/>
        </w:rPr>
        <w:t>个幼儿园，</w:t>
      </w:r>
      <w:r>
        <w:rPr>
          <w:rFonts w:hint="eastAsia"/>
        </w:rPr>
        <w:t>944</w:t>
      </w:r>
      <w:r>
        <w:rPr>
          <w:rFonts w:hint="eastAsia"/>
        </w:rPr>
        <w:t>个小学，</w:t>
      </w:r>
      <w:r>
        <w:rPr>
          <w:rFonts w:hint="eastAsia"/>
        </w:rPr>
        <w:t>112</w:t>
      </w:r>
      <w:r>
        <w:rPr>
          <w:rFonts w:hint="eastAsia"/>
        </w:rPr>
        <w:t>个中学；</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在</w:t>
      </w:r>
      <w:r>
        <w:rPr>
          <w:rFonts w:hint="eastAsia"/>
        </w:rPr>
        <w:t>2001</w:t>
      </w:r>
      <w:r>
        <w:t>-</w:t>
      </w:r>
      <w:r>
        <w:rPr>
          <w:rFonts w:hint="eastAsia"/>
        </w:rPr>
        <w:t>2002</w:t>
      </w:r>
      <w:r>
        <w:rPr>
          <w:rFonts w:hint="eastAsia"/>
        </w:rPr>
        <w:t>学年和</w:t>
      </w:r>
      <w:r>
        <w:rPr>
          <w:rFonts w:hint="eastAsia"/>
        </w:rPr>
        <w:t>2002</w:t>
      </w:r>
      <w:r>
        <w:t>-</w:t>
      </w:r>
      <w:r>
        <w:rPr>
          <w:rFonts w:hint="eastAsia"/>
        </w:rPr>
        <w:t>2003</w:t>
      </w:r>
      <w:r>
        <w:rPr>
          <w:rFonts w:hint="eastAsia"/>
        </w:rPr>
        <w:t>学年，共有</w:t>
      </w:r>
      <w:r>
        <w:rPr>
          <w:rFonts w:hint="eastAsia"/>
        </w:rPr>
        <w:t>4 291 000</w:t>
      </w:r>
      <w:r>
        <w:rPr>
          <w:rFonts w:hint="eastAsia"/>
        </w:rPr>
        <w:t>名学生接受了体检，其中</w:t>
      </w:r>
      <w:r>
        <w:rPr>
          <w:rFonts w:hint="eastAsia"/>
        </w:rPr>
        <w:t>1 628 000</w:t>
      </w:r>
      <w:r>
        <w:rPr>
          <w:rFonts w:hint="eastAsia"/>
        </w:rPr>
        <w:t>名学生转由学校卫生室负责；</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对小学免费教科书（一至六年级）中涉及健康的内容进行修改和更新。</w:t>
      </w:r>
    </w:p>
    <w:p w:rsidR="00000000" w:rsidRDefault="00457650">
      <w:pPr>
        <w:widowControl/>
        <w:tabs>
          <w:tab w:val="left" w:pos="630"/>
        </w:tabs>
        <w:spacing w:after="240" w:line="360" w:lineRule="exact"/>
        <w:rPr>
          <w:rFonts w:hint="eastAsia"/>
        </w:rPr>
      </w:pPr>
      <w:r>
        <w:rPr>
          <w:rFonts w:hint="eastAsia"/>
        </w:rPr>
        <w:t>609.</w:t>
      </w:r>
      <w:r>
        <w:rPr>
          <w:rFonts w:hint="eastAsia"/>
        </w:rPr>
        <w:tab/>
      </w:r>
      <w:r>
        <w:rPr>
          <w:rFonts w:hint="eastAsia"/>
        </w:rPr>
        <w:t>卫生部发起了锻炼增强健康方案，以鼓励墨西哥人达到更好的健康状态。</w:t>
      </w:r>
    </w:p>
    <w:p w:rsidR="00000000" w:rsidRDefault="00457650">
      <w:pPr>
        <w:widowControl/>
        <w:tabs>
          <w:tab w:val="left" w:pos="630"/>
        </w:tabs>
        <w:spacing w:after="240" w:line="360" w:lineRule="exact"/>
        <w:rPr>
          <w:rFonts w:hint="eastAsia"/>
        </w:rPr>
      </w:pPr>
      <w:r>
        <w:rPr>
          <w:rFonts w:hint="eastAsia"/>
        </w:rPr>
        <w:t>610.</w:t>
      </w:r>
      <w:r>
        <w:rPr>
          <w:rFonts w:hint="eastAsia"/>
        </w:rPr>
        <w:tab/>
      </w:r>
      <w:r>
        <w:rPr>
          <w:rFonts w:hint="eastAsia"/>
        </w:rPr>
        <w:t>锻炼增强健康方案在</w:t>
      </w:r>
      <w:r>
        <w:rPr>
          <w:rFonts w:hint="eastAsia"/>
        </w:rPr>
        <w:t>2 777</w:t>
      </w:r>
      <w:r>
        <w:rPr>
          <w:rFonts w:hint="eastAsia"/>
        </w:rPr>
        <w:t>个健康中心实行，并为</w:t>
      </w:r>
      <w:r>
        <w:rPr>
          <w:rFonts w:hint="eastAsia"/>
        </w:rPr>
        <w:t>6 130</w:t>
      </w:r>
      <w:r>
        <w:rPr>
          <w:rFonts w:hint="eastAsia"/>
        </w:rPr>
        <w:t>个团体提供指导。其他机构还采用了</w:t>
      </w:r>
      <w:r>
        <w:rPr>
          <w:rFonts w:hint="eastAsia"/>
        </w:rPr>
        <w:t>94</w:t>
      </w:r>
      <w:r>
        <w:rPr>
          <w:rFonts w:hint="eastAsia"/>
        </w:rPr>
        <w:t>个活跃的锻炼增强健康方案模块。</w:t>
      </w:r>
    </w:p>
    <w:p w:rsidR="00000000" w:rsidRDefault="00457650">
      <w:pPr>
        <w:widowControl/>
        <w:tabs>
          <w:tab w:val="left" w:pos="630"/>
        </w:tabs>
        <w:spacing w:after="240" w:line="360" w:lineRule="exact"/>
        <w:rPr>
          <w:rFonts w:hint="eastAsia"/>
        </w:rPr>
      </w:pPr>
      <w:r>
        <w:rPr>
          <w:rFonts w:hint="eastAsia"/>
        </w:rPr>
        <w:t>611.</w:t>
      </w:r>
      <w:r>
        <w:rPr>
          <w:rFonts w:hint="eastAsia"/>
        </w:rPr>
        <w:tab/>
        <w:t>2003</w:t>
      </w:r>
      <w:r>
        <w:rPr>
          <w:rFonts w:hint="eastAsia"/>
        </w:rPr>
        <w:t>年，健康中心在</w:t>
      </w:r>
      <w:r>
        <w:rPr>
          <w:rFonts w:hint="eastAsia"/>
        </w:rPr>
        <w:t>2 400 00</w:t>
      </w:r>
      <w:r>
        <w:rPr>
          <w:rFonts w:hint="eastAsia"/>
        </w:rPr>
        <w:t>0</w:t>
      </w:r>
      <w:r>
        <w:rPr>
          <w:rFonts w:hint="eastAsia"/>
        </w:rPr>
        <w:t>名助手的帮助下共举办了</w:t>
      </w:r>
      <w:r>
        <w:rPr>
          <w:rFonts w:hint="eastAsia"/>
        </w:rPr>
        <w:t>125 909</w:t>
      </w:r>
      <w:r>
        <w:rPr>
          <w:rFonts w:hint="eastAsia"/>
        </w:rPr>
        <w:t>个健康教育讲座。通过</w:t>
      </w:r>
      <w:r>
        <w:rPr>
          <w:rFonts w:hint="eastAsia"/>
        </w:rPr>
        <w:t>1 189</w:t>
      </w:r>
      <w:r>
        <w:rPr>
          <w:rFonts w:hint="eastAsia"/>
        </w:rPr>
        <w:t>个课程共培训了</w:t>
      </w:r>
      <w:r>
        <w:rPr>
          <w:rFonts w:hint="eastAsia"/>
        </w:rPr>
        <w:t>3 672</w:t>
      </w:r>
      <w:r>
        <w:rPr>
          <w:rFonts w:hint="eastAsia"/>
        </w:rPr>
        <w:t>名锻炼增强健康方案辅导员。另外，还针对机构工作人员举办了</w:t>
      </w:r>
      <w:r>
        <w:rPr>
          <w:rFonts w:hint="eastAsia"/>
        </w:rPr>
        <w:t>1 006</w:t>
      </w:r>
      <w:r>
        <w:rPr>
          <w:rFonts w:hint="eastAsia"/>
        </w:rPr>
        <w:t>次培训课程，</w:t>
      </w:r>
      <w:r>
        <w:rPr>
          <w:rFonts w:hint="eastAsia"/>
        </w:rPr>
        <w:t>10 027</w:t>
      </w:r>
      <w:r>
        <w:rPr>
          <w:rFonts w:hint="eastAsia"/>
        </w:rPr>
        <w:t>人辅助参加。</w:t>
      </w:r>
    </w:p>
    <w:p w:rsidR="00000000" w:rsidRDefault="00457650">
      <w:pPr>
        <w:widowControl/>
        <w:tabs>
          <w:tab w:val="left" w:pos="630"/>
        </w:tabs>
        <w:spacing w:after="240" w:line="360" w:lineRule="exact"/>
        <w:rPr>
          <w:rFonts w:hint="eastAsia"/>
        </w:rPr>
      </w:pPr>
      <w:r>
        <w:rPr>
          <w:rFonts w:hint="eastAsia"/>
        </w:rPr>
        <w:t>612.</w:t>
      </w:r>
      <w:r>
        <w:rPr>
          <w:rFonts w:hint="eastAsia"/>
        </w:rPr>
        <w:tab/>
        <w:t>2003</w:t>
      </w:r>
      <w:r>
        <w:rPr>
          <w:rFonts w:hint="eastAsia"/>
        </w:rPr>
        <w:t>年，共向</w:t>
      </w:r>
      <w:r>
        <w:rPr>
          <w:rFonts w:hint="eastAsia"/>
        </w:rPr>
        <w:t>1 106 661</w:t>
      </w:r>
      <w:r>
        <w:rPr>
          <w:rFonts w:hint="eastAsia"/>
        </w:rPr>
        <w:t>人发放了</w:t>
      </w:r>
      <w:r>
        <w:rPr>
          <w:rFonts w:hint="eastAsia"/>
        </w:rPr>
        <w:t>389 021</w:t>
      </w:r>
      <w:r>
        <w:rPr>
          <w:rFonts w:hint="eastAsia"/>
        </w:rPr>
        <w:t>份宣传单。</w:t>
      </w:r>
    </w:p>
    <w:p w:rsidR="00000000" w:rsidRDefault="00457650">
      <w:pPr>
        <w:keepNext/>
        <w:widowControl/>
        <w:tabs>
          <w:tab w:val="left" w:pos="630"/>
        </w:tabs>
        <w:spacing w:after="240" w:line="340" w:lineRule="exact"/>
        <w:rPr>
          <w:rFonts w:ascii="SimHei" w:eastAsia="SimHei" w:hint="eastAsia"/>
          <w:bCs/>
        </w:rPr>
      </w:pPr>
      <w:r>
        <w:rPr>
          <w:rFonts w:ascii="SimHei" w:eastAsia="SimHei" w:hint="eastAsia"/>
          <w:bCs/>
        </w:rPr>
        <w:t>第</w:t>
      </w:r>
      <w:r>
        <w:rPr>
          <w:rFonts w:ascii="SimHei" w:eastAsia="SimHei" w:hint="eastAsia"/>
          <w:bCs/>
        </w:rPr>
        <w:t>55</w:t>
      </w:r>
      <w:r>
        <w:rPr>
          <w:rFonts w:ascii="SimHei" w:eastAsia="SimHei" w:hint="eastAsia"/>
          <w:bCs/>
        </w:rPr>
        <w:t>段</w:t>
      </w:r>
    </w:p>
    <w:p w:rsidR="00000000" w:rsidRDefault="00457650">
      <w:pPr>
        <w:keepNext/>
        <w:widowControl/>
        <w:tabs>
          <w:tab w:val="left" w:pos="630"/>
        </w:tabs>
        <w:spacing w:after="240" w:line="340" w:lineRule="exact"/>
        <w:rPr>
          <w:rFonts w:hint="eastAsia"/>
        </w:rPr>
      </w:pPr>
      <w:r>
        <w:rPr>
          <w:rFonts w:hint="eastAsia"/>
        </w:rPr>
        <w:t>613.</w:t>
      </w:r>
      <w:r>
        <w:rPr>
          <w:rFonts w:hint="eastAsia"/>
        </w:rPr>
        <w:tab/>
      </w:r>
      <w:r>
        <w:rPr>
          <w:rFonts w:hint="eastAsia"/>
        </w:rPr>
        <w:t>在充分实现《公约》第</w:t>
      </w:r>
      <w:r>
        <w:rPr>
          <w:rFonts w:hint="eastAsia"/>
        </w:rPr>
        <w:t>12</w:t>
      </w:r>
      <w:r>
        <w:rPr>
          <w:rFonts w:hint="eastAsia"/>
        </w:rPr>
        <w:t>条所规定的权利过程中，国际援助的作用主要体现在两个方面：</w:t>
      </w:r>
    </w:p>
    <w:p w:rsidR="00000000" w:rsidRDefault="00457650">
      <w:pPr>
        <w:keepNext/>
        <w:widowControl/>
        <w:tabs>
          <w:tab w:val="left" w:pos="630"/>
        </w:tabs>
        <w:spacing w:after="240" w:line="340" w:lineRule="exact"/>
        <w:rPr>
          <w:rFonts w:ascii="SimHei" w:eastAsia="SimHei" w:hint="eastAsia"/>
        </w:rPr>
      </w:pPr>
      <w:r>
        <w:rPr>
          <w:rFonts w:ascii="SimHei" w:eastAsia="SimHei" w:hint="eastAsia"/>
        </w:rPr>
        <w:tab/>
      </w:r>
      <w:r>
        <w:rPr>
          <w:rFonts w:ascii="SimHei" w:eastAsia="SimHei" w:hint="eastAsia"/>
        </w:rPr>
        <w:t>（</w:t>
      </w:r>
      <w:r>
        <w:rPr>
          <w:rFonts w:ascii="SimHei" w:eastAsia="SimHei" w:hint="eastAsia"/>
        </w:rPr>
        <w:t>a</w:t>
      </w:r>
      <w:r>
        <w:rPr>
          <w:rFonts w:ascii="SimHei" w:eastAsia="SimHei" w:hint="eastAsia"/>
        </w:rPr>
        <w:t>）多边方面</w:t>
      </w:r>
    </w:p>
    <w:p w:rsidR="00000000" w:rsidRDefault="00457650">
      <w:pPr>
        <w:keepNext/>
        <w:widowControl/>
        <w:tabs>
          <w:tab w:val="left" w:pos="630"/>
        </w:tabs>
        <w:spacing w:after="240" w:line="340" w:lineRule="exact"/>
        <w:rPr>
          <w:rFonts w:hint="eastAsia"/>
        </w:rPr>
      </w:pPr>
      <w:r>
        <w:rPr>
          <w:rFonts w:hint="eastAsia"/>
        </w:rPr>
        <w:t>614.</w:t>
      </w:r>
      <w:r>
        <w:rPr>
          <w:rFonts w:hint="eastAsia"/>
        </w:rPr>
        <w:tab/>
      </w:r>
      <w:r>
        <w:rPr>
          <w:rFonts w:hint="eastAsia"/>
        </w:rPr>
        <w:t>对于旨在保证全部人民均可获得医疗服务的主要政府计划“国家健康保险”，国际组织纷纷提供了援助，其中包括世界银行</w:t>
      </w:r>
      <w:r>
        <w:rPr>
          <w:rFonts w:hint="eastAsia"/>
        </w:rPr>
        <w:t>，美洲开发银行和世界卫生组织，援助的方式包括推广其他国家在社会保护方面的经验；直接支持“社会健康保护系统”的官员对卫生保健领域获得成功的国家进行访问；对在墨西哥组织的国际活动提供资助和支持，这些活动旨在为讨论和分析卫生领域的财政资金经验提供论坛。</w:t>
      </w:r>
    </w:p>
    <w:p w:rsidR="00000000" w:rsidRDefault="00457650">
      <w:pPr>
        <w:keepNext/>
        <w:widowControl/>
        <w:tabs>
          <w:tab w:val="left" w:pos="630"/>
        </w:tabs>
        <w:spacing w:after="240" w:line="340" w:lineRule="exact"/>
        <w:rPr>
          <w:rFonts w:ascii="SimHei" w:eastAsia="SimHei" w:hint="eastAsia"/>
        </w:rPr>
      </w:pPr>
      <w:r>
        <w:rPr>
          <w:rFonts w:ascii="SimHei" w:eastAsia="SimHei" w:hint="eastAsia"/>
        </w:rPr>
        <w:tab/>
      </w:r>
      <w:r>
        <w:rPr>
          <w:rFonts w:ascii="SimHei" w:eastAsia="SimHei" w:hint="eastAsia"/>
        </w:rPr>
        <w:t>（</w:t>
      </w:r>
      <w:r>
        <w:rPr>
          <w:rFonts w:ascii="SimHei" w:eastAsia="SimHei" w:hint="eastAsia"/>
        </w:rPr>
        <w:t>b</w:t>
      </w:r>
      <w:r>
        <w:rPr>
          <w:rFonts w:ascii="SimHei" w:eastAsia="SimHei" w:hint="eastAsia"/>
        </w:rPr>
        <w:t>）双边和地区方面</w:t>
      </w:r>
    </w:p>
    <w:p w:rsidR="00000000" w:rsidRDefault="00457650">
      <w:pPr>
        <w:keepNext/>
        <w:widowControl/>
        <w:tabs>
          <w:tab w:val="left" w:pos="630"/>
        </w:tabs>
        <w:spacing w:after="240" w:line="340" w:lineRule="exact"/>
        <w:rPr>
          <w:rFonts w:hint="eastAsia"/>
        </w:rPr>
      </w:pPr>
      <w:r>
        <w:rPr>
          <w:rFonts w:hint="eastAsia"/>
        </w:rPr>
        <w:t>615.</w:t>
      </w:r>
      <w:r>
        <w:rPr>
          <w:rFonts w:hint="eastAsia"/>
        </w:rPr>
        <w:tab/>
      </w:r>
      <w:r>
        <w:rPr>
          <w:rFonts w:hint="eastAsia"/>
        </w:rPr>
        <w:t>政府或地区公共卫生机构提供的双边国际援助促进了经验交流，并对墨西哥官员提供了多方面的公共卫生保健培训。</w:t>
      </w:r>
    </w:p>
    <w:p w:rsidR="00000000" w:rsidRDefault="00457650">
      <w:pPr>
        <w:widowControl/>
        <w:tabs>
          <w:tab w:val="left" w:pos="630"/>
        </w:tabs>
        <w:spacing w:after="240" w:line="340" w:lineRule="exact"/>
        <w:rPr>
          <w:rFonts w:hint="eastAsia"/>
        </w:rPr>
      </w:pPr>
      <w:r>
        <w:rPr>
          <w:rFonts w:hint="eastAsia"/>
        </w:rPr>
        <w:t>616.</w:t>
      </w:r>
      <w:r>
        <w:rPr>
          <w:rFonts w:hint="eastAsia"/>
        </w:rPr>
        <w:tab/>
      </w:r>
      <w:r>
        <w:rPr>
          <w:rFonts w:hint="eastAsia"/>
        </w:rPr>
        <w:t>去年日本政府根据日本国际合作署的奖学金计划，提供了五项主题为地方卫生服务质量和生殖健康提供的奖学金（四项提供给墨西哥</w:t>
      </w:r>
      <w:r>
        <w:rPr>
          <w:rFonts w:hint="eastAsia"/>
        </w:rPr>
        <w:t>官员）。</w:t>
      </w:r>
    </w:p>
    <w:p w:rsidR="00000000" w:rsidRDefault="00457650">
      <w:pPr>
        <w:widowControl/>
        <w:tabs>
          <w:tab w:val="left" w:pos="630"/>
        </w:tabs>
        <w:spacing w:after="240" w:line="340" w:lineRule="exact"/>
        <w:rPr>
          <w:rFonts w:hint="eastAsia"/>
        </w:rPr>
      </w:pPr>
      <w:r>
        <w:rPr>
          <w:rFonts w:hint="eastAsia"/>
        </w:rPr>
        <w:t>617.</w:t>
      </w:r>
      <w:r>
        <w:rPr>
          <w:rFonts w:hint="eastAsia"/>
        </w:rPr>
        <w:tab/>
      </w:r>
      <w:r>
        <w:rPr>
          <w:rFonts w:hint="eastAsia"/>
        </w:rPr>
        <w:t>泛美卫生组织官员在墨西哥开展了几项活动，以便在免疫、土著人民健康、公共健康、传染病和非传染病防治等领域加强技术合作。此外，墨西哥官员参加了由泛美卫生组织开展的一些关于公共健康、免疫和新发疾病的活动。</w:t>
      </w:r>
    </w:p>
    <w:p w:rsidR="00000000" w:rsidRDefault="00457650">
      <w:pPr>
        <w:widowControl/>
        <w:tabs>
          <w:tab w:val="left" w:pos="630"/>
        </w:tabs>
        <w:spacing w:after="240" w:line="340" w:lineRule="exact"/>
        <w:rPr>
          <w:rFonts w:hint="eastAsia"/>
        </w:rPr>
      </w:pPr>
      <w:r>
        <w:rPr>
          <w:rFonts w:hint="eastAsia"/>
        </w:rPr>
        <w:t>618.</w:t>
      </w:r>
      <w:r>
        <w:rPr>
          <w:rFonts w:hint="eastAsia"/>
        </w:rPr>
        <w:tab/>
      </w:r>
      <w:r>
        <w:rPr>
          <w:rFonts w:hint="eastAsia"/>
        </w:rPr>
        <w:t>对于经验交流，泛美卫生组织</w:t>
      </w:r>
      <w:r>
        <w:rPr>
          <w:rFonts w:hint="eastAsia"/>
        </w:rPr>
        <w:t>/</w:t>
      </w:r>
      <w:r>
        <w:rPr>
          <w:rFonts w:hint="eastAsia"/>
        </w:rPr>
        <w:t>世界卫生组织与墨西哥卫生部及双边对口单位合作，制定了以下四项国家间技术合作方案：</w:t>
      </w:r>
    </w:p>
    <w:p w:rsidR="00000000" w:rsidRDefault="00457650" w:rsidP="00457650">
      <w:pPr>
        <w:widowControl/>
        <w:numPr>
          <w:ilvl w:val="0"/>
          <w:numId w:val="1898"/>
        </w:numPr>
        <w:tabs>
          <w:tab w:val="clear" w:pos="900"/>
          <w:tab w:val="left" w:pos="1050"/>
        </w:tabs>
        <w:spacing w:after="240" w:line="340" w:lineRule="exact"/>
        <w:ind w:leftChars="300" w:left="31680"/>
        <w:rPr>
          <w:rFonts w:hint="eastAsia"/>
        </w:rPr>
      </w:pPr>
      <w:r>
        <w:rPr>
          <w:rFonts w:hint="eastAsia"/>
        </w:rPr>
        <w:t>关于狂犬病监测和预防的“墨西哥——伯利兹技术合作项目”，其宗旨是加强包括社区参与在内的监测系统以便降低弱势群体中的传播危险。</w:t>
      </w:r>
    </w:p>
    <w:p w:rsidR="00000000" w:rsidRDefault="00457650" w:rsidP="00457650">
      <w:pPr>
        <w:widowControl/>
        <w:numPr>
          <w:ilvl w:val="0"/>
          <w:numId w:val="1898"/>
        </w:numPr>
        <w:tabs>
          <w:tab w:val="clear" w:pos="900"/>
          <w:tab w:val="left" w:pos="1050"/>
        </w:tabs>
        <w:spacing w:after="240" w:line="340" w:lineRule="exact"/>
        <w:ind w:leftChars="300" w:left="31680"/>
        <w:rPr>
          <w:rFonts w:hint="eastAsia"/>
        </w:rPr>
      </w:pPr>
      <w:r>
        <w:rPr>
          <w:rFonts w:hint="eastAsia"/>
        </w:rPr>
        <w:t>关于在两国边界地区降低狂犬病传播危险的“墨西哥</w:t>
      </w:r>
      <w:r>
        <w:rPr>
          <w:rFonts w:hint="eastAsia"/>
        </w:rPr>
        <w:t>——危地马拉技术合作项目”。这个项目正接受泛美卫生组织中央办事处的批准审查。</w:t>
      </w:r>
    </w:p>
    <w:p w:rsidR="00000000" w:rsidRDefault="00457650" w:rsidP="00457650">
      <w:pPr>
        <w:widowControl/>
        <w:numPr>
          <w:ilvl w:val="0"/>
          <w:numId w:val="1898"/>
        </w:numPr>
        <w:tabs>
          <w:tab w:val="clear" w:pos="900"/>
          <w:tab w:val="left" w:pos="1050"/>
        </w:tabs>
        <w:spacing w:after="240" w:line="340" w:lineRule="exact"/>
        <w:ind w:leftChars="300" w:left="31680"/>
        <w:rPr>
          <w:rFonts w:hint="eastAsia"/>
        </w:rPr>
      </w:pPr>
      <w:r>
        <w:rPr>
          <w:rFonts w:hint="eastAsia"/>
        </w:rPr>
        <w:t>促进民间团体参与保健活动的“墨西哥</w:t>
      </w:r>
      <w:r>
        <w:t>-</w:t>
      </w:r>
      <w:r>
        <w:rPr>
          <w:rFonts w:hint="eastAsia"/>
        </w:rPr>
        <w:t>巴西技术合作项目”，其宗旨是加强两国人民参与提高服务质量和制定其卫生政策的机制。这个提案正由墨西哥卫生部进行审查。</w:t>
      </w:r>
    </w:p>
    <w:p w:rsidR="00000000" w:rsidRDefault="00457650" w:rsidP="00457650">
      <w:pPr>
        <w:widowControl/>
        <w:numPr>
          <w:ilvl w:val="0"/>
          <w:numId w:val="1898"/>
        </w:numPr>
        <w:tabs>
          <w:tab w:val="clear" w:pos="900"/>
          <w:tab w:val="left" w:pos="1050"/>
        </w:tabs>
        <w:spacing w:after="240" w:line="340" w:lineRule="exact"/>
        <w:ind w:leftChars="300" w:left="31680"/>
        <w:rPr>
          <w:rFonts w:hint="eastAsia"/>
        </w:rPr>
      </w:pPr>
      <w:r>
        <w:rPr>
          <w:rFonts w:hint="eastAsia"/>
        </w:rPr>
        <w:t>卫生领域的“墨西哥</w:t>
      </w:r>
      <w:r>
        <w:rPr>
          <w:rFonts w:ascii="SimSun" w:hAnsi="SimSun" w:hint="eastAsia"/>
        </w:rPr>
        <w:t>-</w:t>
      </w:r>
      <w:r>
        <w:rPr>
          <w:rFonts w:hint="eastAsia"/>
        </w:rPr>
        <w:t>哥斯达黎加技术合作计划”，特别是关于医疗仲裁、癌症资料登记、先天性畸形和母婴死亡率方面的成功经验的交流。</w:t>
      </w:r>
    </w:p>
    <w:p w:rsidR="00000000" w:rsidRDefault="00457650">
      <w:pPr>
        <w:widowControl/>
        <w:tabs>
          <w:tab w:val="left" w:pos="630"/>
        </w:tabs>
        <w:spacing w:after="240" w:line="360" w:lineRule="exact"/>
        <w:rPr>
          <w:rFonts w:hint="eastAsia"/>
        </w:rPr>
      </w:pPr>
      <w:r>
        <w:rPr>
          <w:rFonts w:hint="eastAsia"/>
        </w:rPr>
        <w:tab/>
      </w:r>
      <w:r>
        <w:rPr>
          <w:rFonts w:eastAsia="KaiTi_GB2312" w:hint="eastAsia"/>
          <w:iCs/>
        </w:rPr>
        <w:t>说明</w:t>
      </w:r>
      <w:r>
        <w:rPr>
          <w:rFonts w:hint="eastAsia"/>
        </w:rPr>
        <w:t>：应当指出的是，关于第</w:t>
      </w:r>
      <w:r>
        <w:rPr>
          <w:rFonts w:hint="eastAsia"/>
        </w:rPr>
        <w:t>12</w:t>
      </w:r>
      <w:r>
        <w:rPr>
          <w:rFonts w:hint="eastAsia"/>
        </w:rPr>
        <w:t>条（</w:t>
      </w:r>
      <w:r>
        <w:rPr>
          <w:rFonts w:hint="eastAsia"/>
        </w:rPr>
        <w:t>a</w:t>
      </w:r>
      <w:r>
        <w:rPr>
          <w:rFonts w:hint="eastAsia"/>
        </w:rPr>
        <w:t>）款，到目前为止墨西哥卫生部尚未收到任何国际援助。</w:t>
      </w:r>
    </w:p>
    <w:p w:rsidR="00000000" w:rsidRDefault="00457650">
      <w:pPr>
        <w:keepNext/>
        <w:widowControl/>
        <w:tabs>
          <w:tab w:val="left" w:pos="630"/>
        </w:tabs>
        <w:spacing w:after="240" w:line="360" w:lineRule="exact"/>
        <w:jc w:val="center"/>
        <w:rPr>
          <w:rFonts w:ascii="SimHei" w:eastAsia="SimHei" w:hint="eastAsia"/>
          <w:sz w:val="24"/>
        </w:rPr>
      </w:pPr>
      <w:r>
        <w:rPr>
          <w:rFonts w:ascii="SimHei" w:eastAsia="SimHei" w:hint="eastAsia"/>
          <w:sz w:val="24"/>
        </w:rPr>
        <w:t xml:space="preserve">H.  </w:t>
      </w:r>
      <w:r>
        <w:rPr>
          <w:rFonts w:ascii="SimHei" w:eastAsia="SimHei" w:hint="eastAsia"/>
          <w:sz w:val="24"/>
        </w:rPr>
        <w:t>第</w:t>
      </w:r>
      <w:r>
        <w:rPr>
          <w:rFonts w:ascii="SimHei" w:eastAsia="SimHei" w:hint="eastAsia"/>
          <w:sz w:val="24"/>
        </w:rPr>
        <w:t>13</w:t>
      </w:r>
      <w:r>
        <w:rPr>
          <w:rFonts w:ascii="SimHei" w:eastAsia="SimHei" w:hint="eastAsia"/>
          <w:sz w:val="24"/>
        </w:rPr>
        <w:t>条</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56</w:t>
      </w:r>
      <w:r>
        <w:rPr>
          <w:rFonts w:ascii="SimHei" w:eastAsia="SimHei" w:hint="eastAsia"/>
        </w:rPr>
        <w:t>段（</w:t>
      </w:r>
      <w:r>
        <w:rPr>
          <w:rFonts w:ascii="SimHei" w:eastAsia="SimHei" w:hint="eastAsia"/>
        </w:rPr>
        <w:t>a</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619.</w:t>
      </w:r>
      <w:r>
        <w:rPr>
          <w:rFonts w:hint="eastAsia"/>
        </w:rPr>
        <w:tab/>
      </w:r>
      <w:r>
        <w:rPr>
          <w:rFonts w:hint="eastAsia"/>
        </w:rPr>
        <w:t>正如已经向委员会报告的</w:t>
      </w:r>
      <w:r>
        <w:rPr>
          <w:rFonts w:hint="eastAsia"/>
        </w:rPr>
        <w:t>一样，《宪法》第</w:t>
      </w:r>
      <w:r>
        <w:rPr>
          <w:rFonts w:hint="eastAsia"/>
        </w:rPr>
        <w:t>3</w:t>
      </w:r>
      <w:r>
        <w:rPr>
          <w:rFonts w:hint="eastAsia"/>
        </w:rPr>
        <w:t>条规定任何人都有权接受教育。它还规定国家有义务免费提供学前、初等和中等教育。同时，政府制定联邦计划，例如免费教科书，为墨西哥所有接受初等教育的学生提供印刷教材。在各州政府的倡议下，建立了小学基本基础设施；最后为隔离和分散人口以及移民子女制定了补偿计划和一体化课程。</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56</w:t>
      </w:r>
      <w:r>
        <w:rPr>
          <w:rFonts w:ascii="SimHei" w:eastAsia="SimHei" w:hint="eastAsia"/>
        </w:rPr>
        <w:t>段（</w:t>
      </w:r>
      <w:r>
        <w:rPr>
          <w:rFonts w:ascii="SimHei" w:eastAsia="SimHei" w:hint="eastAsia"/>
        </w:rPr>
        <w:t>b</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620.</w:t>
      </w:r>
      <w:r>
        <w:rPr>
          <w:rFonts w:hint="eastAsia"/>
        </w:rPr>
        <w:tab/>
      </w:r>
      <w:r>
        <w:rPr>
          <w:rFonts w:hint="eastAsia"/>
        </w:rPr>
        <w:t>自</w:t>
      </w:r>
      <w:r>
        <w:rPr>
          <w:rFonts w:hint="eastAsia"/>
        </w:rPr>
        <w:t>1993</w:t>
      </w:r>
      <w:r>
        <w:rPr>
          <w:rFonts w:hint="eastAsia"/>
        </w:rPr>
        <w:t>年以来，中等教育成为义务教育。从</w:t>
      </w:r>
      <w:r>
        <w:rPr>
          <w:rFonts w:hint="eastAsia"/>
        </w:rPr>
        <w:t>1997</w:t>
      </w:r>
      <w:r>
        <w:rPr>
          <w:rFonts w:hint="eastAsia"/>
        </w:rPr>
        <w:t>年开始促进实施一项大规模购买私营出版公司教材的方案，该方案此前经过教育部批准授权。这些教材借给在校的三届学生使用。</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56</w:t>
      </w:r>
      <w:r>
        <w:rPr>
          <w:rFonts w:ascii="SimHei" w:eastAsia="SimHei" w:hint="eastAsia"/>
        </w:rPr>
        <w:t>段（</w:t>
      </w:r>
      <w:r>
        <w:rPr>
          <w:rFonts w:ascii="SimHei" w:eastAsia="SimHei" w:hint="eastAsia"/>
        </w:rPr>
        <w:t>c</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621.</w:t>
      </w:r>
      <w:r>
        <w:rPr>
          <w:rFonts w:hint="eastAsia"/>
        </w:rPr>
        <w:tab/>
      </w:r>
      <w:r>
        <w:rPr>
          <w:rFonts w:hint="eastAsia"/>
        </w:rPr>
        <w:t>过去几年的</w:t>
      </w:r>
      <w:r>
        <w:rPr>
          <w:rFonts w:hint="eastAsia"/>
        </w:rPr>
        <w:t>教育政策证明墨西哥为增加高等教育的机会做出了巨大努力。</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40"/>
        <w:gridCol w:w="4320"/>
      </w:tblGrid>
      <w:tr w:rsidR="00000000">
        <w:tc>
          <w:tcPr>
            <w:tcW w:w="3840" w:type="dxa"/>
          </w:tcPr>
          <w:p w:rsidR="00000000" w:rsidRDefault="00457650">
            <w:pPr>
              <w:widowControl/>
              <w:tabs>
                <w:tab w:val="left" w:pos="630"/>
              </w:tabs>
              <w:spacing w:after="120" w:line="320" w:lineRule="exact"/>
              <w:jc w:val="center"/>
              <w:rPr>
                <w:rFonts w:ascii="KaiTi_GB2312" w:eastAsia="KaiTi_GB2312" w:hint="eastAsia"/>
                <w:iCs/>
                <w:sz w:val="18"/>
              </w:rPr>
            </w:pPr>
            <w:r>
              <w:rPr>
                <w:rFonts w:ascii="KaiTi_GB2312" w:eastAsia="KaiTi_GB2312" w:hint="eastAsia"/>
                <w:iCs/>
                <w:sz w:val="18"/>
              </w:rPr>
              <w:t>2000</w:t>
            </w:r>
            <w:r>
              <w:rPr>
                <w:rFonts w:ascii="KaiTi_GB2312" w:eastAsia="KaiTi_GB2312"/>
                <w:iCs/>
                <w:sz w:val="18"/>
              </w:rPr>
              <w:t>-</w:t>
            </w:r>
            <w:r>
              <w:rPr>
                <w:rFonts w:ascii="KaiTi_GB2312" w:eastAsia="KaiTi_GB2312" w:hint="eastAsia"/>
                <w:iCs/>
                <w:sz w:val="18"/>
              </w:rPr>
              <w:t>2001</w:t>
            </w:r>
            <w:r>
              <w:rPr>
                <w:rFonts w:ascii="KaiTi_GB2312" w:eastAsia="KaiTi_GB2312" w:hint="eastAsia"/>
                <w:iCs/>
                <w:sz w:val="18"/>
              </w:rPr>
              <w:t>年入学率</w:t>
            </w:r>
          </w:p>
        </w:tc>
        <w:tc>
          <w:tcPr>
            <w:tcW w:w="4320" w:type="dxa"/>
          </w:tcPr>
          <w:p w:rsidR="00000000" w:rsidRDefault="00457650">
            <w:pPr>
              <w:widowControl/>
              <w:tabs>
                <w:tab w:val="left" w:pos="630"/>
              </w:tabs>
              <w:spacing w:after="120" w:line="320" w:lineRule="exact"/>
              <w:jc w:val="center"/>
              <w:rPr>
                <w:rFonts w:ascii="KaiTi_GB2312" w:eastAsia="KaiTi_GB2312" w:hint="eastAsia"/>
                <w:iCs/>
                <w:sz w:val="18"/>
              </w:rPr>
            </w:pPr>
            <w:r>
              <w:rPr>
                <w:rFonts w:ascii="KaiTi_GB2312" w:eastAsia="KaiTi_GB2312" w:hint="eastAsia"/>
                <w:iCs/>
                <w:sz w:val="18"/>
              </w:rPr>
              <w:t>2000</w:t>
            </w:r>
            <w:r>
              <w:rPr>
                <w:rFonts w:ascii="KaiTi_GB2312" w:eastAsia="KaiTi_GB2312"/>
                <w:iCs/>
                <w:sz w:val="18"/>
              </w:rPr>
              <w:t>-</w:t>
            </w:r>
            <w:r>
              <w:rPr>
                <w:rFonts w:ascii="KaiTi_GB2312" w:eastAsia="KaiTi_GB2312" w:hint="eastAsia"/>
                <w:iCs/>
                <w:sz w:val="18"/>
              </w:rPr>
              <w:t>2001</w:t>
            </w:r>
            <w:r>
              <w:rPr>
                <w:rFonts w:ascii="KaiTi_GB2312" w:eastAsia="KaiTi_GB2312" w:hint="eastAsia"/>
                <w:iCs/>
                <w:sz w:val="18"/>
              </w:rPr>
              <w:t>年入学率</w:t>
            </w:r>
          </w:p>
        </w:tc>
      </w:tr>
      <w:tr w:rsidR="00000000">
        <w:tc>
          <w:tcPr>
            <w:tcW w:w="3840" w:type="dxa"/>
          </w:tcPr>
          <w:p w:rsidR="00000000" w:rsidRDefault="00457650">
            <w:pPr>
              <w:widowControl/>
              <w:tabs>
                <w:tab w:val="left" w:pos="630"/>
              </w:tabs>
              <w:spacing w:after="120" w:line="320" w:lineRule="exact"/>
              <w:jc w:val="center"/>
              <w:rPr>
                <w:iCs/>
                <w:sz w:val="18"/>
              </w:rPr>
            </w:pPr>
            <w:r>
              <w:rPr>
                <w:iCs/>
                <w:sz w:val="18"/>
              </w:rPr>
              <w:t>2</w:t>
            </w:r>
            <w:r>
              <w:rPr>
                <w:rFonts w:hint="eastAsia"/>
                <w:iCs/>
                <w:sz w:val="18"/>
              </w:rPr>
              <w:t xml:space="preserve"> </w:t>
            </w:r>
            <w:r>
              <w:rPr>
                <w:iCs/>
                <w:sz w:val="18"/>
              </w:rPr>
              <w:t>197</w:t>
            </w:r>
            <w:r>
              <w:rPr>
                <w:rFonts w:hint="eastAsia"/>
                <w:iCs/>
                <w:sz w:val="18"/>
              </w:rPr>
              <w:t xml:space="preserve"> </w:t>
            </w:r>
            <w:r>
              <w:rPr>
                <w:iCs/>
                <w:sz w:val="18"/>
              </w:rPr>
              <w:t>702</w:t>
            </w:r>
          </w:p>
        </w:tc>
        <w:tc>
          <w:tcPr>
            <w:tcW w:w="4320" w:type="dxa"/>
          </w:tcPr>
          <w:p w:rsidR="00000000" w:rsidRDefault="00457650">
            <w:pPr>
              <w:widowControl/>
              <w:tabs>
                <w:tab w:val="left" w:pos="630"/>
              </w:tabs>
              <w:spacing w:after="120" w:line="320" w:lineRule="exact"/>
              <w:jc w:val="center"/>
              <w:rPr>
                <w:iCs/>
                <w:sz w:val="18"/>
              </w:rPr>
            </w:pPr>
            <w:r>
              <w:rPr>
                <w:iCs/>
                <w:sz w:val="18"/>
              </w:rPr>
              <w:t>2</w:t>
            </w:r>
            <w:r>
              <w:rPr>
                <w:rFonts w:hint="eastAsia"/>
                <w:iCs/>
                <w:sz w:val="18"/>
              </w:rPr>
              <w:t xml:space="preserve"> </w:t>
            </w:r>
            <w:r>
              <w:rPr>
                <w:iCs/>
                <w:sz w:val="18"/>
              </w:rPr>
              <w:t>522</w:t>
            </w:r>
            <w:r>
              <w:rPr>
                <w:rFonts w:hint="eastAsia"/>
                <w:iCs/>
                <w:sz w:val="18"/>
              </w:rPr>
              <w:t xml:space="preserve"> </w:t>
            </w:r>
            <w:r>
              <w:rPr>
                <w:iCs/>
                <w:sz w:val="18"/>
              </w:rPr>
              <w:t>276</w:t>
            </w:r>
          </w:p>
        </w:tc>
      </w:tr>
    </w:tbl>
    <w:p w:rsidR="00000000" w:rsidRDefault="00457650" w:rsidP="00457650">
      <w:pPr>
        <w:widowControl/>
        <w:tabs>
          <w:tab w:val="left" w:pos="630"/>
        </w:tabs>
        <w:spacing w:after="240" w:line="360" w:lineRule="exact"/>
        <w:ind w:firstLineChars="300" w:firstLine="31680"/>
        <w:rPr>
          <w:rFonts w:hint="eastAsia"/>
          <w:sz w:val="18"/>
        </w:rPr>
      </w:pPr>
      <w:r>
        <w:rPr>
          <w:rFonts w:eastAsia="KaiTi_GB2312" w:hint="eastAsia"/>
          <w:sz w:val="18"/>
        </w:rPr>
        <w:t>资料来源</w:t>
      </w:r>
      <w:r>
        <w:rPr>
          <w:rFonts w:hint="eastAsia"/>
          <w:sz w:val="18"/>
        </w:rPr>
        <w:t>：公共教育部，国际事务处，</w:t>
      </w:r>
      <w:r>
        <w:rPr>
          <w:rFonts w:hint="eastAsia"/>
          <w:sz w:val="18"/>
        </w:rPr>
        <w:t>2004</w:t>
      </w:r>
      <w:r>
        <w:rPr>
          <w:rFonts w:hint="eastAsia"/>
          <w:sz w:val="18"/>
        </w:rPr>
        <w:t>年。</w:t>
      </w:r>
    </w:p>
    <w:p w:rsidR="00000000" w:rsidRDefault="00457650">
      <w:pPr>
        <w:widowControl/>
        <w:tabs>
          <w:tab w:val="left" w:pos="630"/>
        </w:tabs>
        <w:spacing w:after="240" w:line="360" w:lineRule="exact"/>
        <w:rPr>
          <w:rFonts w:hint="eastAsia"/>
        </w:rPr>
      </w:pPr>
      <w:r>
        <w:rPr>
          <w:rFonts w:hint="eastAsia"/>
        </w:rPr>
        <w:t>622.</w:t>
      </w:r>
      <w:r>
        <w:rPr>
          <w:rFonts w:hint="eastAsia"/>
        </w:rPr>
        <w:tab/>
      </w:r>
      <w:r>
        <w:rPr>
          <w:rFonts w:hint="eastAsia"/>
        </w:rPr>
        <w:t>在</w:t>
      </w:r>
      <w:r>
        <w:rPr>
          <w:rFonts w:hint="eastAsia"/>
        </w:rPr>
        <w:t>2003</w:t>
      </w:r>
      <w:r>
        <w:t>-</w:t>
      </w:r>
      <w:r>
        <w:rPr>
          <w:rFonts w:hint="eastAsia"/>
        </w:rPr>
        <w:t>2004</w:t>
      </w:r>
      <w:r>
        <w:rPr>
          <w:rFonts w:hint="eastAsia"/>
        </w:rPr>
        <w:t>学年，有</w:t>
      </w:r>
      <w:r>
        <w:rPr>
          <w:rFonts w:hint="eastAsia"/>
        </w:rPr>
        <w:t>2 522 276</w:t>
      </w:r>
      <w:r>
        <w:rPr>
          <w:rFonts w:hint="eastAsia"/>
        </w:rPr>
        <w:t>名学生登记，这比</w:t>
      </w:r>
      <w:r>
        <w:rPr>
          <w:rFonts w:hint="eastAsia"/>
        </w:rPr>
        <w:t>2000</w:t>
      </w:r>
      <w:r>
        <w:t>-</w:t>
      </w:r>
      <w:r>
        <w:rPr>
          <w:rFonts w:hint="eastAsia"/>
        </w:rPr>
        <w:t>2001</w:t>
      </w:r>
      <w:r>
        <w:rPr>
          <w:rFonts w:hint="eastAsia"/>
        </w:rPr>
        <w:t>学年增加了近</w:t>
      </w:r>
      <w:r>
        <w:rPr>
          <w:rFonts w:hint="eastAsia"/>
        </w:rPr>
        <w:t>325 000</w:t>
      </w:r>
      <w:r>
        <w:rPr>
          <w:rFonts w:hint="eastAsia"/>
        </w:rPr>
        <w:t>人，比</w:t>
      </w:r>
      <w:r>
        <w:rPr>
          <w:rFonts w:hint="eastAsia"/>
        </w:rPr>
        <w:t>1995</w:t>
      </w:r>
      <w:r>
        <w:t>-</w:t>
      </w:r>
      <w:r>
        <w:rPr>
          <w:rFonts w:hint="eastAsia"/>
        </w:rPr>
        <w:t>1996</w:t>
      </w:r>
      <w:r>
        <w:rPr>
          <w:rFonts w:hint="eastAsia"/>
        </w:rPr>
        <w:t>学年增加了</w:t>
      </w:r>
      <w:r>
        <w:rPr>
          <w:rFonts w:hint="eastAsia"/>
        </w:rPr>
        <w:t>990 000</w:t>
      </w:r>
      <w:r>
        <w:rPr>
          <w:rFonts w:hint="eastAsia"/>
        </w:rPr>
        <w:t>人（前一个六年期第一学年）。这一数字在高度教育系统分别上升了</w:t>
      </w:r>
      <w:r>
        <w:rPr>
          <w:rFonts w:hint="eastAsia"/>
        </w:rPr>
        <w:t>14.77%</w:t>
      </w:r>
      <w:r>
        <w:rPr>
          <w:rFonts w:hint="eastAsia"/>
        </w:rPr>
        <w:t>和</w:t>
      </w:r>
      <w:r>
        <w:rPr>
          <w:rFonts w:hint="eastAsia"/>
        </w:rPr>
        <w:t>64.5%</w:t>
      </w:r>
      <w:r>
        <w:rPr>
          <w:rFonts w:hint="eastAsia"/>
        </w:rPr>
        <w:t>。</w:t>
      </w:r>
    </w:p>
    <w:p w:rsidR="00000000" w:rsidRDefault="00457650">
      <w:pPr>
        <w:widowControl/>
        <w:tabs>
          <w:tab w:val="left" w:pos="630"/>
        </w:tabs>
        <w:spacing w:after="240" w:line="360" w:lineRule="exact"/>
        <w:rPr>
          <w:rFonts w:hint="eastAsia"/>
        </w:rPr>
      </w:pPr>
      <w:r>
        <w:rPr>
          <w:rFonts w:hint="eastAsia"/>
        </w:rPr>
        <w:t>623.</w:t>
      </w:r>
      <w:r>
        <w:rPr>
          <w:rFonts w:hint="eastAsia"/>
        </w:rPr>
        <w:tab/>
      </w:r>
      <w:r>
        <w:rPr>
          <w:rFonts w:hint="eastAsia"/>
        </w:rPr>
        <w:t>在</w:t>
      </w:r>
      <w:r>
        <w:rPr>
          <w:rFonts w:hint="eastAsia"/>
        </w:rPr>
        <w:t>2004</w:t>
      </w:r>
      <w:r>
        <w:rPr>
          <w:rFonts w:hint="eastAsia"/>
        </w:rPr>
        <w:t>年每名学生的联邦开支估计为</w:t>
      </w:r>
      <w:r>
        <w:rPr>
          <w:rFonts w:hint="eastAsia"/>
        </w:rPr>
        <w:t>43 80</w:t>
      </w:r>
      <w:r>
        <w:rPr>
          <w:rFonts w:hint="eastAsia"/>
        </w:rPr>
        <w:t>0</w:t>
      </w:r>
      <w:r>
        <w:rPr>
          <w:rFonts w:hint="eastAsia"/>
        </w:rPr>
        <w:t>比索。</w:t>
      </w:r>
    </w:p>
    <w:p w:rsidR="00000000" w:rsidRDefault="00457650">
      <w:pPr>
        <w:widowControl/>
        <w:tabs>
          <w:tab w:val="left" w:pos="630"/>
        </w:tabs>
        <w:spacing w:after="240" w:line="360" w:lineRule="exact"/>
        <w:rPr>
          <w:rFonts w:hint="eastAsia"/>
        </w:rPr>
      </w:pPr>
      <w:r>
        <w:rPr>
          <w:rFonts w:hint="eastAsia"/>
        </w:rPr>
        <w:t>624.</w:t>
      </w:r>
      <w:r>
        <w:rPr>
          <w:rFonts w:hint="eastAsia"/>
        </w:rPr>
        <w:tab/>
      </w:r>
      <w:r>
        <w:rPr>
          <w:rFonts w:hint="eastAsia"/>
        </w:rPr>
        <w:t>高等教育子系统所资助的最低三个收入等级家庭学生的数量是最高三个收入等级家庭学生的</w:t>
      </w:r>
      <w:r>
        <w:rPr>
          <w:rFonts w:hint="eastAsia"/>
        </w:rPr>
        <w:t>12</w:t>
      </w:r>
      <w:r>
        <w:rPr>
          <w:rFonts w:hint="eastAsia"/>
        </w:rPr>
        <w:t>倍，这表明如果实行免费高等教育将加剧接受高等教育的不平等。为此，本届政府设立了“国家高等教育奖学金计划”。这些奖学金不必偿还，按月向经济困难的学生支付，以便他们能开始或继续大学学业。</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56</w:t>
      </w:r>
      <w:r>
        <w:rPr>
          <w:rFonts w:ascii="SimHei" w:eastAsia="SimHei" w:hint="eastAsia"/>
        </w:rPr>
        <w:t>段（</w:t>
      </w:r>
      <w:r>
        <w:rPr>
          <w:rFonts w:ascii="SimHei" w:eastAsia="SimHei" w:hint="eastAsia"/>
        </w:rPr>
        <w:t>d</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625.</w:t>
      </w:r>
      <w:r>
        <w:rPr>
          <w:rFonts w:hint="eastAsia"/>
        </w:rPr>
        <w:tab/>
      </w:r>
      <w:r>
        <w:rPr>
          <w:rFonts w:hint="eastAsia"/>
        </w:rPr>
        <w:t>国家成人教育学院致力于为那些因为种种原因而没有接受或完成基础教育的</w:t>
      </w:r>
      <w:r>
        <w:rPr>
          <w:rFonts w:hint="eastAsia"/>
        </w:rPr>
        <w:t>15</w:t>
      </w:r>
      <w:r>
        <w:rPr>
          <w:rFonts w:hint="eastAsia"/>
        </w:rPr>
        <w:t>岁以上年轻人和成年人寻求另一种教育方式。换句话说，它满足那些需要识字培训和初等或中等教育的人群的需要。它还满足年龄在</w:t>
      </w:r>
      <w:r>
        <w:rPr>
          <w:rFonts w:hint="eastAsia"/>
        </w:rPr>
        <w:t>10</w:t>
      </w:r>
      <w:r>
        <w:t>-</w:t>
      </w:r>
      <w:r>
        <w:rPr>
          <w:rFonts w:hint="eastAsia"/>
        </w:rPr>
        <w:t>14</w:t>
      </w:r>
      <w:r>
        <w:rPr>
          <w:rFonts w:hint="eastAsia"/>
        </w:rPr>
        <w:t>岁</w:t>
      </w:r>
      <w:r>
        <w:rPr>
          <w:rFonts w:hint="eastAsia"/>
        </w:rPr>
        <w:t>未能登记入学人的需要。</w:t>
      </w:r>
    </w:p>
    <w:p w:rsidR="00000000" w:rsidRDefault="00457650">
      <w:pPr>
        <w:widowControl/>
        <w:tabs>
          <w:tab w:val="left" w:pos="630"/>
        </w:tabs>
        <w:spacing w:after="240" w:line="360" w:lineRule="exact"/>
        <w:rPr>
          <w:rFonts w:hint="eastAsia"/>
        </w:rPr>
      </w:pPr>
      <w:r>
        <w:rPr>
          <w:rFonts w:hint="eastAsia"/>
        </w:rPr>
        <w:t>626.</w:t>
      </w:r>
      <w:r>
        <w:rPr>
          <w:rFonts w:hint="eastAsia"/>
        </w:rPr>
        <w:tab/>
      </w:r>
      <w:r>
        <w:rPr>
          <w:rFonts w:hint="eastAsia"/>
        </w:rPr>
        <w:t>墨西哥全国目前成人基础教育的潜在需求是</w:t>
      </w:r>
      <w:r>
        <w:rPr>
          <w:rFonts w:hint="eastAsia"/>
        </w:rPr>
        <w:t>3 250</w:t>
      </w:r>
      <w:r>
        <w:rPr>
          <w:rFonts w:hint="eastAsia"/>
        </w:rPr>
        <w:t>万人，其中包括重点人群，例如妇女、仅懂一种语言或两种语言的土著人、</w:t>
      </w:r>
      <w:r>
        <w:rPr>
          <w:rFonts w:hint="eastAsia"/>
        </w:rPr>
        <w:t>18</w:t>
      </w:r>
      <w:r>
        <w:rPr>
          <w:rFonts w:hint="eastAsia"/>
        </w:rPr>
        <w:t>周岁服兵役者、老年人、残疾人、流动农业零散工，还有那些生活在美国没有接受或完成基础教育的墨西哥人。</w:t>
      </w:r>
    </w:p>
    <w:p w:rsidR="00000000" w:rsidRDefault="00457650">
      <w:pPr>
        <w:widowControl/>
        <w:tabs>
          <w:tab w:val="left" w:pos="630"/>
        </w:tabs>
        <w:spacing w:after="240" w:line="360" w:lineRule="exact"/>
        <w:rPr>
          <w:rFonts w:hint="eastAsia"/>
        </w:rPr>
      </w:pPr>
      <w:r>
        <w:rPr>
          <w:rFonts w:hint="eastAsia"/>
        </w:rPr>
        <w:t>627.</w:t>
      </w:r>
      <w:r>
        <w:rPr>
          <w:rFonts w:hint="eastAsia"/>
        </w:rPr>
        <w:tab/>
      </w:r>
      <w:r>
        <w:rPr>
          <w:rFonts w:hint="eastAsia"/>
        </w:rPr>
        <w:t>近几十年来，扩大基础教育的系统学习机会参差不齐，老年人以识字为主，青年以中等教育为主。</w:t>
      </w:r>
    </w:p>
    <w:p w:rsidR="00000000" w:rsidRDefault="00457650">
      <w:pPr>
        <w:widowControl/>
        <w:tabs>
          <w:tab w:val="left" w:pos="630"/>
        </w:tabs>
        <w:spacing w:after="240" w:line="360" w:lineRule="exact"/>
        <w:rPr>
          <w:rFonts w:hint="eastAsia"/>
        </w:rPr>
      </w:pPr>
      <w:r>
        <w:rPr>
          <w:rFonts w:hint="eastAsia"/>
        </w:rPr>
        <w:t>628.</w:t>
      </w:r>
      <w:r>
        <w:rPr>
          <w:rFonts w:hint="eastAsia"/>
        </w:rPr>
        <w:tab/>
        <w:t>1990</w:t>
      </w:r>
      <w:r>
        <w:rPr>
          <w:rFonts w:hint="eastAsia"/>
        </w:rPr>
        <w:t>年，国家成人教育学院根据一些国际论坛的意见，开始进行一项重大的制度变革，例如</w:t>
      </w:r>
      <w:r>
        <w:rPr>
          <w:rFonts w:hint="eastAsia"/>
        </w:rPr>
        <w:t>1990</w:t>
      </w:r>
      <w:r>
        <w:rPr>
          <w:rFonts w:hint="eastAsia"/>
        </w:rPr>
        <w:t>年宗滴恩会议强调基础教育是每个人的基本权利。</w:t>
      </w:r>
    </w:p>
    <w:p w:rsidR="00000000" w:rsidRDefault="00457650">
      <w:pPr>
        <w:widowControl/>
        <w:tabs>
          <w:tab w:val="left" w:pos="630"/>
        </w:tabs>
        <w:spacing w:after="240" w:line="360" w:lineRule="exact"/>
        <w:rPr>
          <w:rFonts w:hint="eastAsia"/>
        </w:rPr>
      </w:pPr>
      <w:r>
        <w:rPr>
          <w:rFonts w:hint="eastAsia"/>
        </w:rPr>
        <w:t>629.</w:t>
      </w:r>
      <w:r>
        <w:rPr>
          <w:rFonts w:hint="eastAsia"/>
        </w:rPr>
        <w:tab/>
      </w:r>
      <w:r>
        <w:rPr>
          <w:rFonts w:hint="eastAsia"/>
        </w:rPr>
        <w:t>国家</w:t>
      </w:r>
      <w:r>
        <w:rPr>
          <w:rFonts w:hint="eastAsia"/>
        </w:rPr>
        <w:t>成人教育学院的各种青年和成年人基础教育模式是建立在开放、灵活的教育方案基础之上的，其目的是使这些教育模式适合不同的目标群体及其时间分配。</w:t>
      </w:r>
    </w:p>
    <w:p w:rsidR="00000000" w:rsidRDefault="00457650">
      <w:pPr>
        <w:widowControl/>
        <w:tabs>
          <w:tab w:val="left" w:pos="630"/>
        </w:tabs>
        <w:spacing w:after="240" w:line="360" w:lineRule="exact"/>
        <w:rPr>
          <w:rFonts w:hint="eastAsia"/>
        </w:rPr>
      </w:pPr>
      <w:r>
        <w:rPr>
          <w:rFonts w:hint="eastAsia"/>
        </w:rPr>
        <w:t>630.</w:t>
      </w:r>
      <w:r>
        <w:rPr>
          <w:rFonts w:hint="eastAsia"/>
        </w:rPr>
        <w:tab/>
      </w:r>
      <w:r>
        <w:rPr>
          <w:rFonts w:hint="eastAsia"/>
        </w:rPr>
        <w:t>其中之一是“生活和工作教育（</w:t>
      </w:r>
      <w:r>
        <w:rPr>
          <w:rFonts w:hint="eastAsia"/>
        </w:rPr>
        <w:t>MEVyT</w:t>
      </w:r>
      <w:r>
        <w:rPr>
          <w:rFonts w:hint="eastAsia"/>
        </w:rPr>
        <w:t>）”模式，它于</w:t>
      </w:r>
      <w:r>
        <w:rPr>
          <w:rFonts w:hint="eastAsia"/>
        </w:rPr>
        <w:t>2000</w:t>
      </w:r>
      <w:r>
        <w:rPr>
          <w:rFonts w:hint="eastAsia"/>
        </w:rPr>
        <w:t>年启动，到</w:t>
      </w:r>
      <w:r>
        <w:rPr>
          <w:rFonts w:hint="eastAsia"/>
        </w:rPr>
        <w:t>2002</w:t>
      </w:r>
      <w:r>
        <w:rPr>
          <w:rFonts w:hint="eastAsia"/>
        </w:rPr>
        <w:t>年年底，它已在</w:t>
      </w:r>
      <w:r>
        <w:rPr>
          <w:rFonts w:hint="eastAsia"/>
        </w:rPr>
        <w:t>21</w:t>
      </w:r>
      <w:r>
        <w:rPr>
          <w:rFonts w:hint="eastAsia"/>
        </w:rPr>
        <w:t>个州实施，使</w:t>
      </w:r>
      <w:r>
        <w:rPr>
          <w:rFonts w:hint="eastAsia"/>
        </w:rPr>
        <w:t>650 000</w:t>
      </w:r>
      <w:r>
        <w:rPr>
          <w:rFonts w:hint="eastAsia"/>
        </w:rPr>
        <w:t>多名青年和成年人受益。在当年，</w:t>
      </w:r>
      <w:r>
        <w:rPr>
          <w:rFonts w:hint="eastAsia"/>
        </w:rPr>
        <w:t>63 000</w:t>
      </w:r>
      <w:r>
        <w:rPr>
          <w:rFonts w:hint="eastAsia"/>
        </w:rPr>
        <w:t>人完成了中等教育，</w:t>
      </w:r>
      <w:r>
        <w:rPr>
          <w:rFonts w:hint="eastAsia"/>
        </w:rPr>
        <w:t>34 000</w:t>
      </w:r>
      <w:r>
        <w:rPr>
          <w:rFonts w:hint="eastAsia"/>
        </w:rPr>
        <w:t>人完成了初等教育，</w:t>
      </w:r>
      <w:r>
        <w:rPr>
          <w:rFonts w:hint="eastAsia"/>
        </w:rPr>
        <w:t>40 500</w:t>
      </w:r>
      <w:r>
        <w:rPr>
          <w:rFonts w:hint="eastAsia"/>
        </w:rPr>
        <w:t>人完成了扫盲培训。</w:t>
      </w:r>
    </w:p>
    <w:p w:rsidR="00000000" w:rsidRDefault="00457650">
      <w:pPr>
        <w:widowControl/>
        <w:tabs>
          <w:tab w:val="left" w:pos="630"/>
        </w:tabs>
        <w:spacing w:after="240" w:line="360" w:lineRule="exact"/>
        <w:rPr>
          <w:rFonts w:hint="eastAsia"/>
        </w:rPr>
      </w:pPr>
      <w:r>
        <w:rPr>
          <w:rFonts w:hint="eastAsia"/>
        </w:rPr>
        <w:t>631.</w:t>
      </w:r>
      <w:r>
        <w:rPr>
          <w:rFonts w:hint="eastAsia"/>
        </w:rPr>
        <w:tab/>
        <w:t>2002</w:t>
      </w:r>
      <w:r>
        <w:t>-</w:t>
      </w:r>
      <w:r>
        <w:rPr>
          <w:rFonts w:hint="eastAsia"/>
        </w:rPr>
        <w:t>2003</w:t>
      </w:r>
      <w:r>
        <w:rPr>
          <w:rFonts w:hint="eastAsia"/>
        </w:rPr>
        <w:t>年期间在设计和精心完善新模式方面取得了很大的进展，这些新模式旨在应对各种不同群体的需要，特别</w:t>
      </w:r>
      <w:r>
        <w:rPr>
          <w:rFonts w:hint="eastAsia"/>
        </w:rPr>
        <w:t>是青年和妇女。</w:t>
      </w:r>
    </w:p>
    <w:p w:rsidR="00000000" w:rsidRDefault="00457650">
      <w:pPr>
        <w:widowControl/>
        <w:tabs>
          <w:tab w:val="left" w:pos="630"/>
        </w:tabs>
        <w:spacing w:after="240" w:line="360" w:lineRule="exact"/>
        <w:rPr>
          <w:rFonts w:hint="eastAsia"/>
        </w:rPr>
      </w:pPr>
      <w:r>
        <w:rPr>
          <w:rFonts w:hint="eastAsia"/>
        </w:rPr>
        <w:t>632.</w:t>
      </w:r>
      <w:r>
        <w:rPr>
          <w:rFonts w:hint="eastAsia"/>
        </w:rPr>
        <w:tab/>
      </w:r>
      <w:r>
        <w:rPr>
          <w:rFonts w:hint="eastAsia"/>
        </w:rPr>
        <w:t>另一个模式是“</w:t>
      </w:r>
      <w:r>
        <w:rPr>
          <w:rFonts w:hint="eastAsia"/>
        </w:rPr>
        <w:t>10</w:t>
      </w:r>
      <w:r>
        <w:t>-</w:t>
      </w:r>
      <w:r>
        <w:rPr>
          <w:rFonts w:hint="eastAsia"/>
        </w:rPr>
        <w:t>14</w:t>
      </w:r>
      <w:r>
        <w:rPr>
          <w:rFonts w:hint="eastAsia"/>
        </w:rPr>
        <w:t>岁儿童接受基本初等教育的新方法”（</w:t>
      </w:r>
      <w:r>
        <w:rPr>
          <w:rFonts w:hint="eastAsia"/>
        </w:rPr>
        <w:t>NEEBA10</w:t>
      </w:r>
      <w:r>
        <w:t>-</w:t>
      </w:r>
      <w:r>
        <w:rPr>
          <w:rFonts w:hint="eastAsia"/>
        </w:rPr>
        <w:t>14</w:t>
      </w:r>
      <w:r>
        <w:rPr>
          <w:rFonts w:hint="eastAsia"/>
        </w:rPr>
        <w:t>），该战略旨在减少造成</w:t>
      </w:r>
      <w:r>
        <w:rPr>
          <w:rFonts w:hint="eastAsia"/>
        </w:rPr>
        <w:t>10</w:t>
      </w:r>
      <w:r>
        <w:t>-</w:t>
      </w:r>
      <w:r>
        <w:rPr>
          <w:rFonts w:hint="eastAsia"/>
        </w:rPr>
        <w:t>14</w:t>
      </w:r>
      <w:r>
        <w:rPr>
          <w:rFonts w:hint="eastAsia"/>
        </w:rPr>
        <w:t>岁儿童群体受教育不足的原因，这些儿童因为各种原因从未接受或不能继续接受基础教育并且不愿返回学校学习。该计划自</w:t>
      </w:r>
      <w:r>
        <w:rPr>
          <w:rFonts w:hint="eastAsia"/>
        </w:rPr>
        <w:t>1990</w:t>
      </w:r>
      <w:r>
        <w:rPr>
          <w:rFonts w:hint="eastAsia"/>
        </w:rPr>
        <w:t>年起就由成人教育学院实施，此后为提高其质量和实用性付出了巨大努力。</w:t>
      </w:r>
    </w:p>
    <w:p w:rsidR="00000000" w:rsidRDefault="00457650">
      <w:pPr>
        <w:widowControl/>
        <w:tabs>
          <w:tab w:val="left" w:pos="630"/>
        </w:tabs>
        <w:spacing w:after="240" w:line="360" w:lineRule="exact"/>
        <w:rPr>
          <w:rFonts w:hint="eastAsia"/>
        </w:rPr>
      </w:pPr>
      <w:r>
        <w:rPr>
          <w:rFonts w:hint="eastAsia"/>
        </w:rPr>
        <w:t>633.</w:t>
      </w:r>
      <w:r>
        <w:rPr>
          <w:rFonts w:hint="eastAsia"/>
        </w:rPr>
        <w:tab/>
      </w:r>
      <w:r>
        <w:rPr>
          <w:rFonts w:hint="eastAsia"/>
        </w:rPr>
        <w:t>该教育计划的实施需要采取更加灵活而适当的办法扩大初等教育覆盖面。每个阶段都要结合各级初等教育</w:t>
      </w:r>
      <w:r>
        <w:rPr>
          <w:rStyle w:val="FootnoteReference"/>
          <w:color w:val="000000"/>
          <w:szCs w:val="21"/>
        </w:rPr>
        <w:footnoteReference w:id="22"/>
      </w:r>
      <w:r>
        <w:rPr>
          <w:rFonts w:hint="eastAsia"/>
        </w:rPr>
        <w:t>及其所使用的教材，包括公共教育部提供的免费教材。</w:t>
      </w:r>
    </w:p>
    <w:p w:rsidR="00000000" w:rsidRDefault="00457650">
      <w:pPr>
        <w:widowControl/>
        <w:tabs>
          <w:tab w:val="left" w:pos="630"/>
        </w:tabs>
        <w:spacing w:after="240" w:line="360" w:lineRule="exact"/>
        <w:rPr>
          <w:rFonts w:hint="eastAsia"/>
        </w:rPr>
      </w:pPr>
      <w:r>
        <w:rPr>
          <w:rFonts w:hint="eastAsia"/>
        </w:rPr>
        <w:t>634.</w:t>
      </w:r>
      <w:r>
        <w:rPr>
          <w:rFonts w:hint="eastAsia"/>
        </w:rPr>
        <w:tab/>
        <w:t>2002</w:t>
      </w:r>
      <w:r>
        <w:rPr>
          <w:rFonts w:hint="eastAsia"/>
        </w:rPr>
        <w:t>年制定并实施了新的行</w:t>
      </w:r>
      <w:r>
        <w:rPr>
          <w:rFonts w:hint="eastAsia"/>
        </w:rPr>
        <w:t>动战略“社区场所”；它把学习机会和多媒体与信息技术服务结合起来。</w:t>
      </w:r>
    </w:p>
    <w:p w:rsidR="00000000" w:rsidRDefault="00457650">
      <w:pPr>
        <w:widowControl/>
        <w:tabs>
          <w:tab w:val="left" w:pos="630"/>
        </w:tabs>
        <w:spacing w:after="240" w:line="360" w:lineRule="exact"/>
        <w:rPr>
          <w:rFonts w:hint="eastAsia"/>
        </w:rPr>
      </w:pPr>
      <w:r>
        <w:rPr>
          <w:rFonts w:hint="eastAsia"/>
        </w:rPr>
        <w:t>635.</w:t>
      </w:r>
      <w:r>
        <w:rPr>
          <w:rFonts w:hint="eastAsia"/>
        </w:rPr>
        <w:tab/>
      </w:r>
      <w:r>
        <w:rPr>
          <w:rFonts w:hint="eastAsia"/>
        </w:rPr>
        <w:t>“社区场所”项目向整个社区提供教育机会，其重点是为未完成基础教育的青年和成年人提供教育项目。“社区场所”项目有如下几项目标：</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提供系列教育、培训和考试方案及服务，并且结合其他公共和社会方案，增强落后青年和成年人及其生活社区的能力。</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利用技术支持教育方案和服务，满足学习生活和工作的需要，鼓励对语言的实际运用。</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促进学习和实际运用对人们就业和培训更为有利的计算机技能。</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保证提供多层次教育和培训，利用多方面资源，单独和与其他资源结合发挥每</w:t>
      </w:r>
      <w:r>
        <w:rPr>
          <w:rFonts w:hint="eastAsia"/>
        </w:rPr>
        <w:t>种资源的最大潜能，并鼓励与其他重要的公共项目和行动相结合。</w:t>
      </w:r>
    </w:p>
    <w:p w:rsidR="00000000" w:rsidRDefault="00457650">
      <w:pPr>
        <w:keepNext/>
        <w:widowControl/>
        <w:tabs>
          <w:tab w:val="left" w:pos="630"/>
        </w:tabs>
        <w:spacing w:after="240" w:line="360" w:lineRule="exact"/>
        <w:rPr>
          <w:rFonts w:eastAsia="SimHei" w:hint="eastAsia"/>
        </w:rPr>
      </w:pPr>
      <w:r>
        <w:rPr>
          <w:rFonts w:eastAsia="SimHei" w:hint="eastAsia"/>
        </w:rPr>
        <w:tab/>
      </w:r>
      <w:r>
        <w:rPr>
          <w:rFonts w:eastAsia="SimHei" w:hint="eastAsia"/>
        </w:rPr>
        <w:t>特定人群的教育</w:t>
      </w:r>
    </w:p>
    <w:p w:rsidR="00000000" w:rsidRDefault="00457650">
      <w:pPr>
        <w:keepNext/>
        <w:widowControl/>
        <w:tabs>
          <w:tab w:val="left" w:pos="630"/>
        </w:tabs>
        <w:spacing w:after="240" w:line="360" w:lineRule="exact"/>
        <w:rPr>
          <w:rFonts w:hint="eastAsia"/>
        </w:rPr>
      </w:pPr>
      <w:r>
        <w:rPr>
          <w:rFonts w:hint="eastAsia"/>
        </w:rPr>
        <w:t>636.</w:t>
      </w:r>
      <w:r>
        <w:rPr>
          <w:rFonts w:hint="eastAsia"/>
        </w:rPr>
        <w:tab/>
      </w:r>
      <w:r>
        <w:rPr>
          <w:rFonts w:hint="eastAsia"/>
        </w:rPr>
        <w:t>这一计划包括为土著青年和成年人提供一体化教育，并根据双语战略和跨文化观点提供基本识字和技术培训，以适应文化和语言的多样性。可以采取不同的学习方法，有针对性地培养土著青年和成年人的交流技巧，以使他们具备在特定情况下运用书面语言的能力。这一切都是为了保证这一群体接受连续性的教育。</w:t>
      </w:r>
    </w:p>
    <w:p w:rsidR="00000000" w:rsidRDefault="00457650">
      <w:pPr>
        <w:widowControl/>
        <w:tabs>
          <w:tab w:val="left" w:pos="630"/>
        </w:tabs>
        <w:spacing w:after="240" w:line="360" w:lineRule="exact"/>
        <w:rPr>
          <w:rFonts w:hint="eastAsia"/>
        </w:rPr>
      </w:pPr>
      <w:r>
        <w:rPr>
          <w:rFonts w:hint="eastAsia"/>
        </w:rPr>
        <w:t>637.</w:t>
      </w:r>
      <w:r>
        <w:rPr>
          <w:rFonts w:hint="eastAsia"/>
        </w:rPr>
        <w:tab/>
        <w:t>2002</w:t>
      </w:r>
      <w:r>
        <w:rPr>
          <w:rFonts w:hint="eastAsia"/>
        </w:rPr>
        <w:t>年，墨西哥领土确定有</w:t>
      </w:r>
      <w:r>
        <w:rPr>
          <w:rFonts w:hint="eastAsia"/>
        </w:rPr>
        <w:t>1 300</w:t>
      </w:r>
      <w:r>
        <w:rPr>
          <w:rFonts w:hint="eastAsia"/>
        </w:rPr>
        <w:t>万人</w:t>
      </w:r>
      <w:r>
        <w:rPr>
          <w:rStyle w:val="FootnoteReference"/>
          <w:color w:val="000000"/>
          <w:szCs w:val="21"/>
        </w:rPr>
        <w:footnoteReference w:id="23"/>
      </w:r>
      <w:r>
        <w:rPr>
          <w:rFonts w:hint="eastAsia"/>
        </w:rPr>
        <w:t>属于</w:t>
      </w:r>
      <w:r>
        <w:rPr>
          <w:rFonts w:hint="eastAsia"/>
        </w:rPr>
        <w:t>62</w:t>
      </w:r>
      <w:r>
        <w:rPr>
          <w:rFonts w:hint="eastAsia"/>
        </w:rPr>
        <w:t>个种族。根据比语言标准更宽泛的文化归属标准，国家土著人研究所和国家人口委员会合作，确</w:t>
      </w:r>
      <w:r>
        <w:rPr>
          <w:rFonts w:hint="eastAsia"/>
        </w:rPr>
        <w:t>定墨西哥土著人口数量为</w:t>
      </w:r>
      <w:r>
        <w:rPr>
          <w:rFonts w:hint="eastAsia"/>
        </w:rPr>
        <w:t>12 707 000</w:t>
      </w:r>
      <w:r>
        <w:rPr>
          <w:rFonts w:hint="eastAsia"/>
        </w:rPr>
        <w:t>人；换句话说，占总人口的</w:t>
      </w:r>
      <w:r>
        <w:rPr>
          <w:rFonts w:hint="eastAsia"/>
        </w:rPr>
        <w:t>13%</w:t>
      </w:r>
      <w:r>
        <w:rPr>
          <w:rFonts w:hint="eastAsia"/>
        </w:rPr>
        <w:t>。这个数字包括了两个主要群体，它们的人口数是</w:t>
      </w:r>
      <w:r>
        <w:rPr>
          <w:rFonts w:hint="eastAsia"/>
        </w:rPr>
        <w:t>10 253 627</w:t>
      </w:r>
      <w:r>
        <w:rPr>
          <w:rFonts w:hint="eastAsia"/>
        </w:rPr>
        <w:t>人：</w:t>
      </w:r>
    </w:p>
    <w:p w:rsidR="00000000" w:rsidRDefault="00457650" w:rsidP="00457650">
      <w:pPr>
        <w:widowControl/>
        <w:tabs>
          <w:tab w:val="left" w:pos="630"/>
        </w:tabs>
        <w:spacing w:after="240" w:line="360" w:lineRule="exact"/>
        <w:ind w:leftChars="250" w:left="31680" w:hangingChars="250" w:firstLine="31680"/>
        <w:rPr>
          <w:rFonts w:hint="eastAsia"/>
        </w:rPr>
      </w:pPr>
      <w:r>
        <w:rPr>
          <w:rFonts w:hint="eastAsia"/>
        </w:rPr>
        <w:t>（</w:t>
      </w:r>
      <w:r>
        <w:rPr>
          <w:rFonts w:hint="eastAsia"/>
        </w:rPr>
        <w:t>a</w:t>
      </w:r>
      <w:r>
        <w:rPr>
          <w:rFonts w:hint="eastAsia"/>
        </w:rPr>
        <w:t>）</w:t>
      </w:r>
      <w:r>
        <w:rPr>
          <w:rFonts w:hint="eastAsia"/>
        </w:rPr>
        <w:t>5</w:t>
      </w:r>
      <w:r>
        <w:rPr>
          <w:rFonts w:hint="eastAsia"/>
        </w:rPr>
        <w:t>岁以上，讲一种土著语言的居民</w:t>
      </w:r>
      <w:r>
        <w:rPr>
          <w:rFonts w:hint="eastAsia"/>
        </w:rPr>
        <w:t>6 044 547</w:t>
      </w:r>
      <w:r>
        <w:rPr>
          <w:rFonts w:hint="eastAsia"/>
        </w:rPr>
        <w:t>人；</w:t>
      </w:r>
    </w:p>
    <w:p w:rsidR="00000000" w:rsidRDefault="00457650" w:rsidP="00457650">
      <w:pPr>
        <w:widowControl/>
        <w:tabs>
          <w:tab w:val="left" w:pos="630"/>
        </w:tabs>
        <w:spacing w:after="240" w:line="360" w:lineRule="exact"/>
        <w:ind w:leftChars="250" w:left="31680" w:hangingChars="250" w:firstLine="31680"/>
        <w:rPr>
          <w:rFonts w:hint="eastAsia"/>
        </w:rPr>
      </w:pPr>
      <w:r>
        <w:rPr>
          <w:rFonts w:hint="eastAsia"/>
        </w:rPr>
        <w:t>（</w:t>
      </w:r>
      <w:r>
        <w:rPr>
          <w:rFonts w:hint="eastAsia"/>
        </w:rPr>
        <w:t>b</w:t>
      </w:r>
      <w:r>
        <w:rPr>
          <w:rFonts w:hint="eastAsia"/>
        </w:rPr>
        <w:t>）另有</w:t>
      </w:r>
      <w:r>
        <w:rPr>
          <w:rFonts w:hint="eastAsia"/>
        </w:rPr>
        <w:t>4 209 080</w:t>
      </w:r>
      <w:r>
        <w:rPr>
          <w:rFonts w:hint="eastAsia"/>
        </w:rPr>
        <w:t>人尽管不讲土著语言，但仍被视为土著人。</w:t>
      </w:r>
      <w:r>
        <w:rPr>
          <w:rStyle w:val="FootnoteReference"/>
          <w:color w:val="000000"/>
          <w:szCs w:val="21"/>
        </w:rPr>
        <w:footnoteReference w:id="24"/>
      </w:r>
    </w:p>
    <w:p w:rsidR="00000000" w:rsidRDefault="00457650">
      <w:pPr>
        <w:widowControl/>
        <w:tabs>
          <w:tab w:val="left" w:pos="630"/>
        </w:tabs>
        <w:spacing w:after="240" w:line="360" w:lineRule="exact"/>
        <w:rPr>
          <w:rFonts w:hint="eastAsia"/>
        </w:rPr>
      </w:pPr>
      <w:r>
        <w:rPr>
          <w:rFonts w:hint="eastAsia"/>
        </w:rPr>
        <w:t>638.</w:t>
      </w:r>
      <w:r>
        <w:rPr>
          <w:rFonts w:hint="eastAsia"/>
        </w:rPr>
        <w:tab/>
      </w:r>
      <w:r>
        <w:rPr>
          <w:rFonts w:hint="eastAsia"/>
        </w:rPr>
        <w:t>全国土著人口生活在极度边缘化的状况中；也就是说，他们被排斥在公民生活繁衍的平均条件之外。这包括排水，饮用水，电力，道路和高质量的医疗服务。</w:t>
      </w:r>
    </w:p>
    <w:p w:rsidR="00000000" w:rsidRDefault="00457650">
      <w:pPr>
        <w:widowControl/>
        <w:tabs>
          <w:tab w:val="left" w:pos="630"/>
        </w:tabs>
        <w:spacing w:after="240" w:line="360" w:lineRule="exact"/>
        <w:rPr>
          <w:rFonts w:hint="eastAsia"/>
        </w:rPr>
      </w:pPr>
      <w:r>
        <w:rPr>
          <w:rFonts w:hint="eastAsia"/>
        </w:rPr>
        <w:t>639.</w:t>
      </w:r>
      <w:r>
        <w:rPr>
          <w:rFonts w:hint="eastAsia"/>
        </w:rPr>
        <w:tab/>
      </w:r>
      <w:r>
        <w:rPr>
          <w:rFonts w:hint="eastAsia"/>
        </w:rPr>
        <w:t>国家成人教育学院正在为土著群体实施专门的识字项目，其目的是让土著青年和成年人掌握</w:t>
      </w:r>
      <w:r>
        <w:rPr>
          <w:rFonts w:hint="eastAsia"/>
        </w:rPr>
        <w:t>算术、阅读和用其母语和西班牙语写作的基本技能，这将使他们能应对不同的情况；并将反映在生活水平的提高上。该项目在</w:t>
      </w:r>
      <w:r>
        <w:rPr>
          <w:rFonts w:hint="eastAsia"/>
        </w:rPr>
        <w:t>14</w:t>
      </w:r>
      <w:r>
        <w:rPr>
          <w:rFonts w:hint="eastAsia"/>
        </w:rPr>
        <w:t>个州开展，重点是农村的土著青年和成年人；它包括专门的语言和方言材料，供母语识字和把西班牙语作为第二语言的学习使用（有</w:t>
      </w:r>
      <w:r>
        <w:rPr>
          <w:rFonts w:hint="eastAsia"/>
        </w:rPr>
        <w:t>53</w:t>
      </w:r>
      <w:r>
        <w:rPr>
          <w:rFonts w:hint="eastAsia"/>
        </w:rPr>
        <w:t>种语言和方言材料）。在</w:t>
      </w:r>
      <w:r>
        <w:rPr>
          <w:rFonts w:hint="eastAsia"/>
        </w:rPr>
        <w:t>2003</w:t>
      </w:r>
      <w:r>
        <w:rPr>
          <w:rFonts w:hint="eastAsia"/>
        </w:rPr>
        <w:t>年</w:t>
      </w:r>
      <w:r>
        <w:rPr>
          <w:rFonts w:hint="eastAsia"/>
        </w:rPr>
        <w:t>5</w:t>
      </w:r>
      <w:r>
        <w:rPr>
          <w:rFonts w:hint="eastAsia"/>
        </w:rPr>
        <w:t>月，</w:t>
      </w:r>
      <w:r>
        <w:rPr>
          <w:rFonts w:hint="eastAsia"/>
        </w:rPr>
        <w:t>23 094</w:t>
      </w:r>
      <w:r>
        <w:rPr>
          <w:rFonts w:hint="eastAsia"/>
        </w:rPr>
        <w:t>人参加了母语识字班项目，</w:t>
      </w:r>
      <w:r>
        <w:rPr>
          <w:rFonts w:hint="eastAsia"/>
        </w:rPr>
        <w:t>12 793</w:t>
      </w:r>
      <w:r>
        <w:rPr>
          <w:rFonts w:hint="eastAsia"/>
        </w:rPr>
        <w:t>人参加了把西班牙语作为第二语言的课程。</w:t>
      </w:r>
    </w:p>
    <w:p w:rsidR="00000000" w:rsidRDefault="00457650">
      <w:pPr>
        <w:widowControl/>
        <w:tabs>
          <w:tab w:val="left" w:pos="630"/>
        </w:tabs>
        <w:spacing w:after="240" w:line="360" w:lineRule="exact"/>
        <w:rPr>
          <w:rFonts w:hint="eastAsia"/>
        </w:rPr>
      </w:pPr>
      <w:r>
        <w:rPr>
          <w:rFonts w:hint="eastAsia"/>
        </w:rPr>
        <w:t>640.</w:t>
      </w:r>
      <w:r>
        <w:rPr>
          <w:rFonts w:hint="eastAsia"/>
        </w:rPr>
        <w:tab/>
      </w:r>
      <w:r>
        <w:rPr>
          <w:rFonts w:hint="eastAsia"/>
        </w:rPr>
        <w:t>此外，还为这部分人口实施了一个试验项目“通向未来的桥梁”，其中包括基础扫盲和技术扫盲部分，重点是跨文化和语言强化，同其他生活和工作教育项目相结</w:t>
      </w:r>
      <w:r>
        <w:rPr>
          <w:rFonts w:hint="eastAsia"/>
        </w:rPr>
        <w:t>合。该项目的学习资料由地方编写——中央办事处提供支持——以便融入各种族群体的文化。</w:t>
      </w:r>
    </w:p>
    <w:p w:rsidR="00000000" w:rsidRDefault="00457650">
      <w:pPr>
        <w:keepNext/>
        <w:widowControl/>
        <w:tabs>
          <w:tab w:val="left" w:pos="630"/>
        </w:tabs>
        <w:spacing w:after="240" w:line="360" w:lineRule="exact"/>
        <w:rPr>
          <w:rFonts w:eastAsia="SimHei" w:hint="eastAsia"/>
        </w:rPr>
      </w:pPr>
      <w:r>
        <w:rPr>
          <w:rFonts w:eastAsia="SimHei" w:hint="eastAsia"/>
        </w:rPr>
        <w:tab/>
      </w:r>
      <w:r>
        <w:rPr>
          <w:rFonts w:eastAsia="SimHei" w:hint="eastAsia"/>
        </w:rPr>
        <w:t>流动农业零散工方案</w:t>
      </w:r>
    </w:p>
    <w:p w:rsidR="00000000" w:rsidRDefault="00457650">
      <w:pPr>
        <w:keepNext/>
        <w:widowControl/>
        <w:tabs>
          <w:tab w:val="left" w:pos="630"/>
        </w:tabs>
        <w:spacing w:after="240" w:line="360" w:lineRule="exact"/>
        <w:rPr>
          <w:rFonts w:hint="eastAsia"/>
        </w:rPr>
      </w:pPr>
      <w:r>
        <w:rPr>
          <w:rFonts w:hint="eastAsia"/>
        </w:rPr>
        <w:t>641.</w:t>
      </w:r>
      <w:r>
        <w:rPr>
          <w:rFonts w:hint="eastAsia"/>
        </w:rPr>
        <w:tab/>
      </w:r>
      <w:r>
        <w:rPr>
          <w:rFonts w:hint="eastAsia"/>
        </w:rPr>
        <w:t>这个方案符合为寻找工作而流动性特别强的群体的特殊需要，流动使他们远离了正规教育系统。因此，这一群体要求制定便于他们接受教育的战略，使他们能够接受教育，并具备基本的交流技巧，推理能力及解决问题和参与的能力，这有助于他们行使自己的权利，提高他们的工作和生活水平。</w:t>
      </w:r>
      <w:r>
        <w:rPr>
          <w:rFonts w:hint="eastAsia"/>
        </w:rPr>
        <w:t>2003</w:t>
      </w:r>
      <w:r>
        <w:rPr>
          <w:rFonts w:hint="eastAsia"/>
        </w:rPr>
        <w:t>年该方案开始在</w:t>
      </w:r>
      <w:r>
        <w:rPr>
          <w:rFonts w:hint="eastAsia"/>
        </w:rPr>
        <w:t>16</w:t>
      </w:r>
      <w:r>
        <w:rPr>
          <w:rFonts w:hint="eastAsia"/>
        </w:rPr>
        <w:t>个州的营地、旅社、非正式定居点以及居民向其他地区迁移的乡村社区实施。当年，每个月平均有</w:t>
      </w:r>
      <w:r>
        <w:rPr>
          <w:rFonts w:hint="eastAsia"/>
        </w:rPr>
        <w:t>4 000</w:t>
      </w:r>
      <w:r>
        <w:rPr>
          <w:rFonts w:hint="eastAsia"/>
        </w:rPr>
        <w:t>人受益，其中</w:t>
      </w:r>
      <w:r>
        <w:rPr>
          <w:rFonts w:hint="eastAsia"/>
        </w:rPr>
        <w:t>56</w:t>
      </w:r>
      <w:r>
        <w:rPr>
          <w:rFonts w:hint="eastAsia"/>
        </w:rPr>
        <w:t>2</w:t>
      </w:r>
      <w:r>
        <w:rPr>
          <w:rFonts w:hint="eastAsia"/>
        </w:rPr>
        <w:t>人参加了识字方案。该方案的一部分是在</w:t>
      </w:r>
      <w:r>
        <w:rPr>
          <w:rFonts w:hint="eastAsia"/>
        </w:rPr>
        <w:t>6</w:t>
      </w:r>
      <w:r>
        <w:rPr>
          <w:rFonts w:hint="eastAsia"/>
        </w:rPr>
        <w:t>个州制定跨部门的试验计划，有卫生、教育和社会部门的</w:t>
      </w:r>
      <w:r>
        <w:rPr>
          <w:rFonts w:hint="eastAsia"/>
        </w:rPr>
        <w:t>16</w:t>
      </w:r>
      <w:r>
        <w:rPr>
          <w:rFonts w:hint="eastAsia"/>
        </w:rPr>
        <w:t>个单位参加。它包括针对土著流动人口将西班牙语作为第二语言使用的新的教育战略。</w:t>
      </w:r>
      <w:r>
        <w:rPr>
          <w:rFonts w:hint="eastAsia"/>
        </w:rPr>
        <w:t>2003</w:t>
      </w:r>
      <w:r>
        <w:rPr>
          <w:rFonts w:hint="eastAsia"/>
        </w:rPr>
        <w:t>年每个月试验计划覆盖的居民也是</w:t>
      </w:r>
      <w:r>
        <w:rPr>
          <w:rFonts w:hint="eastAsia"/>
        </w:rPr>
        <w:t>4 000</w:t>
      </w:r>
      <w:r>
        <w:rPr>
          <w:rFonts w:hint="eastAsia"/>
        </w:rPr>
        <w:t>人。该方案的一个基本特征是其灵活性，它根据流动者逗留的时间长度发挥作用。</w:t>
      </w:r>
    </w:p>
    <w:p w:rsidR="00000000" w:rsidRDefault="00457650">
      <w:pPr>
        <w:widowControl/>
        <w:tabs>
          <w:tab w:val="left" w:pos="630"/>
        </w:tabs>
        <w:spacing w:after="240" w:line="360" w:lineRule="exact"/>
        <w:rPr>
          <w:rFonts w:hint="eastAsia"/>
        </w:rPr>
      </w:pPr>
      <w:r>
        <w:rPr>
          <w:rFonts w:hint="eastAsia"/>
        </w:rPr>
        <w:t>642.</w:t>
      </w:r>
      <w:r>
        <w:rPr>
          <w:rFonts w:hint="eastAsia"/>
        </w:rPr>
        <w:tab/>
        <w:t>2002</w:t>
      </w:r>
      <w:r>
        <w:rPr>
          <w:rFonts w:hint="eastAsia"/>
        </w:rPr>
        <w:t>年，在“墨西哥</w:t>
      </w:r>
      <w:r>
        <w:t>-</w:t>
      </w:r>
      <w:r>
        <w:rPr>
          <w:rFonts w:hint="eastAsia"/>
        </w:rPr>
        <w:t>西班牙联合合作基金”资助下的一个部门间计划框架内，“促进提高流动工人的不同文化教育”计划在</w:t>
      </w:r>
      <w:r>
        <w:t>纳亚里特</w:t>
      </w:r>
      <w:r>
        <w:rPr>
          <w:rFonts w:hint="eastAsia"/>
        </w:rPr>
        <w:t>和</w:t>
      </w:r>
      <w:r>
        <w:t>瓦哈卡</w:t>
      </w:r>
      <w:r>
        <w:rPr>
          <w:rFonts w:hint="eastAsia"/>
        </w:rPr>
        <w:t>制定，其中包括五项行动方针，并同其他机构共同开展的活动相结合：确定目标人群的教育</w:t>
      </w:r>
      <w:r>
        <w:rPr>
          <w:rFonts w:hint="eastAsia"/>
        </w:rPr>
        <w:t>需要及其接受教育的能力和质量，并制定一项跨文化的交叉方针，提出将西班牙语作为第二语言学习的方法，培训教育代理人。</w:t>
      </w:r>
    </w:p>
    <w:p w:rsidR="00000000" w:rsidRDefault="00457650">
      <w:pPr>
        <w:widowControl/>
        <w:tabs>
          <w:tab w:val="left" w:pos="630"/>
        </w:tabs>
        <w:spacing w:after="240" w:line="360" w:lineRule="exact"/>
        <w:rPr>
          <w:rFonts w:eastAsia="SimHei" w:hint="eastAsia"/>
        </w:rPr>
      </w:pPr>
      <w:r>
        <w:rPr>
          <w:rFonts w:eastAsia="SimHei" w:hint="eastAsia"/>
        </w:rPr>
        <w:tab/>
      </w:r>
      <w:r>
        <w:rPr>
          <w:rFonts w:eastAsia="SimHei" w:hint="eastAsia"/>
        </w:rPr>
        <w:t>关注墨西哥海外社团</w:t>
      </w:r>
    </w:p>
    <w:p w:rsidR="00000000" w:rsidRDefault="00457650">
      <w:pPr>
        <w:widowControl/>
        <w:tabs>
          <w:tab w:val="left" w:pos="630"/>
        </w:tabs>
        <w:spacing w:after="240" w:line="360" w:lineRule="exact"/>
        <w:rPr>
          <w:rFonts w:hint="eastAsia"/>
        </w:rPr>
      </w:pPr>
      <w:r>
        <w:rPr>
          <w:rFonts w:hint="eastAsia"/>
        </w:rPr>
        <w:t>643.</w:t>
      </w:r>
      <w:r>
        <w:rPr>
          <w:rFonts w:hint="eastAsia"/>
        </w:rPr>
        <w:tab/>
      </w:r>
      <w:r>
        <w:rPr>
          <w:rFonts w:hint="eastAsia"/>
        </w:rPr>
        <w:t>国家成人教育学院与其他部门合作，通过传统的开放学习系统提供识字培训服务及初等和中等教育，在美国部分地区还开展了“社区场所”项目。该项目的目的是帮助生活在海外的墨西哥人适应环境，通过学习西班牙语掌握英语。</w:t>
      </w:r>
    </w:p>
    <w:p w:rsidR="00000000" w:rsidRDefault="00457650">
      <w:pPr>
        <w:widowControl/>
        <w:tabs>
          <w:tab w:val="left" w:pos="630"/>
        </w:tabs>
        <w:spacing w:after="240" w:line="360" w:lineRule="exact"/>
        <w:rPr>
          <w:rFonts w:eastAsia="SimHei" w:hint="eastAsia"/>
        </w:rPr>
      </w:pPr>
      <w:r>
        <w:rPr>
          <w:rFonts w:eastAsia="SimHei" w:hint="eastAsia"/>
        </w:rPr>
        <w:tab/>
      </w:r>
      <w:r>
        <w:rPr>
          <w:rFonts w:eastAsia="SimHei" w:hint="eastAsia"/>
        </w:rPr>
        <w:t>性别</w:t>
      </w:r>
    </w:p>
    <w:p w:rsidR="00000000" w:rsidRDefault="00457650">
      <w:pPr>
        <w:widowControl/>
        <w:tabs>
          <w:tab w:val="left" w:pos="630"/>
        </w:tabs>
        <w:spacing w:after="240" w:line="360" w:lineRule="exact"/>
        <w:rPr>
          <w:rFonts w:hint="eastAsia"/>
        </w:rPr>
      </w:pPr>
      <w:r>
        <w:rPr>
          <w:rFonts w:hint="eastAsia"/>
        </w:rPr>
        <w:t>644.</w:t>
      </w:r>
      <w:r>
        <w:rPr>
          <w:rFonts w:hint="eastAsia"/>
        </w:rPr>
        <w:tab/>
      </w:r>
      <w:r>
        <w:rPr>
          <w:rFonts w:hint="eastAsia"/>
        </w:rPr>
        <w:t>国家成人教育学院开展了一些活动，承认存在性别问题，同时在工作和生活教育模式中列入了教育内容和材料。</w:t>
      </w:r>
    </w:p>
    <w:p w:rsidR="00000000" w:rsidRDefault="00457650">
      <w:pPr>
        <w:widowControl/>
        <w:tabs>
          <w:tab w:val="left" w:pos="630"/>
        </w:tabs>
        <w:spacing w:after="240" w:line="360" w:lineRule="exact"/>
        <w:rPr>
          <w:rFonts w:hint="eastAsia"/>
        </w:rPr>
      </w:pPr>
      <w:r>
        <w:rPr>
          <w:rFonts w:hint="eastAsia"/>
        </w:rPr>
        <w:t>645.</w:t>
      </w:r>
      <w:r>
        <w:rPr>
          <w:rFonts w:hint="eastAsia"/>
        </w:rPr>
        <w:tab/>
      </w:r>
      <w:r>
        <w:rPr>
          <w:rFonts w:hint="eastAsia"/>
        </w:rPr>
        <w:t>自</w:t>
      </w:r>
      <w:r>
        <w:rPr>
          <w:rFonts w:hint="eastAsia"/>
        </w:rPr>
        <w:t>2002</w:t>
      </w:r>
      <w:r>
        <w:rPr>
          <w:rFonts w:hint="eastAsia"/>
        </w:rPr>
        <w:t>年以来，国家成人教育学院</w:t>
      </w:r>
      <w:r>
        <w:rPr>
          <w:rFonts w:hint="eastAsia"/>
        </w:rPr>
        <w:t>一直对其教育模式和材料进行审查，以便进行更新，加入原先缺少的性别观点，消除性别方面的陈规定型观念，促进对传统的男女角色重新进行评估。</w:t>
      </w:r>
    </w:p>
    <w:p w:rsidR="00000000" w:rsidRDefault="00457650">
      <w:pPr>
        <w:widowControl/>
        <w:tabs>
          <w:tab w:val="left" w:pos="630"/>
        </w:tabs>
        <w:spacing w:after="240" w:line="360" w:lineRule="exact"/>
        <w:rPr>
          <w:rFonts w:eastAsia="SimHei" w:hint="eastAsia"/>
        </w:rPr>
      </w:pPr>
      <w:r>
        <w:rPr>
          <w:rFonts w:eastAsia="SimHei" w:hint="eastAsia"/>
        </w:rPr>
        <w:tab/>
      </w:r>
      <w:r>
        <w:rPr>
          <w:rFonts w:eastAsia="SimHei" w:hint="eastAsia"/>
        </w:rPr>
        <w:t>国防部</w:t>
      </w:r>
      <w:r>
        <w:rPr>
          <w:rFonts w:eastAsia="SimHei" w:hint="eastAsia"/>
        </w:rPr>
        <w:t>-</w:t>
      </w:r>
      <w:r>
        <w:rPr>
          <w:rFonts w:eastAsia="SimHei" w:hint="eastAsia"/>
        </w:rPr>
        <w:t>公共教育部</w:t>
      </w:r>
      <w:r>
        <w:rPr>
          <w:rFonts w:eastAsia="SimHei" w:hint="eastAsia"/>
        </w:rPr>
        <w:t>-</w:t>
      </w:r>
      <w:r>
        <w:rPr>
          <w:rFonts w:eastAsia="SimHei" w:hint="eastAsia"/>
        </w:rPr>
        <w:t>成人教育学院关心国家在役年轻军人项目</w:t>
      </w:r>
    </w:p>
    <w:p w:rsidR="00000000" w:rsidRDefault="00457650">
      <w:pPr>
        <w:widowControl/>
        <w:tabs>
          <w:tab w:val="left" w:pos="630"/>
        </w:tabs>
        <w:spacing w:after="240" w:line="360" w:lineRule="exact"/>
        <w:rPr>
          <w:rFonts w:hint="eastAsia"/>
        </w:rPr>
      </w:pPr>
      <w:r>
        <w:rPr>
          <w:rFonts w:hint="eastAsia"/>
        </w:rPr>
        <w:t>646.</w:t>
      </w:r>
      <w:r>
        <w:rPr>
          <w:rFonts w:hint="eastAsia"/>
        </w:rPr>
        <w:tab/>
      </w:r>
      <w:r>
        <w:rPr>
          <w:rFonts w:hint="eastAsia"/>
        </w:rPr>
        <w:t>自</w:t>
      </w:r>
      <w:r>
        <w:rPr>
          <w:rFonts w:hint="eastAsia"/>
        </w:rPr>
        <w:t>1997</w:t>
      </w:r>
      <w:r>
        <w:rPr>
          <w:rFonts w:hint="eastAsia"/>
        </w:rPr>
        <w:t>年以来，国家成人教育学院一直与国防部和公共教育部协作，共同实施一项针对国家在役年轻军人的项目。国防部</w:t>
      </w:r>
      <w:r>
        <w:rPr>
          <w:rFonts w:hint="eastAsia"/>
        </w:rPr>
        <w:t>-</w:t>
      </w:r>
      <w:r>
        <w:rPr>
          <w:rFonts w:hint="eastAsia"/>
        </w:rPr>
        <w:t>公共教育部</w:t>
      </w:r>
      <w:r>
        <w:rPr>
          <w:rFonts w:hint="eastAsia"/>
        </w:rPr>
        <w:t>-</w:t>
      </w:r>
      <w:r>
        <w:rPr>
          <w:rFonts w:hint="eastAsia"/>
        </w:rPr>
        <w:t>成人教育学院项目为这些年轻军人提供基础教育，并实施一项名为“生活教育”的计划，旨在扩大正规教育的范围，以便这些年轻军人能够——公开且不需任何学术条件地——适应其目前面临的各方面情况，分</w:t>
      </w:r>
      <w:r>
        <w:rPr>
          <w:rFonts w:hint="eastAsia"/>
        </w:rPr>
        <w:t>享他们的经验，并就其个人生活做出合理的决定，避免个人或集体行为将其置于险境。</w:t>
      </w:r>
    </w:p>
    <w:p w:rsidR="00000000" w:rsidRDefault="00457650">
      <w:pPr>
        <w:widowControl/>
        <w:tabs>
          <w:tab w:val="left" w:pos="630"/>
        </w:tabs>
        <w:spacing w:after="240" w:line="360" w:lineRule="exact"/>
        <w:rPr>
          <w:rFonts w:hint="eastAsia"/>
        </w:rPr>
      </w:pPr>
      <w:r>
        <w:rPr>
          <w:rFonts w:hint="eastAsia"/>
        </w:rPr>
        <w:t>647.</w:t>
      </w:r>
      <w:r>
        <w:rPr>
          <w:rFonts w:hint="eastAsia"/>
        </w:rPr>
        <w:tab/>
      </w:r>
      <w:r>
        <w:rPr>
          <w:rFonts w:hint="eastAsia"/>
        </w:rPr>
        <w:t>该方案旨在帮助没有接受或完成基础教育的士兵接受教育，那些完成这些教育的士兵作为顾问。</w:t>
      </w:r>
    </w:p>
    <w:p w:rsidR="00000000" w:rsidRDefault="00457650">
      <w:pPr>
        <w:widowControl/>
        <w:tabs>
          <w:tab w:val="left" w:pos="630"/>
        </w:tabs>
        <w:spacing w:after="240" w:line="360" w:lineRule="exact"/>
        <w:rPr>
          <w:rFonts w:hint="eastAsia"/>
        </w:rPr>
      </w:pPr>
      <w:r>
        <w:rPr>
          <w:rFonts w:hint="eastAsia"/>
        </w:rPr>
        <w:t>648.</w:t>
      </w:r>
      <w:r>
        <w:rPr>
          <w:rFonts w:hint="eastAsia"/>
        </w:rPr>
        <w:tab/>
      </w:r>
      <w:r>
        <w:rPr>
          <w:rFonts w:hint="eastAsia"/>
        </w:rPr>
        <w:t>该方案给得到顾问士兵帮助的所有人群带来了好处。</w:t>
      </w:r>
    </w:p>
    <w:p w:rsidR="00000000" w:rsidRDefault="00457650">
      <w:pPr>
        <w:widowControl/>
        <w:tabs>
          <w:tab w:val="left" w:pos="630"/>
        </w:tabs>
        <w:spacing w:after="240" w:line="360" w:lineRule="exact"/>
        <w:rPr>
          <w:rFonts w:hint="eastAsia"/>
        </w:rPr>
      </w:pPr>
      <w:r>
        <w:rPr>
          <w:rFonts w:hint="eastAsia"/>
        </w:rPr>
        <w:t>649.</w:t>
      </w:r>
      <w:r>
        <w:rPr>
          <w:rFonts w:hint="eastAsia"/>
        </w:rPr>
        <w:tab/>
      </w:r>
      <w:r>
        <w:rPr>
          <w:rFonts w:hint="eastAsia"/>
        </w:rPr>
        <w:t>该方案的成果之一是</w:t>
      </w:r>
      <w:r>
        <w:rPr>
          <w:rFonts w:hint="eastAsia"/>
        </w:rPr>
        <w:t>2003</w:t>
      </w:r>
      <w:r>
        <w:rPr>
          <w:rFonts w:hint="eastAsia"/>
        </w:rPr>
        <w:t>年有</w:t>
      </w:r>
      <w:r>
        <w:rPr>
          <w:rFonts w:hint="eastAsia"/>
        </w:rPr>
        <w:t>587</w:t>
      </w:r>
      <w:r>
        <w:rPr>
          <w:rFonts w:hint="eastAsia"/>
        </w:rPr>
        <w:t>名士兵学会了识字，同时通过一个识字计划扩大了人口的教育面，其中有</w:t>
      </w:r>
      <w:r>
        <w:rPr>
          <w:rFonts w:hint="eastAsia"/>
        </w:rPr>
        <w:t>9 154</w:t>
      </w:r>
      <w:r>
        <w:rPr>
          <w:rFonts w:hint="eastAsia"/>
        </w:rPr>
        <w:t>名年轻人和老年人。</w:t>
      </w:r>
    </w:p>
    <w:p w:rsidR="00000000" w:rsidRDefault="00457650">
      <w:pPr>
        <w:keepNext/>
        <w:widowControl/>
        <w:tabs>
          <w:tab w:val="left" w:pos="630"/>
        </w:tabs>
        <w:spacing w:after="240" w:line="360" w:lineRule="exact"/>
        <w:rPr>
          <w:rFonts w:eastAsia="SimHei" w:hint="eastAsia"/>
        </w:rPr>
      </w:pPr>
      <w:r>
        <w:rPr>
          <w:rFonts w:eastAsia="SimHei" w:hint="eastAsia"/>
        </w:rPr>
        <w:tab/>
      </w:r>
      <w:r>
        <w:rPr>
          <w:rFonts w:eastAsia="SimHei" w:hint="eastAsia"/>
        </w:rPr>
        <w:t>老年人</w:t>
      </w:r>
    </w:p>
    <w:p w:rsidR="00000000" w:rsidRDefault="00457650">
      <w:pPr>
        <w:keepNext/>
        <w:widowControl/>
        <w:tabs>
          <w:tab w:val="left" w:pos="630"/>
        </w:tabs>
        <w:spacing w:after="240" w:line="360" w:lineRule="exact"/>
        <w:rPr>
          <w:rFonts w:hint="eastAsia"/>
        </w:rPr>
      </w:pPr>
      <w:r>
        <w:rPr>
          <w:rFonts w:hint="eastAsia"/>
        </w:rPr>
        <w:t>650.</w:t>
      </w:r>
      <w:r>
        <w:rPr>
          <w:rFonts w:hint="eastAsia"/>
        </w:rPr>
        <w:tab/>
      </w:r>
      <w:r>
        <w:rPr>
          <w:rFonts w:hint="eastAsia"/>
        </w:rPr>
        <w:t>通过该方案，政府致力于确定推动教育活动的行动和战略目标及方针，以扶植和发展不同背景、性别和群体中的老年人文化。</w:t>
      </w:r>
    </w:p>
    <w:p w:rsidR="00000000" w:rsidRDefault="00457650">
      <w:pPr>
        <w:widowControl/>
        <w:tabs>
          <w:tab w:val="left" w:pos="630"/>
        </w:tabs>
        <w:spacing w:after="240" w:line="360" w:lineRule="exact"/>
        <w:rPr>
          <w:rFonts w:hint="eastAsia"/>
        </w:rPr>
      </w:pPr>
      <w:r>
        <w:rPr>
          <w:rFonts w:hint="eastAsia"/>
        </w:rPr>
        <w:t>651.</w:t>
      </w:r>
      <w:r>
        <w:rPr>
          <w:rFonts w:hint="eastAsia"/>
        </w:rPr>
        <w:tab/>
      </w:r>
      <w:r>
        <w:rPr>
          <w:rFonts w:hint="eastAsia"/>
        </w:rPr>
        <w:t>通过“自动跟踪和鉴定系统”，墨西哥政府建立了各种数据库，及时可靠地提供全国各地这类服务；除了从系统内获取年轻人和成年人的相关指标外，还包括那些被服务者、退出者、授予的证书、认可的经验和先前的知识、规定的模式、认可的模式、年轻人和成年人简况、顾问简况、核证比率、成年人的表现、顾问的表现，以及旨在跟踪和定量评估的其他指标。</w:t>
      </w:r>
    </w:p>
    <w:p w:rsidR="00000000" w:rsidRDefault="00457650">
      <w:pPr>
        <w:widowControl/>
        <w:tabs>
          <w:tab w:val="left" w:pos="630"/>
        </w:tabs>
        <w:spacing w:after="240" w:line="360" w:lineRule="exact"/>
        <w:rPr>
          <w:rFonts w:eastAsia="SimHei" w:hint="eastAsia"/>
        </w:rPr>
      </w:pPr>
      <w:r>
        <w:rPr>
          <w:rFonts w:eastAsia="SimHei" w:hint="eastAsia"/>
        </w:rPr>
        <w:tab/>
      </w:r>
      <w:r>
        <w:rPr>
          <w:rFonts w:eastAsia="SimHei" w:hint="eastAsia"/>
        </w:rPr>
        <w:t>传播和交流</w:t>
      </w:r>
    </w:p>
    <w:p w:rsidR="00000000" w:rsidRDefault="00457650">
      <w:pPr>
        <w:widowControl/>
        <w:tabs>
          <w:tab w:val="left" w:pos="630"/>
        </w:tabs>
        <w:spacing w:after="240" w:line="360" w:lineRule="exact"/>
        <w:rPr>
          <w:rFonts w:hint="eastAsia"/>
        </w:rPr>
      </w:pPr>
      <w:r>
        <w:rPr>
          <w:rFonts w:hint="eastAsia"/>
        </w:rPr>
        <w:t>652.</w:t>
      </w:r>
      <w:r>
        <w:rPr>
          <w:rFonts w:hint="eastAsia"/>
        </w:rPr>
        <w:tab/>
      </w:r>
      <w:r>
        <w:rPr>
          <w:rFonts w:hint="eastAsia"/>
        </w:rPr>
        <w:t>应当提及</w:t>
      </w:r>
      <w:r>
        <w:rPr>
          <w:rFonts w:hint="eastAsia"/>
        </w:rPr>
        <w:t>2002</w:t>
      </w:r>
      <w:r>
        <w:rPr>
          <w:rFonts w:hint="eastAsia"/>
        </w:rPr>
        <w:t>年针对拉丁美洲和加勒比地区教育者、研究者和相关公众制定的“民间社会参与扫盲过程”项目。该项目推动一个论坛来反思识字更广泛的含义，其中包括关于书面文化</w:t>
      </w:r>
      <w:r>
        <w:rPr>
          <w:rFonts w:hint="eastAsia"/>
        </w:rPr>
        <w:t>的新观念分析，近期数学学习领域的贡献，建立一项在将信息和通信技术作为一种教学工具的基础上制定持久发展计划的可能性，支持学习书面语言，承认把民主和人权教育与识字项目相结合的理论。</w:t>
      </w:r>
    </w:p>
    <w:p w:rsidR="00000000" w:rsidRDefault="00457650">
      <w:pPr>
        <w:widowControl/>
        <w:tabs>
          <w:tab w:val="left" w:pos="630"/>
        </w:tabs>
        <w:spacing w:after="240" w:line="360" w:lineRule="exact"/>
        <w:rPr>
          <w:rFonts w:eastAsia="SimHei" w:hint="eastAsia"/>
        </w:rPr>
      </w:pPr>
      <w:r>
        <w:rPr>
          <w:rFonts w:eastAsia="SimHei" w:hint="eastAsia"/>
        </w:rPr>
        <w:tab/>
      </w:r>
      <w:r>
        <w:rPr>
          <w:rFonts w:eastAsia="SimHei" w:hint="eastAsia"/>
        </w:rPr>
        <w:t>促进教育研究、评估和创新</w:t>
      </w:r>
    </w:p>
    <w:p w:rsidR="00000000" w:rsidRDefault="00457650">
      <w:pPr>
        <w:widowControl/>
        <w:tabs>
          <w:tab w:val="left" w:pos="630"/>
        </w:tabs>
        <w:spacing w:after="240" w:line="360" w:lineRule="exact"/>
        <w:rPr>
          <w:rFonts w:hint="eastAsia"/>
        </w:rPr>
      </w:pPr>
      <w:r>
        <w:rPr>
          <w:rFonts w:hint="eastAsia"/>
        </w:rPr>
        <w:t>653.</w:t>
      </w:r>
      <w:r>
        <w:rPr>
          <w:rFonts w:hint="eastAsia"/>
        </w:rPr>
        <w:tab/>
      </w:r>
      <w:r>
        <w:rPr>
          <w:rFonts w:hint="eastAsia"/>
        </w:rPr>
        <w:t>所有的目标，活动，战略和新计划都是为了实现教育机会平等，及其相关性和质量，同时始终牢记目标人口及其各种需要。为此，通过与研究中心和该领域的知名学者结成战略伙伴对新技术的研究加以支持。</w:t>
      </w:r>
    </w:p>
    <w:p w:rsidR="00000000" w:rsidRDefault="00457650">
      <w:pPr>
        <w:widowControl/>
        <w:tabs>
          <w:tab w:val="left" w:pos="630"/>
        </w:tabs>
        <w:spacing w:after="240" w:line="360" w:lineRule="exact"/>
        <w:rPr>
          <w:rFonts w:hint="eastAsia"/>
        </w:rPr>
      </w:pPr>
      <w:r>
        <w:rPr>
          <w:rFonts w:hint="eastAsia"/>
        </w:rPr>
        <w:t>654.</w:t>
      </w:r>
      <w:r>
        <w:rPr>
          <w:rFonts w:hint="eastAsia"/>
        </w:rPr>
        <w:tab/>
      </w:r>
      <w:r>
        <w:rPr>
          <w:rFonts w:hint="eastAsia"/>
        </w:rPr>
        <w:t>在社会，特别是学生的参与下，墨西哥的五个州实施了一项名为“零落后”的计划，以防止没有受过中等教育的青年</w:t>
      </w:r>
      <w:r>
        <w:rPr>
          <w:rFonts w:hint="eastAsia"/>
        </w:rPr>
        <w:t>落伍。</w:t>
      </w:r>
    </w:p>
    <w:p w:rsidR="00000000" w:rsidRDefault="00457650">
      <w:pPr>
        <w:widowControl/>
        <w:tabs>
          <w:tab w:val="left" w:pos="630"/>
        </w:tabs>
        <w:spacing w:after="240" w:line="360" w:lineRule="exact"/>
        <w:rPr>
          <w:rFonts w:hint="eastAsia"/>
        </w:rPr>
      </w:pPr>
      <w:r>
        <w:rPr>
          <w:rFonts w:hint="eastAsia"/>
        </w:rPr>
        <w:t>655.</w:t>
      </w:r>
      <w:r>
        <w:rPr>
          <w:rFonts w:hint="eastAsia"/>
        </w:rPr>
        <w:tab/>
      </w:r>
      <w:r>
        <w:rPr>
          <w:rFonts w:hint="eastAsia"/>
        </w:rPr>
        <w:t>“</w:t>
      </w:r>
      <w:r>
        <w:rPr>
          <w:rFonts w:hint="eastAsia"/>
        </w:rPr>
        <w:t>2003</w:t>
      </w:r>
      <w:r>
        <w:rPr>
          <w:rFonts w:hint="eastAsia"/>
        </w:rPr>
        <w:t>背景因素”研究的目的是要收集定性和定量数据，以确定影响青年和成年人接受、继续接受和完成基础教育的背景因素。其中一个重要的结论是在国家成人教育学院学习的成年人中有三分之一遇到学习困难，这主要是因为他们长时间疲劳工作。</w:t>
      </w:r>
    </w:p>
    <w:p w:rsidR="00000000" w:rsidRDefault="00457650">
      <w:pPr>
        <w:widowControl/>
        <w:tabs>
          <w:tab w:val="left" w:pos="630"/>
        </w:tabs>
        <w:spacing w:after="240" w:line="360" w:lineRule="exact"/>
        <w:rPr>
          <w:rFonts w:hint="eastAsia"/>
        </w:rPr>
      </w:pPr>
      <w:r>
        <w:rPr>
          <w:rFonts w:hint="eastAsia"/>
        </w:rPr>
        <w:t>656.</w:t>
      </w:r>
      <w:r>
        <w:rPr>
          <w:rFonts w:hint="eastAsia"/>
        </w:rPr>
        <w:tab/>
      </w:r>
      <w:r>
        <w:rPr>
          <w:rFonts w:hint="eastAsia"/>
        </w:rPr>
        <w:t>发现从事家务的妇女继续学习的障碍是她们的家务。</w:t>
      </w:r>
    </w:p>
    <w:p w:rsidR="00000000" w:rsidRDefault="00457650">
      <w:pPr>
        <w:widowControl/>
        <w:tabs>
          <w:tab w:val="left" w:pos="630"/>
        </w:tabs>
        <w:spacing w:after="240" w:line="360" w:lineRule="exact"/>
        <w:rPr>
          <w:rFonts w:hint="eastAsia"/>
        </w:rPr>
      </w:pPr>
      <w:r>
        <w:rPr>
          <w:rFonts w:hint="eastAsia"/>
        </w:rPr>
        <w:t>657.</w:t>
      </w:r>
      <w:r>
        <w:rPr>
          <w:rFonts w:hint="eastAsia"/>
        </w:rPr>
        <w:tab/>
      </w:r>
      <w:r>
        <w:rPr>
          <w:rFonts w:hint="eastAsia"/>
        </w:rPr>
        <w:t>中等教育机构有增加的趋势。数据表明</w:t>
      </w:r>
      <w:r>
        <w:rPr>
          <w:rFonts w:hint="eastAsia"/>
        </w:rPr>
        <w:t>2003</w:t>
      </w:r>
      <w:r>
        <w:rPr>
          <w:rFonts w:hint="eastAsia"/>
        </w:rPr>
        <w:t>年这一级教育的目标人口覆盖率为</w:t>
      </w:r>
      <w:r>
        <w:rPr>
          <w:rFonts w:hint="eastAsia"/>
        </w:rPr>
        <w:t>51.6%</w:t>
      </w:r>
      <w:r>
        <w:rPr>
          <w:rFonts w:hint="eastAsia"/>
        </w:rPr>
        <w:t>，而识字和初等教育覆盖率分别为</w:t>
      </w:r>
      <w:r>
        <w:rPr>
          <w:rFonts w:hint="eastAsia"/>
        </w:rPr>
        <w:t>25.5%</w:t>
      </w:r>
      <w:r>
        <w:rPr>
          <w:rFonts w:hint="eastAsia"/>
        </w:rPr>
        <w:t>和</w:t>
      </w:r>
      <w:r>
        <w:rPr>
          <w:rFonts w:hint="eastAsia"/>
        </w:rPr>
        <w:t>22.9%</w:t>
      </w:r>
      <w:r>
        <w:rPr>
          <w:rFonts w:hint="eastAsia"/>
        </w:rPr>
        <w:t>。</w:t>
      </w:r>
    </w:p>
    <w:p w:rsidR="00000000" w:rsidRDefault="00457650">
      <w:pPr>
        <w:widowControl/>
        <w:tabs>
          <w:tab w:val="left" w:pos="630"/>
        </w:tabs>
        <w:spacing w:after="240" w:line="360" w:lineRule="exact"/>
        <w:rPr>
          <w:rFonts w:hint="eastAsia"/>
        </w:rPr>
      </w:pPr>
      <w:r>
        <w:rPr>
          <w:rFonts w:hint="eastAsia"/>
        </w:rPr>
        <w:t>658.</w:t>
      </w:r>
      <w:r>
        <w:rPr>
          <w:rFonts w:hint="eastAsia"/>
        </w:rPr>
        <w:tab/>
      </w:r>
      <w:r>
        <w:rPr>
          <w:rFonts w:hint="eastAsia"/>
        </w:rPr>
        <w:t>应当说明的是，</w:t>
      </w:r>
      <w:r>
        <w:rPr>
          <w:rFonts w:hint="eastAsia"/>
        </w:rPr>
        <w:t>2003</w:t>
      </w:r>
      <w:r>
        <w:rPr>
          <w:rFonts w:hint="eastAsia"/>
        </w:rPr>
        <w:t>年“更多地关注、接纳和保留青年</w:t>
      </w:r>
      <w:r>
        <w:rPr>
          <w:rFonts w:hint="eastAsia"/>
        </w:rPr>
        <w:t>和成年人”教育计划发挥了促动作用，使入学者总数达到</w:t>
      </w:r>
      <w:r>
        <w:rPr>
          <w:rFonts w:hint="eastAsia"/>
        </w:rPr>
        <w:t>1 239 046</w:t>
      </w:r>
      <w:r>
        <w:rPr>
          <w:rFonts w:hint="eastAsia"/>
        </w:rPr>
        <w:t>人，超过了目标数字</w:t>
      </w:r>
      <w:r>
        <w:rPr>
          <w:rFonts w:hint="eastAsia"/>
        </w:rPr>
        <w:t>100</w:t>
      </w:r>
      <w:r>
        <w:rPr>
          <w:rFonts w:hint="eastAsia"/>
        </w:rPr>
        <w:t>万人，超额</w:t>
      </w:r>
      <w:r>
        <w:rPr>
          <w:rFonts w:hint="eastAsia"/>
        </w:rPr>
        <w:t>150 000</w:t>
      </w:r>
      <w:r>
        <w:rPr>
          <w:rFonts w:hint="eastAsia"/>
        </w:rPr>
        <w:t>多人。</w:t>
      </w:r>
    </w:p>
    <w:p w:rsidR="00000000" w:rsidRDefault="00457650">
      <w:pPr>
        <w:widowControl/>
        <w:tabs>
          <w:tab w:val="left" w:pos="630"/>
        </w:tabs>
        <w:spacing w:after="240" w:line="360" w:lineRule="exact"/>
        <w:rPr>
          <w:rFonts w:hint="eastAsia"/>
        </w:rPr>
      </w:pPr>
      <w:r>
        <w:rPr>
          <w:rFonts w:hint="eastAsia"/>
        </w:rPr>
        <w:t>659.</w:t>
      </w:r>
      <w:r>
        <w:rPr>
          <w:rFonts w:hint="eastAsia"/>
        </w:rPr>
        <w:tab/>
      </w:r>
      <w:r>
        <w:rPr>
          <w:rFonts w:hint="eastAsia"/>
        </w:rPr>
        <w:t>预计针对特定人口的新教育计划的整合和行动战略的推进将有助于增加所提供的服务。</w:t>
      </w:r>
    </w:p>
    <w:p w:rsidR="00000000" w:rsidRDefault="00457650">
      <w:pPr>
        <w:widowControl/>
        <w:tabs>
          <w:tab w:val="left" w:pos="630"/>
        </w:tabs>
        <w:spacing w:after="240" w:line="360" w:lineRule="exact"/>
        <w:rPr>
          <w:rFonts w:hint="eastAsia"/>
        </w:rPr>
      </w:pPr>
      <w:r>
        <w:rPr>
          <w:rFonts w:hint="eastAsia"/>
        </w:rPr>
        <w:t>660.</w:t>
      </w:r>
      <w:r>
        <w:rPr>
          <w:rFonts w:hint="eastAsia"/>
        </w:rPr>
        <w:tab/>
      </w:r>
      <w:r>
        <w:rPr>
          <w:rFonts w:hint="eastAsia"/>
        </w:rPr>
        <w:t>在全部受益人口中，到</w:t>
      </w:r>
      <w:r>
        <w:rPr>
          <w:rFonts w:hint="eastAsia"/>
        </w:rPr>
        <w:t>2000</w:t>
      </w:r>
      <w:r>
        <w:rPr>
          <w:rFonts w:hint="eastAsia"/>
        </w:rPr>
        <w:t>年教育完成率为</w:t>
      </w:r>
      <w:r>
        <w:rPr>
          <w:rFonts w:hint="eastAsia"/>
        </w:rPr>
        <w:t>45%</w:t>
      </w:r>
      <w:r>
        <w:rPr>
          <w:rFonts w:hint="eastAsia"/>
        </w:rPr>
        <w:t>或更高，这与</w:t>
      </w:r>
      <w:r>
        <w:rPr>
          <w:rFonts w:hint="eastAsia"/>
        </w:rPr>
        <w:t>1998</w:t>
      </w:r>
      <w:r>
        <w:rPr>
          <w:rFonts w:hint="eastAsia"/>
        </w:rPr>
        <w:t>年的</w:t>
      </w:r>
      <w:r>
        <w:rPr>
          <w:rFonts w:hint="eastAsia"/>
        </w:rPr>
        <w:t>35%</w:t>
      </w:r>
      <w:r>
        <w:rPr>
          <w:rFonts w:hint="eastAsia"/>
        </w:rPr>
        <w:t>形成了鲜明对照。必须注意的是该机构照顾的是那些没有在开放系统进行入学登记的人，所以该比例不能和义务教育相比。</w:t>
      </w:r>
    </w:p>
    <w:p w:rsidR="00000000" w:rsidRDefault="00457650">
      <w:pPr>
        <w:widowControl/>
        <w:tabs>
          <w:tab w:val="left" w:pos="630"/>
        </w:tabs>
        <w:spacing w:after="240" w:line="360" w:lineRule="exact"/>
        <w:jc w:val="center"/>
        <w:rPr>
          <w:rFonts w:eastAsia="SimHei" w:hint="eastAsia"/>
        </w:rPr>
      </w:pPr>
      <w:r>
        <w:rPr>
          <w:rFonts w:eastAsia="SimHei" w:hint="eastAsia"/>
        </w:rPr>
        <w:t>完成识字培训及（初等和中等）教育的人</w:t>
      </w:r>
    </w:p>
    <w:tbl>
      <w:tblPr>
        <w:tblW w:w="5000" w:type="pct"/>
        <w:tblCellMar>
          <w:left w:w="0" w:type="dxa"/>
          <w:right w:w="0" w:type="dxa"/>
        </w:tblCellMar>
        <w:tblLook w:val="01E0" w:firstRow="1" w:lastRow="1" w:firstColumn="1" w:lastColumn="1" w:noHBand="0" w:noVBand="0"/>
      </w:tblPr>
      <w:tblGrid>
        <w:gridCol w:w="1895"/>
        <w:gridCol w:w="958"/>
        <w:gridCol w:w="372"/>
        <w:gridCol w:w="958"/>
        <w:gridCol w:w="371"/>
        <w:gridCol w:w="957"/>
        <w:gridCol w:w="371"/>
        <w:gridCol w:w="957"/>
        <w:gridCol w:w="371"/>
        <w:gridCol w:w="957"/>
        <w:gridCol w:w="371"/>
        <w:gridCol w:w="957"/>
        <w:gridCol w:w="371"/>
      </w:tblGrid>
      <w:tr w:rsidR="00000000">
        <w:tblPrEx>
          <w:tblCellMar>
            <w:top w:w="0" w:type="dxa"/>
            <w:bottom w:w="0" w:type="dxa"/>
          </w:tblCellMar>
        </w:tblPrEx>
        <w:tc>
          <w:tcPr>
            <w:tcW w:w="960" w:type="pct"/>
            <w:tcBorders>
              <w:top w:val="single" w:sz="4" w:space="0" w:color="auto"/>
              <w:bottom w:val="single" w:sz="4" w:space="0" w:color="auto"/>
            </w:tcBorders>
          </w:tcPr>
          <w:p w:rsidR="00000000" w:rsidRDefault="00457650" w:rsidP="00457650">
            <w:pPr>
              <w:widowControl/>
              <w:tabs>
                <w:tab w:val="left" w:pos="630"/>
              </w:tabs>
              <w:spacing w:after="120" w:line="360" w:lineRule="exact"/>
              <w:ind w:leftChars="50" w:left="31680"/>
              <w:rPr>
                <w:rFonts w:ascii="KaiTi_GB2312" w:eastAsia="KaiTi_GB2312" w:hint="eastAsia"/>
                <w:bCs/>
                <w:iCs/>
                <w:sz w:val="18"/>
              </w:rPr>
            </w:pPr>
            <w:r>
              <w:rPr>
                <w:rFonts w:ascii="KaiTi_GB2312" w:eastAsia="KaiTi_GB2312" w:hint="eastAsia"/>
                <w:bCs/>
                <w:iCs/>
                <w:sz w:val="18"/>
              </w:rPr>
              <w:t>国家成人教育学院</w:t>
            </w:r>
          </w:p>
        </w:tc>
        <w:tc>
          <w:tcPr>
            <w:tcW w:w="485" w:type="pct"/>
            <w:tcBorders>
              <w:top w:val="single" w:sz="4" w:space="0" w:color="auto"/>
              <w:bottom w:val="single" w:sz="4" w:space="0" w:color="auto"/>
            </w:tcBorders>
          </w:tcPr>
          <w:p w:rsidR="00000000" w:rsidRDefault="00457650">
            <w:pPr>
              <w:widowControl/>
              <w:tabs>
                <w:tab w:val="left" w:pos="630"/>
              </w:tabs>
              <w:spacing w:after="120" w:line="360" w:lineRule="exact"/>
              <w:jc w:val="center"/>
              <w:rPr>
                <w:rFonts w:ascii="KaiTi_GB2312" w:eastAsia="KaiTi_GB2312" w:hint="eastAsia"/>
                <w:bCs/>
                <w:iCs/>
                <w:sz w:val="18"/>
              </w:rPr>
            </w:pPr>
            <w:r>
              <w:rPr>
                <w:rFonts w:ascii="KaiTi_GB2312" w:eastAsia="KaiTi_GB2312"/>
                <w:bCs/>
                <w:iCs/>
                <w:sz w:val="18"/>
              </w:rPr>
              <w:t>1998</w:t>
            </w:r>
            <w:r>
              <w:rPr>
                <w:rFonts w:ascii="KaiTi_GB2312" w:eastAsia="KaiTi_GB2312" w:hint="eastAsia"/>
                <w:bCs/>
                <w:iCs/>
                <w:sz w:val="18"/>
              </w:rPr>
              <w:t>年</w:t>
            </w:r>
          </w:p>
        </w:tc>
        <w:tc>
          <w:tcPr>
            <w:tcW w:w="188" w:type="pct"/>
            <w:tcBorders>
              <w:top w:val="single" w:sz="4" w:space="0" w:color="auto"/>
              <w:bottom w:val="single" w:sz="4" w:space="0" w:color="auto"/>
            </w:tcBorders>
          </w:tcPr>
          <w:p w:rsidR="00000000" w:rsidRDefault="00457650">
            <w:pPr>
              <w:widowControl/>
              <w:tabs>
                <w:tab w:val="left" w:pos="630"/>
              </w:tabs>
              <w:spacing w:after="120" w:line="360" w:lineRule="exact"/>
              <w:jc w:val="center"/>
              <w:rPr>
                <w:rFonts w:ascii="KaiTi_GB2312" w:eastAsia="KaiTi_GB2312"/>
                <w:bCs/>
                <w:iCs/>
                <w:sz w:val="18"/>
              </w:rPr>
            </w:pPr>
            <w:r>
              <w:rPr>
                <w:rFonts w:ascii="KaiTi_GB2312" w:eastAsia="KaiTi_GB2312"/>
                <w:bCs/>
                <w:iCs/>
                <w:sz w:val="18"/>
              </w:rPr>
              <w:t>%</w:t>
            </w:r>
          </w:p>
        </w:tc>
        <w:tc>
          <w:tcPr>
            <w:tcW w:w="485" w:type="pct"/>
            <w:tcBorders>
              <w:top w:val="single" w:sz="4" w:space="0" w:color="auto"/>
              <w:bottom w:val="single" w:sz="4" w:space="0" w:color="auto"/>
            </w:tcBorders>
          </w:tcPr>
          <w:p w:rsidR="00000000" w:rsidRDefault="00457650">
            <w:pPr>
              <w:widowControl/>
              <w:tabs>
                <w:tab w:val="left" w:pos="630"/>
              </w:tabs>
              <w:spacing w:after="120" w:line="360" w:lineRule="exact"/>
              <w:jc w:val="center"/>
              <w:rPr>
                <w:rFonts w:ascii="KaiTi_GB2312" w:eastAsia="KaiTi_GB2312" w:hint="eastAsia"/>
                <w:bCs/>
                <w:iCs/>
                <w:sz w:val="18"/>
              </w:rPr>
            </w:pPr>
            <w:r>
              <w:rPr>
                <w:rFonts w:ascii="KaiTi_GB2312" w:eastAsia="KaiTi_GB2312"/>
                <w:bCs/>
                <w:iCs/>
                <w:sz w:val="18"/>
              </w:rPr>
              <w:t>1999</w:t>
            </w:r>
            <w:r>
              <w:rPr>
                <w:rFonts w:ascii="KaiTi_GB2312" w:eastAsia="KaiTi_GB2312" w:hint="eastAsia"/>
                <w:bCs/>
                <w:iCs/>
                <w:sz w:val="18"/>
              </w:rPr>
              <w:t>年</w:t>
            </w:r>
          </w:p>
        </w:tc>
        <w:tc>
          <w:tcPr>
            <w:tcW w:w="188" w:type="pct"/>
            <w:tcBorders>
              <w:top w:val="single" w:sz="4" w:space="0" w:color="auto"/>
              <w:bottom w:val="single" w:sz="4" w:space="0" w:color="auto"/>
            </w:tcBorders>
          </w:tcPr>
          <w:p w:rsidR="00000000" w:rsidRDefault="00457650">
            <w:pPr>
              <w:widowControl/>
              <w:tabs>
                <w:tab w:val="left" w:pos="630"/>
              </w:tabs>
              <w:spacing w:after="120" w:line="360" w:lineRule="exact"/>
              <w:jc w:val="center"/>
              <w:rPr>
                <w:rFonts w:ascii="KaiTi_GB2312" w:eastAsia="KaiTi_GB2312"/>
                <w:bCs/>
                <w:iCs/>
                <w:sz w:val="18"/>
              </w:rPr>
            </w:pPr>
            <w:r>
              <w:rPr>
                <w:rFonts w:ascii="KaiTi_GB2312" w:eastAsia="KaiTi_GB2312"/>
                <w:bCs/>
                <w:iCs/>
                <w:sz w:val="18"/>
              </w:rPr>
              <w:t>%</w:t>
            </w:r>
          </w:p>
        </w:tc>
        <w:tc>
          <w:tcPr>
            <w:tcW w:w="485" w:type="pct"/>
            <w:tcBorders>
              <w:top w:val="single" w:sz="4" w:space="0" w:color="auto"/>
              <w:bottom w:val="single" w:sz="4" w:space="0" w:color="auto"/>
            </w:tcBorders>
          </w:tcPr>
          <w:p w:rsidR="00000000" w:rsidRDefault="00457650">
            <w:pPr>
              <w:widowControl/>
              <w:tabs>
                <w:tab w:val="left" w:pos="630"/>
              </w:tabs>
              <w:spacing w:after="120" w:line="360" w:lineRule="exact"/>
              <w:jc w:val="center"/>
              <w:rPr>
                <w:rFonts w:ascii="KaiTi_GB2312" w:eastAsia="KaiTi_GB2312" w:hint="eastAsia"/>
                <w:bCs/>
                <w:iCs/>
                <w:sz w:val="18"/>
              </w:rPr>
            </w:pPr>
            <w:r>
              <w:rPr>
                <w:rFonts w:ascii="KaiTi_GB2312" w:eastAsia="KaiTi_GB2312"/>
                <w:bCs/>
                <w:iCs/>
                <w:sz w:val="18"/>
              </w:rPr>
              <w:t>2000</w:t>
            </w:r>
            <w:r>
              <w:rPr>
                <w:rFonts w:ascii="KaiTi_GB2312" w:eastAsia="KaiTi_GB2312" w:hint="eastAsia"/>
                <w:bCs/>
                <w:iCs/>
                <w:sz w:val="18"/>
              </w:rPr>
              <w:t>年</w:t>
            </w:r>
          </w:p>
        </w:tc>
        <w:tc>
          <w:tcPr>
            <w:tcW w:w="188" w:type="pct"/>
            <w:tcBorders>
              <w:top w:val="single" w:sz="4" w:space="0" w:color="auto"/>
              <w:bottom w:val="single" w:sz="4" w:space="0" w:color="auto"/>
            </w:tcBorders>
          </w:tcPr>
          <w:p w:rsidR="00000000" w:rsidRDefault="00457650">
            <w:pPr>
              <w:widowControl/>
              <w:tabs>
                <w:tab w:val="left" w:pos="630"/>
              </w:tabs>
              <w:spacing w:after="120" w:line="360" w:lineRule="exact"/>
              <w:jc w:val="center"/>
              <w:rPr>
                <w:rFonts w:ascii="KaiTi_GB2312" w:eastAsia="KaiTi_GB2312"/>
                <w:bCs/>
                <w:iCs/>
                <w:sz w:val="18"/>
              </w:rPr>
            </w:pPr>
            <w:r>
              <w:rPr>
                <w:rFonts w:ascii="KaiTi_GB2312" w:eastAsia="KaiTi_GB2312"/>
                <w:bCs/>
                <w:iCs/>
                <w:sz w:val="18"/>
              </w:rPr>
              <w:t>%</w:t>
            </w:r>
          </w:p>
        </w:tc>
        <w:tc>
          <w:tcPr>
            <w:tcW w:w="485" w:type="pct"/>
            <w:tcBorders>
              <w:top w:val="single" w:sz="4" w:space="0" w:color="auto"/>
              <w:bottom w:val="single" w:sz="4" w:space="0" w:color="auto"/>
            </w:tcBorders>
          </w:tcPr>
          <w:p w:rsidR="00000000" w:rsidRDefault="00457650">
            <w:pPr>
              <w:widowControl/>
              <w:tabs>
                <w:tab w:val="left" w:pos="630"/>
              </w:tabs>
              <w:spacing w:after="120" w:line="360" w:lineRule="exact"/>
              <w:jc w:val="center"/>
              <w:rPr>
                <w:rFonts w:ascii="KaiTi_GB2312" w:eastAsia="KaiTi_GB2312" w:hint="eastAsia"/>
                <w:bCs/>
                <w:iCs/>
                <w:sz w:val="18"/>
              </w:rPr>
            </w:pPr>
            <w:r>
              <w:rPr>
                <w:rFonts w:ascii="KaiTi_GB2312" w:eastAsia="KaiTi_GB2312"/>
                <w:bCs/>
                <w:iCs/>
                <w:sz w:val="18"/>
              </w:rPr>
              <w:t>2001</w:t>
            </w:r>
            <w:r>
              <w:rPr>
                <w:rFonts w:ascii="KaiTi_GB2312" w:eastAsia="KaiTi_GB2312" w:hint="eastAsia"/>
                <w:bCs/>
                <w:iCs/>
                <w:sz w:val="18"/>
              </w:rPr>
              <w:t>年</w:t>
            </w:r>
          </w:p>
        </w:tc>
        <w:tc>
          <w:tcPr>
            <w:tcW w:w="188" w:type="pct"/>
            <w:tcBorders>
              <w:top w:val="single" w:sz="4" w:space="0" w:color="auto"/>
              <w:bottom w:val="single" w:sz="4" w:space="0" w:color="auto"/>
            </w:tcBorders>
          </w:tcPr>
          <w:p w:rsidR="00000000" w:rsidRDefault="00457650">
            <w:pPr>
              <w:widowControl/>
              <w:tabs>
                <w:tab w:val="left" w:pos="630"/>
              </w:tabs>
              <w:spacing w:after="120" w:line="360" w:lineRule="exact"/>
              <w:jc w:val="center"/>
              <w:rPr>
                <w:rFonts w:ascii="KaiTi_GB2312" w:eastAsia="KaiTi_GB2312"/>
                <w:bCs/>
                <w:iCs/>
                <w:sz w:val="18"/>
              </w:rPr>
            </w:pPr>
            <w:r>
              <w:rPr>
                <w:rFonts w:ascii="KaiTi_GB2312" w:eastAsia="KaiTi_GB2312"/>
                <w:bCs/>
                <w:iCs/>
                <w:sz w:val="18"/>
              </w:rPr>
              <w:t>%</w:t>
            </w:r>
          </w:p>
        </w:tc>
        <w:tc>
          <w:tcPr>
            <w:tcW w:w="485" w:type="pct"/>
            <w:tcBorders>
              <w:top w:val="single" w:sz="4" w:space="0" w:color="auto"/>
              <w:bottom w:val="single" w:sz="4" w:space="0" w:color="auto"/>
            </w:tcBorders>
          </w:tcPr>
          <w:p w:rsidR="00000000" w:rsidRDefault="00457650">
            <w:pPr>
              <w:widowControl/>
              <w:tabs>
                <w:tab w:val="left" w:pos="630"/>
              </w:tabs>
              <w:spacing w:after="120" w:line="360" w:lineRule="exact"/>
              <w:jc w:val="center"/>
              <w:rPr>
                <w:rFonts w:ascii="KaiTi_GB2312" w:eastAsia="KaiTi_GB2312" w:hint="eastAsia"/>
                <w:bCs/>
                <w:iCs/>
                <w:sz w:val="18"/>
              </w:rPr>
            </w:pPr>
            <w:r>
              <w:rPr>
                <w:rFonts w:ascii="KaiTi_GB2312" w:eastAsia="KaiTi_GB2312"/>
                <w:bCs/>
                <w:iCs/>
                <w:sz w:val="18"/>
              </w:rPr>
              <w:t>2002</w:t>
            </w:r>
            <w:r>
              <w:rPr>
                <w:rFonts w:ascii="KaiTi_GB2312" w:eastAsia="KaiTi_GB2312" w:hint="eastAsia"/>
                <w:bCs/>
                <w:iCs/>
                <w:sz w:val="18"/>
              </w:rPr>
              <w:t>年</w:t>
            </w:r>
          </w:p>
        </w:tc>
        <w:tc>
          <w:tcPr>
            <w:tcW w:w="188" w:type="pct"/>
            <w:tcBorders>
              <w:top w:val="single" w:sz="4" w:space="0" w:color="auto"/>
              <w:bottom w:val="single" w:sz="4" w:space="0" w:color="auto"/>
            </w:tcBorders>
          </w:tcPr>
          <w:p w:rsidR="00000000" w:rsidRDefault="00457650">
            <w:pPr>
              <w:widowControl/>
              <w:tabs>
                <w:tab w:val="left" w:pos="630"/>
              </w:tabs>
              <w:spacing w:after="120" w:line="360" w:lineRule="exact"/>
              <w:jc w:val="center"/>
              <w:rPr>
                <w:rFonts w:ascii="KaiTi_GB2312" w:eastAsia="KaiTi_GB2312"/>
                <w:bCs/>
                <w:iCs/>
                <w:sz w:val="18"/>
              </w:rPr>
            </w:pPr>
            <w:r>
              <w:rPr>
                <w:rFonts w:ascii="KaiTi_GB2312" w:eastAsia="KaiTi_GB2312"/>
                <w:bCs/>
                <w:iCs/>
                <w:sz w:val="18"/>
              </w:rPr>
              <w:t>%</w:t>
            </w:r>
          </w:p>
        </w:tc>
        <w:tc>
          <w:tcPr>
            <w:tcW w:w="485" w:type="pct"/>
            <w:tcBorders>
              <w:top w:val="single" w:sz="4" w:space="0" w:color="auto"/>
              <w:bottom w:val="single" w:sz="4" w:space="0" w:color="auto"/>
            </w:tcBorders>
          </w:tcPr>
          <w:p w:rsidR="00000000" w:rsidRDefault="00457650">
            <w:pPr>
              <w:widowControl/>
              <w:tabs>
                <w:tab w:val="left" w:pos="630"/>
              </w:tabs>
              <w:spacing w:after="120" w:line="360" w:lineRule="exact"/>
              <w:jc w:val="center"/>
              <w:rPr>
                <w:rFonts w:ascii="KaiTi_GB2312" w:eastAsia="KaiTi_GB2312" w:hint="eastAsia"/>
                <w:bCs/>
                <w:iCs/>
                <w:sz w:val="18"/>
              </w:rPr>
            </w:pPr>
            <w:r>
              <w:rPr>
                <w:rFonts w:ascii="KaiTi_GB2312" w:eastAsia="KaiTi_GB2312"/>
                <w:bCs/>
                <w:iCs/>
                <w:sz w:val="18"/>
              </w:rPr>
              <w:t>2003</w:t>
            </w:r>
            <w:r>
              <w:rPr>
                <w:rFonts w:ascii="KaiTi_GB2312" w:eastAsia="KaiTi_GB2312" w:hint="eastAsia"/>
                <w:bCs/>
                <w:iCs/>
                <w:sz w:val="18"/>
              </w:rPr>
              <w:t>年</w:t>
            </w:r>
          </w:p>
        </w:tc>
        <w:tc>
          <w:tcPr>
            <w:tcW w:w="188" w:type="pct"/>
            <w:tcBorders>
              <w:top w:val="single" w:sz="4" w:space="0" w:color="auto"/>
              <w:bottom w:val="single" w:sz="4" w:space="0" w:color="auto"/>
            </w:tcBorders>
          </w:tcPr>
          <w:p w:rsidR="00000000" w:rsidRDefault="00457650">
            <w:pPr>
              <w:widowControl/>
              <w:tabs>
                <w:tab w:val="left" w:pos="630"/>
              </w:tabs>
              <w:spacing w:after="120" w:line="360" w:lineRule="exact"/>
              <w:jc w:val="center"/>
              <w:rPr>
                <w:rFonts w:ascii="KaiTi_GB2312" w:eastAsia="KaiTi_GB2312"/>
                <w:bCs/>
                <w:iCs/>
                <w:sz w:val="18"/>
              </w:rPr>
            </w:pPr>
            <w:r>
              <w:rPr>
                <w:rFonts w:ascii="KaiTi_GB2312" w:eastAsia="KaiTi_GB2312"/>
                <w:bCs/>
                <w:iCs/>
                <w:sz w:val="18"/>
              </w:rPr>
              <w:t>%</w:t>
            </w:r>
          </w:p>
        </w:tc>
      </w:tr>
      <w:tr w:rsidR="00000000">
        <w:tblPrEx>
          <w:tblCellMar>
            <w:top w:w="0" w:type="dxa"/>
            <w:bottom w:w="0" w:type="dxa"/>
          </w:tblCellMar>
        </w:tblPrEx>
        <w:trPr>
          <w:trHeight w:val="342"/>
        </w:trPr>
        <w:tc>
          <w:tcPr>
            <w:tcW w:w="960" w:type="pct"/>
            <w:tcBorders>
              <w:top w:val="single" w:sz="4" w:space="0" w:color="auto"/>
            </w:tcBorders>
          </w:tcPr>
          <w:p w:rsidR="00000000" w:rsidRDefault="00457650" w:rsidP="00457650">
            <w:pPr>
              <w:pStyle w:val="a3"/>
              <w:widowControl/>
              <w:tabs>
                <w:tab w:val="left" w:pos="630"/>
              </w:tabs>
              <w:adjustRightInd w:val="0"/>
              <w:spacing w:after="120" w:line="360" w:lineRule="exact"/>
              <w:ind w:leftChars="50" w:left="31680"/>
              <w:textAlignment w:val="baseline"/>
              <w:rPr>
                <w:rFonts w:hint="eastAsia"/>
                <w:iCs/>
                <w:kern w:val="0"/>
                <w:szCs w:val="20"/>
              </w:rPr>
            </w:pPr>
            <w:r>
              <w:rPr>
                <w:rFonts w:hint="eastAsia"/>
                <w:iCs/>
                <w:kern w:val="0"/>
                <w:szCs w:val="20"/>
              </w:rPr>
              <w:t>接受的总人数</w:t>
            </w:r>
          </w:p>
        </w:tc>
        <w:tc>
          <w:tcPr>
            <w:tcW w:w="485" w:type="pct"/>
            <w:tcBorders>
              <w:top w:val="single" w:sz="4" w:space="0" w:color="auto"/>
            </w:tcBorders>
            <w:vAlign w:val="bottom"/>
          </w:tcPr>
          <w:p w:rsidR="00000000" w:rsidRDefault="00457650">
            <w:pPr>
              <w:pStyle w:val="Header"/>
              <w:widowControl/>
              <w:pBdr>
                <w:bottom w:val="none" w:sz="0" w:space="0" w:color="auto"/>
              </w:pBdr>
              <w:tabs>
                <w:tab w:val="clear" w:pos="4320"/>
                <w:tab w:val="clear" w:pos="8640"/>
                <w:tab w:val="left" w:pos="630"/>
              </w:tabs>
              <w:spacing w:after="120" w:line="360" w:lineRule="exact"/>
              <w:rPr>
                <w:iCs/>
              </w:rPr>
            </w:pPr>
            <w:r>
              <w:rPr>
                <w:iCs/>
              </w:rPr>
              <w:t>1 925 371</w:t>
            </w:r>
          </w:p>
        </w:tc>
        <w:tc>
          <w:tcPr>
            <w:tcW w:w="188" w:type="pct"/>
            <w:tcBorders>
              <w:top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100</w:t>
            </w:r>
          </w:p>
        </w:tc>
        <w:tc>
          <w:tcPr>
            <w:tcW w:w="485" w:type="pct"/>
            <w:tcBorders>
              <w:top w:val="single" w:sz="4" w:space="0" w:color="auto"/>
            </w:tcBorders>
            <w:vAlign w:val="bottom"/>
          </w:tcPr>
          <w:p w:rsidR="00000000" w:rsidRDefault="00457650">
            <w:pPr>
              <w:pStyle w:val="Header"/>
              <w:widowControl/>
              <w:pBdr>
                <w:bottom w:val="none" w:sz="0" w:space="0" w:color="auto"/>
              </w:pBdr>
              <w:tabs>
                <w:tab w:val="clear" w:pos="4320"/>
                <w:tab w:val="clear" w:pos="8640"/>
                <w:tab w:val="left" w:pos="630"/>
              </w:tabs>
              <w:spacing w:after="120" w:line="360" w:lineRule="exact"/>
              <w:rPr>
                <w:iCs/>
              </w:rPr>
            </w:pPr>
            <w:r>
              <w:rPr>
                <w:iCs/>
              </w:rPr>
              <w:t>1 783 970</w:t>
            </w:r>
          </w:p>
        </w:tc>
        <w:tc>
          <w:tcPr>
            <w:tcW w:w="188" w:type="pct"/>
            <w:tcBorders>
              <w:top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100</w:t>
            </w:r>
          </w:p>
        </w:tc>
        <w:tc>
          <w:tcPr>
            <w:tcW w:w="485" w:type="pct"/>
            <w:tcBorders>
              <w:top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1 102 140</w:t>
            </w:r>
          </w:p>
        </w:tc>
        <w:tc>
          <w:tcPr>
            <w:tcW w:w="188" w:type="pct"/>
            <w:tcBorders>
              <w:top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100</w:t>
            </w:r>
          </w:p>
        </w:tc>
        <w:tc>
          <w:tcPr>
            <w:tcW w:w="485" w:type="pct"/>
            <w:tcBorders>
              <w:top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1 037 653</w:t>
            </w:r>
          </w:p>
        </w:tc>
        <w:tc>
          <w:tcPr>
            <w:tcW w:w="188" w:type="pct"/>
            <w:tcBorders>
              <w:top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100</w:t>
            </w:r>
          </w:p>
        </w:tc>
        <w:tc>
          <w:tcPr>
            <w:tcW w:w="485" w:type="pct"/>
            <w:tcBorders>
              <w:top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1 087 549</w:t>
            </w:r>
          </w:p>
        </w:tc>
        <w:tc>
          <w:tcPr>
            <w:tcW w:w="188" w:type="pct"/>
            <w:tcBorders>
              <w:top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100</w:t>
            </w:r>
          </w:p>
        </w:tc>
        <w:tc>
          <w:tcPr>
            <w:tcW w:w="485" w:type="pct"/>
            <w:tcBorders>
              <w:top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1 239 046</w:t>
            </w:r>
          </w:p>
        </w:tc>
        <w:tc>
          <w:tcPr>
            <w:tcW w:w="188" w:type="pct"/>
            <w:tcBorders>
              <w:top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100</w:t>
            </w:r>
          </w:p>
        </w:tc>
      </w:tr>
      <w:tr w:rsidR="00000000">
        <w:tblPrEx>
          <w:tblCellMar>
            <w:top w:w="0" w:type="dxa"/>
            <w:bottom w:w="0" w:type="dxa"/>
          </w:tblCellMar>
        </w:tblPrEx>
        <w:trPr>
          <w:trHeight w:val="342"/>
        </w:trPr>
        <w:tc>
          <w:tcPr>
            <w:tcW w:w="960" w:type="pct"/>
            <w:tcBorders>
              <w:bottom w:val="single" w:sz="4" w:space="0" w:color="auto"/>
            </w:tcBorders>
          </w:tcPr>
          <w:p w:rsidR="00000000" w:rsidRDefault="00457650" w:rsidP="00457650">
            <w:pPr>
              <w:widowControl/>
              <w:tabs>
                <w:tab w:val="left" w:pos="630"/>
              </w:tabs>
              <w:spacing w:after="120" w:line="360" w:lineRule="exact"/>
              <w:ind w:leftChars="50" w:left="31680"/>
              <w:rPr>
                <w:rFonts w:hint="eastAsia"/>
                <w:iCs/>
                <w:sz w:val="18"/>
              </w:rPr>
            </w:pPr>
            <w:r>
              <w:rPr>
                <w:rFonts w:hint="eastAsia"/>
                <w:iCs/>
                <w:sz w:val="18"/>
              </w:rPr>
              <w:t>完成者总人数</w:t>
            </w:r>
          </w:p>
        </w:tc>
        <w:tc>
          <w:tcPr>
            <w:tcW w:w="485" w:type="pct"/>
            <w:tcBorders>
              <w:bottom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678 850</w:t>
            </w:r>
          </w:p>
        </w:tc>
        <w:tc>
          <w:tcPr>
            <w:tcW w:w="188" w:type="pct"/>
            <w:tcBorders>
              <w:bottom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35</w:t>
            </w:r>
          </w:p>
        </w:tc>
        <w:tc>
          <w:tcPr>
            <w:tcW w:w="485" w:type="pct"/>
            <w:tcBorders>
              <w:bottom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737 573</w:t>
            </w:r>
          </w:p>
        </w:tc>
        <w:tc>
          <w:tcPr>
            <w:tcW w:w="188" w:type="pct"/>
            <w:tcBorders>
              <w:bottom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41</w:t>
            </w:r>
          </w:p>
        </w:tc>
        <w:tc>
          <w:tcPr>
            <w:tcW w:w="485" w:type="pct"/>
            <w:tcBorders>
              <w:bottom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622 264</w:t>
            </w:r>
          </w:p>
        </w:tc>
        <w:tc>
          <w:tcPr>
            <w:tcW w:w="188" w:type="pct"/>
            <w:tcBorders>
              <w:bottom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56</w:t>
            </w:r>
          </w:p>
        </w:tc>
        <w:tc>
          <w:tcPr>
            <w:tcW w:w="485" w:type="pct"/>
            <w:tcBorders>
              <w:bottom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585 477</w:t>
            </w:r>
          </w:p>
        </w:tc>
        <w:tc>
          <w:tcPr>
            <w:tcW w:w="188" w:type="pct"/>
            <w:tcBorders>
              <w:bottom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56</w:t>
            </w:r>
          </w:p>
        </w:tc>
        <w:tc>
          <w:tcPr>
            <w:tcW w:w="485" w:type="pct"/>
            <w:tcBorders>
              <w:bottom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526 055</w:t>
            </w:r>
          </w:p>
        </w:tc>
        <w:tc>
          <w:tcPr>
            <w:tcW w:w="188" w:type="pct"/>
            <w:tcBorders>
              <w:bottom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48</w:t>
            </w:r>
          </w:p>
        </w:tc>
        <w:tc>
          <w:tcPr>
            <w:tcW w:w="485" w:type="pct"/>
            <w:tcBorders>
              <w:bottom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555 427</w:t>
            </w:r>
          </w:p>
        </w:tc>
        <w:tc>
          <w:tcPr>
            <w:tcW w:w="188" w:type="pct"/>
            <w:tcBorders>
              <w:bottom w:val="single" w:sz="4" w:space="0" w:color="auto"/>
            </w:tcBorders>
            <w:vAlign w:val="bottom"/>
          </w:tcPr>
          <w:p w:rsidR="00000000" w:rsidRDefault="00457650">
            <w:pPr>
              <w:widowControl/>
              <w:tabs>
                <w:tab w:val="left" w:pos="630"/>
              </w:tabs>
              <w:spacing w:after="120" w:line="360" w:lineRule="exact"/>
              <w:jc w:val="center"/>
              <w:rPr>
                <w:iCs/>
                <w:sz w:val="18"/>
              </w:rPr>
            </w:pPr>
            <w:r>
              <w:rPr>
                <w:iCs/>
                <w:sz w:val="18"/>
              </w:rPr>
              <w:t>45</w:t>
            </w:r>
          </w:p>
        </w:tc>
      </w:tr>
    </w:tbl>
    <w:p w:rsidR="00000000" w:rsidRDefault="00457650">
      <w:pPr>
        <w:widowControl/>
        <w:tabs>
          <w:tab w:val="left" w:pos="630"/>
        </w:tabs>
        <w:spacing w:after="240" w:line="360" w:lineRule="exact"/>
        <w:rPr>
          <w:rFonts w:hint="eastAsia"/>
          <w:sz w:val="18"/>
        </w:rPr>
      </w:pPr>
      <w:r>
        <w:rPr>
          <w:rFonts w:eastAsia="KaiTi_GB2312" w:hint="eastAsia"/>
          <w:sz w:val="18"/>
        </w:rPr>
        <w:t>资料来源</w:t>
      </w:r>
      <w:r>
        <w:rPr>
          <w:rFonts w:hint="eastAsia"/>
          <w:sz w:val="18"/>
        </w:rPr>
        <w:t>：</w:t>
      </w:r>
      <w:r>
        <w:rPr>
          <w:rFonts w:hint="eastAsia"/>
          <w:sz w:val="18"/>
        </w:rPr>
        <w:t>SASA</w:t>
      </w:r>
      <w:r>
        <w:rPr>
          <w:rFonts w:hint="eastAsia"/>
          <w:sz w:val="18"/>
        </w:rPr>
        <w:t>。</w:t>
      </w:r>
    </w:p>
    <w:p w:rsidR="00000000" w:rsidRDefault="00457650">
      <w:pPr>
        <w:widowControl/>
        <w:tabs>
          <w:tab w:val="left" w:pos="630"/>
        </w:tabs>
        <w:spacing w:after="240" w:line="360" w:lineRule="exact"/>
        <w:rPr>
          <w:rFonts w:hint="eastAsia"/>
        </w:rPr>
      </w:pPr>
      <w:r>
        <w:rPr>
          <w:rFonts w:hint="eastAsia"/>
        </w:rPr>
        <w:t>661.</w:t>
      </w:r>
      <w:r>
        <w:rPr>
          <w:rFonts w:hint="eastAsia"/>
        </w:rPr>
        <w:tab/>
        <w:t>2003</w:t>
      </w:r>
      <w:r>
        <w:rPr>
          <w:rFonts w:hint="eastAsia"/>
        </w:rPr>
        <w:t>年完成这一级教育的人数是</w:t>
      </w:r>
      <w:r>
        <w:rPr>
          <w:rFonts w:hint="eastAsia"/>
        </w:rPr>
        <w:t>536 310</w:t>
      </w:r>
      <w:r>
        <w:rPr>
          <w:rFonts w:hint="eastAsia"/>
        </w:rPr>
        <w:t>人。其中</w:t>
      </w:r>
      <w:r>
        <w:rPr>
          <w:rFonts w:hint="eastAsia"/>
        </w:rPr>
        <w:t>39%</w:t>
      </w:r>
      <w:r>
        <w:rPr>
          <w:rFonts w:hint="eastAsia"/>
        </w:rPr>
        <w:t>是男性，</w:t>
      </w:r>
      <w:r>
        <w:rPr>
          <w:rFonts w:hint="eastAsia"/>
        </w:rPr>
        <w:t>61%</w:t>
      </w:r>
      <w:r>
        <w:rPr>
          <w:rFonts w:hint="eastAsia"/>
        </w:rPr>
        <w:t>是女性，女性是男性的两</w:t>
      </w:r>
      <w:r>
        <w:rPr>
          <w:rFonts w:hint="eastAsia"/>
        </w:rPr>
        <w:t>倍。</w:t>
      </w:r>
    </w:p>
    <w:p w:rsidR="00000000" w:rsidRDefault="00457650">
      <w:pPr>
        <w:widowControl/>
        <w:tabs>
          <w:tab w:val="left" w:pos="630"/>
        </w:tabs>
        <w:spacing w:after="240" w:line="360" w:lineRule="exact"/>
        <w:rPr>
          <w:rFonts w:hint="eastAsia"/>
        </w:rPr>
      </w:pPr>
      <w:r>
        <w:rPr>
          <w:rFonts w:hint="eastAsia"/>
        </w:rPr>
        <w:t>662.</w:t>
      </w:r>
      <w:r>
        <w:rPr>
          <w:rFonts w:hint="eastAsia"/>
        </w:rPr>
        <w:tab/>
      </w:r>
      <w:r>
        <w:rPr>
          <w:rFonts w:hint="eastAsia"/>
        </w:rPr>
        <w:t>同一栏中，</w:t>
      </w:r>
      <w:r>
        <w:rPr>
          <w:rFonts w:hint="eastAsia"/>
        </w:rPr>
        <w:t>15</w:t>
      </w:r>
      <w:r>
        <w:t>-</w:t>
      </w:r>
      <w:r>
        <w:rPr>
          <w:rFonts w:hint="eastAsia"/>
        </w:rPr>
        <w:t>19</w:t>
      </w:r>
      <w:r>
        <w:rPr>
          <w:rFonts w:hint="eastAsia"/>
        </w:rPr>
        <w:t>岁年龄组参加人数最多（</w:t>
      </w:r>
      <w:r>
        <w:rPr>
          <w:rFonts w:hint="eastAsia"/>
        </w:rPr>
        <w:t>123 483</w:t>
      </w:r>
      <w:r>
        <w:rPr>
          <w:rFonts w:hint="eastAsia"/>
        </w:rPr>
        <w:t>人），达到总数的</w:t>
      </w:r>
      <w:r>
        <w:rPr>
          <w:rFonts w:hint="eastAsia"/>
        </w:rPr>
        <w:t>23%</w:t>
      </w:r>
      <w:r>
        <w:rPr>
          <w:rFonts w:hint="eastAsia"/>
        </w:rPr>
        <w:t>，参加人数最少的是</w:t>
      </w:r>
      <w:r>
        <w:rPr>
          <w:rFonts w:hint="eastAsia"/>
        </w:rPr>
        <w:t>10</w:t>
      </w:r>
      <w:r>
        <w:t>-</w:t>
      </w:r>
      <w:r>
        <w:rPr>
          <w:rFonts w:hint="eastAsia"/>
        </w:rPr>
        <w:t>14</w:t>
      </w:r>
      <w:r>
        <w:rPr>
          <w:rFonts w:hint="eastAsia"/>
        </w:rPr>
        <w:t>岁年龄组，只有</w:t>
      </w:r>
      <w:r>
        <w:rPr>
          <w:rFonts w:hint="eastAsia"/>
        </w:rPr>
        <w:t>1 899</w:t>
      </w:r>
      <w:r>
        <w:rPr>
          <w:rFonts w:hint="eastAsia"/>
        </w:rPr>
        <w:t>人参加。最有趣的是在这一级，每个男性都完成了教育，女性只有</w:t>
      </w:r>
      <w:r>
        <w:rPr>
          <w:rFonts w:hint="eastAsia"/>
        </w:rPr>
        <w:t>1</w:t>
      </w:r>
      <w:r>
        <w:rPr>
          <w:rFonts w:hint="eastAsia"/>
        </w:rPr>
        <w:t>人。</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58</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663.</w:t>
      </w:r>
      <w:r>
        <w:rPr>
          <w:rFonts w:hint="eastAsia"/>
        </w:rPr>
        <w:tab/>
      </w:r>
      <w:r>
        <w:rPr>
          <w:rFonts w:hint="eastAsia"/>
        </w:rPr>
        <w:t>国家教育系统开展了许多满足土著学龄人口教育和学习需要的活动。在</w:t>
      </w:r>
      <w:r>
        <w:rPr>
          <w:rFonts w:hint="eastAsia"/>
        </w:rPr>
        <w:t>2002</w:t>
      </w:r>
      <w:r>
        <w:t>-</w:t>
      </w:r>
      <w:r>
        <w:rPr>
          <w:rFonts w:hint="eastAsia"/>
        </w:rPr>
        <w:t>2003</w:t>
      </w:r>
      <w:r>
        <w:rPr>
          <w:rFonts w:hint="eastAsia"/>
        </w:rPr>
        <w:t>学期，向</w:t>
      </w:r>
      <w:r>
        <w:rPr>
          <w:rFonts w:hint="eastAsia"/>
        </w:rPr>
        <w:t>837 296</w:t>
      </w:r>
      <w:r>
        <w:rPr>
          <w:rFonts w:hint="eastAsia"/>
        </w:rPr>
        <w:t>名土著儿童提供了初等教育，这比</w:t>
      </w:r>
      <w:r>
        <w:rPr>
          <w:rFonts w:hint="eastAsia"/>
        </w:rPr>
        <w:t>1998</w:t>
      </w:r>
      <w:r>
        <w:t>-</w:t>
      </w:r>
      <w:r>
        <w:rPr>
          <w:rFonts w:hint="eastAsia"/>
        </w:rPr>
        <w:t>1999</w:t>
      </w:r>
      <w:r>
        <w:rPr>
          <w:rFonts w:hint="eastAsia"/>
        </w:rPr>
        <w:t>学期增加了</w:t>
      </w:r>
      <w:r>
        <w:rPr>
          <w:rFonts w:hint="eastAsia"/>
        </w:rPr>
        <w:t>9.6%</w:t>
      </w:r>
      <w:r>
        <w:rPr>
          <w:rFonts w:hint="eastAsia"/>
        </w:rPr>
        <w:t>；也就是说，增加了</w:t>
      </w:r>
      <w:r>
        <w:rPr>
          <w:rFonts w:hint="eastAsia"/>
        </w:rPr>
        <w:t>73 000</w:t>
      </w:r>
      <w:r>
        <w:rPr>
          <w:rFonts w:hint="eastAsia"/>
        </w:rPr>
        <w:t>名土著儿童；这表明该教育方法比其他初等教育方法更加普遍适用。</w:t>
      </w:r>
    </w:p>
    <w:p w:rsidR="00000000" w:rsidRDefault="00457650">
      <w:pPr>
        <w:widowControl/>
        <w:tabs>
          <w:tab w:val="left" w:pos="630"/>
        </w:tabs>
        <w:spacing w:after="240" w:line="360" w:lineRule="exact"/>
        <w:jc w:val="center"/>
        <w:rPr>
          <w:rFonts w:ascii="SimHei" w:eastAsia="SimHei" w:hint="eastAsia"/>
        </w:rPr>
      </w:pPr>
      <w:r>
        <w:rPr>
          <w:rFonts w:ascii="SimHei" w:eastAsia="SimHei" w:hint="eastAsia"/>
        </w:rPr>
        <w:t>地方初等教育入学率</w:t>
      </w:r>
    </w:p>
    <w:tbl>
      <w:tblPr>
        <w:tblW w:w="4888" w:type="pct"/>
        <w:tblInd w:w="108" w:type="dxa"/>
        <w:tblBorders>
          <w:top w:val="single" w:sz="4" w:space="0" w:color="auto"/>
          <w:bottom w:val="single" w:sz="4" w:space="0" w:color="auto"/>
        </w:tblBorders>
        <w:tblLook w:val="0000" w:firstRow="0" w:lastRow="0" w:firstColumn="0" w:lastColumn="0" w:noHBand="0" w:noVBand="0"/>
      </w:tblPr>
      <w:tblGrid>
        <w:gridCol w:w="2409"/>
        <w:gridCol w:w="2478"/>
        <w:gridCol w:w="2478"/>
        <w:gridCol w:w="2476"/>
      </w:tblGrid>
      <w:tr w:rsidR="00000000">
        <w:tblPrEx>
          <w:tblCellMar>
            <w:top w:w="0" w:type="dxa"/>
            <w:bottom w:w="0" w:type="dxa"/>
          </w:tblCellMar>
        </w:tblPrEx>
        <w:trPr>
          <w:tblHeader/>
        </w:trPr>
        <w:tc>
          <w:tcPr>
            <w:tcW w:w="1224" w:type="pct"/>
            <w:tcBorders>
              <w:top w:val="single" w:sz="4" w:space="0" w:color="auto"/>
              <w:bottom w:val="single" w:sz="4" w:space="0" w:color="auto"/>
            </w:tcBorders>
          </w:tcPr>
          <w:p w:rsidR="00000000" w:rsidRDefault="00457650">
            <w:pPr>
              <w:widowControl/>
              <w:tabs>
                <w:tab w:val="left" w:pos="630"/>
              </w:tabs>
              <w:spacing w:before="60" w:after="120" w:line="320" w:lineRule="exact"/>
              <w:jc w:val="center"/>
              <w:rPr>
                <w:rFonts w:eastAsia="KaiTi_GB2312" w:hint="eastAsia"/>
                <w:sz w:val="18"/>
              </w:rPr>
            </w:pPr>
            <w:r>
              <w:rPr>
                <w:rFonts w:eastAsia="KaiTi_GB2312" w:hint="eastAsia"/>
                <w:sz w:val="18"/>
              </w:rPr>
              <w:t>学年</w:t>
            </w:r>
          </w:p>
        </w:tc>
        <w:tc>
          <w:tcPr>
            <w:tcW w:w="1259" w:type="pct"/>
            <w:tcBorders>
              <w:top w:val="single" w:sz="4" w:space="0" w:color="auto"/>
              <w:bottom w:val="single" w:sz="4" w:space="0" w:color="auto"/>
            </w:tcBorders>
          </w:tcPr>
          <w:p w:rsidR="00000000" w:rsidRDefault="00457650">
            <w:pPr>
              <w:widowControl/>
              <w:tabs>
                <w:tab w:val="left" w:pos="630"/>
              </w:tabs>
              <w:spacing w:before="60" w:after="120" w:line="320" w:lineRule="exact"/>
              <w:jc w:val="center"/>
              <w:rPr>
                <w:rFonts w:eastAsia="KaiTi_GB2312" w:hint="eastAsia"/>
                <w:sz w:val="18"/>
              </w:rPr>
            </w:pPr>
            <w:r>
              <w:rPr>
                <w:rFonts w:eastAsia="KaiTi_GB2312" w:hint="eastAsia"/>
                <w:sz w:val="18"/>
              </w:rPr>
              <w:t>学生</w:t>
            </w:r>
          </w:p>
        </w:tc>
        <w:tc>
          <w:tcPr>
            <w:tcW w:w="1259" w:type="pct"/>
            <w:tcBorders>
              <w:top w:val="single" w:sz="4" w:space="0" w:color="auto"/>
              <w:bottom w:val="single" w:sz="4" w:space="0" w:color="auto"/>
            </w:tcBorders>
          </w:tcPr>
          <w:p w:rsidR="00000000" w:rsidRDefault="00457650">
            <w:pPr>
              <w:pStyle w:val="a3"/>
              <w:widowControl/>
              <w:tabs>
                <w:tab w:val="left" w:pos="630"/>
              </w:tabs>
              <w:adjustRightInd w:val="0"/>
              <w:spacing w:before="60" w:after="120" w:line="320" w:lineRule="exact"/>
              <w:jc w:val="center"/>
              <w:textAlignment w:val="baseline"/>
              <w:rPr>
                <w:rFonts w:eastAsia="KaiTi_GB2312" w:hint="eastAsia"/>
                <w:kern w:val="0"/>
                <w:szCs w:val="20"/>
              </w:rPr>
            </w:pPr>
            <w:r>
              <w:rPr>
                <w:rFonts w:eastAsia="KaiTi_GB2312" w:hint="eastAsia"/>
                <w:kern w:val="0"/>
                <w:szCs w:val="20"/>
              </w:rPr>
              <w:t>教师</w:t>
            </w:r>
          </w:p>
        </w:tc>
        <w:tc>
          <w:tcPr>
            <w:tcW w:w="1259" w:type="pct"/>
            <w:tcBorders>
              <w:top w:val="single" w:sz="4" w:space="0" w:color="auto"/>
              <w:bottom w:val="single" w:sz="4" w:space="0" w:color="auto"/>
            </w:tcBorders>
          </w:tcPr>
          <w:p w:rsidR="00000000" w:rsidRDefault="00457650">
            <w:pPr>
              <w:widowControl/>
              <w:tabs>
                <w:tab w:val="left" w:pos="630"/>
              </w:tabs>
              <w:spacing w:before="60" w:after="120" w:line="320" w:lineRule="exact"/>
              <w:jc w:val="center"/>
              <w:rPr>
                <w:rFonts w:eastAsia="KaiTi_GB2312" w:hint="eastAsia"/>
                <w:sz w:val="18"/>
              </w:rPr>
            </w:pPr>
            <w:r>
              <w:rPr>
                <w:rFonts w:eastAsia="KaiTi_GB2312" w:hint="eastAsia"/>
                <w:sz w:val="18"/>
              </w:rPr>
              <w:t>学校</w:t>
            </w:r>
          </w:p>
        </w:tc>
      </w:tr>
      <w:tr w:rsidR="00000000">
        <w:tblPrEx>
          <w:tblCellMar>
            <w:top w:w="0" w:type="dxa"/>
            <w:bottom w:w="0" w:type="dxa"/>
          </w:tblCellMar>
        </w:tblPrEx>
        <w:tc>
          <w:tcPr>
            <w:tcW w:w="1224" w:type="pct"/>
            <w:tcBorders>
              <w:top w:val="single" w:sz="4" w:space="0" w:color="auto"/>
              <w:bottom w:val="single" w:sz="4" w:space="0" w:color="auto"/>
            </w:tcBorders>
          </w:tcPr>
          <w:p w:rsidR="00000000" w:rsidRDefault="00457650">
            <w:pPr>
              <w:widowControl/>
              <w:tabs>
                <w:tab w:val="left" w:pos="630"/>
              </w:tabs>
              <w:spacing w:before="60" w:after="120" w:line="320" w:lineRule="exact"/>
              <w:rPr>
                <w:rFonts w:hint="eastAsia"/>
                <w:sz w:val="18"/>
              </w:rPr>
            </w:pPr>
            <w:r>
              <w:rPr>
                <w:rFonts w:hint="eastAsia"/>
                <w:sz w:val="18"/>
              </w:rPr>
              <w:t>1998/1999</w:t>
            </w:r>
            <w:r>
              <w:rPr>
                <w:rFonts w:hint="eastAsia"/>
                <w:sz w:val="18"/>
              </w:rPr>
              <w:t>年</w:t>
            </w:r>
          </w:p>
        </w:tc>
        <w:tc>
          <w:tcPr>
            <w:tcW w:w="1259" w:type="pct"/>
            <w:tcBorders>
              <w:top w:val="single" w:sz="4" w:space="0" w:color="auto"/>
              <w:bottom w:val="single" w:sz="4" w:space="0" w:color="auto"/>
            </w:tcBorders>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763 543</w:t>
            </w:r>
          </w:p>
        </w:tc>
        <w:tc>
          <w:tcPr>
            <w:tcW w:w="1259" w:type="pct"/>
            <w:tcBorders>
              <w:top w:val="single" w:sz="4" w:space="0" w:color="auto"/>
              <w:bottom w:val="single" w:sz="4" w:space="0" w:color="auto"/>
            </w:tcBorders>
          </w:tcPr>
          <w:p w:rsidR="00000000" w:rsidRDefault="00457650">
            <w:pPr>
              <w:widowControl/>
              <w:tabs>
                <w:tab w:val="left" w:pos="630"/>
              </w:tabs>
              <w:spacing w:before="60" w:after="120" w:line="320" w:lineRule="exact"/>
              <w:jc w:val="center"/>
              <w:rPr>
                <w:rFonts w:hint="eastAsia"/>
                <w:sz w:val="18"/>
              </w:rPr>
            </w:pPr>
            <w:r>
              <w:rPr>
                <w:rFonts w:hint="eastAsia"/>
                <w:sz w:val="18"/>
              </w:rPr>
              <w:t>30 738</w:t>
            </w:r>
          </w:p>
        </w:tc>
        <w:tc>
          <w:tcPr>
            <w:tcW w:w="1259" w:type="pct"/>
            <w:tcBorders>
              <w:top w:val="single" w:sz="4" w:space="0" w:color="auto"/>
              <w:bottom w:val="single" w:sz="4" w:space="0" w:color="auto"/>
            </w:tcBorders>
          </w:tcPr>
          <w:p w:rsidR="00000000" w:rsidRDefault="00457650">
            <w:pPr>
              <w:widowControl/>
              <w:tabs>
                <w:tab w:val="left" w:pos="630"/>
              </w:tabs>
              <w:spacing w:before="60" w:after="120" w:line="320" w:lineRule="exact"/>
              <w:jc w:val="center"/>
              <w:rPr>
                <w:rFonts w:hint="eastAsia"/>
                <w:sz w:val="18"/>
              </w:rPr>
            </w:pPr>
            <w:r>
              <w:rPr>
                <w:rFonts w:hint="eastAsia"/>
                <w:sz w:val="18"/>
              </w:rPr>
              <w:t>8 429</w:t>
            </w:r>
          </w:p>
        </w:tc>
      </w:tr>
      <w:tr w:rsidR="00000000">
        <w:tblPrEx>
          <w:tblCellMar>
            <w:top w:w="0" w:type="dxa"/>
            <w:bottom w:w="0" w:type="dxa"/>
          </w:tblCellMar>
        </w:tblPrEx>
        <w:tc>
          <w:tcPr>
            <w:tcW w:w="1224" w:type="pct"/>
            <w:tcBorders>
              <w:top w:val="single" w:sz="4" w:space="0" w:color="auto"/>
            </w:tcBorders>
          </w:tcPr>
          <w:p w:rsidR="00000000" w:rsidRDefault="00457650">
            <w:pPr>
              <w:widowControl/>
              <w:tabs>
                <w:tab w:val="left" w:pos="630"/>
              </w:tabs>
              <w:spacing w:before="60" w:after="120" w:line="320" w:lineRule="exact"/>
              <w:rPr>
                <w:rFonts w:hint="eastAsia"/>
                <w:sz w:val="18"/>
              </w:rPr>
            </w:pPr>
            <w:r>
              <w:rPr>
                <w:rFonts w:hint="eastAsia"/>
                <w:sz w:val="18"/>
              </w:rPr>
              <w:t>1999/2000</w:t>
            </w:r>
            <w:r>
              <w:rPr>
                <w:rFonts w:hint="eastAsia"/>
                <w:sz w:val="18"/>
              </w:rPr>
              <w:t>年</w:t>
            </w:r>
          </w:p>
        </w:tc>
        <w:tc>
          <w:tcPr>
            <w:tcW w:w="1259" w:type="pct"/>
            <w:tcBorders>
              <w:top w:val="single" w:sz="4" w:space="0" w:color="auto"/>
            </w:tcBorders>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778 561</w:t>
            </w:r>
          </w:p>
        </w:tc>
        <w:tc>
          <w:tcPr>
            <w:tcW w:w="1259" w:type="pct"/>
            <w:tcBorders>
              <w:top w:val="single" w:sz="4" w:space="0" w:color="auto"/>
            </w:tcBorders>
          </w:tcPr>
          <w:p w:rsidR="00000000" w:rsidRDefault="00457650">
            <w:pPr>
              <w:widowControl/>
              <w:tabs>
                <w:tab w:val="left" w:pos="630"/>
              </w:tabs>
              <w:spacing w:before="60" w:after="120" w:line="320" w:lineRule="exact"/>
              <w:jc w:val="center"/>
              <w:rPr>
                <w:rFonts w:hint="eastAsia"/>
                <w:sz w:val="18"/>
              </w:rPr>
            </w:pPr>
            <w:r>
              <w:rPr>
                <w:rFonts w:hint="eastAsia"/>
                <w:sz w:val="18"/>
              </w:rPr>
              <w:t>31 432</w:t>
            </w:r>
          </w:p>
        </w:tc>
        <w:tc>
          <w:tcPr>
            <w:tcW w:w="1259" w:type="pct"/>
            <w:tcBorders>
              <w:top w:val="single" w:sz="4" w:space="0" w:color="auto"/>
            </w:tcBorders>
          </w:tcPr>
          <w:p w:rsidR="00000000" w:rsidRDefault="00457650">
            <w:pPr>
              <w:widowControl/>
              <w:tabs>
                <w:tab w:val="left" w:pos="630"/>
              </w:tabs>
              <w:spacing w:before="60" w:after="120" w:line="320" w:lineRule="exact"/>
              <w:jc w:val="center"/>
              <w:rPr>
                <w:rFonts w:hint="eastAsia"/>
                <w:sz w:val="18"/>
              </w:rPr>
            </w:pPr>
            <w:r>
              <w:rPr>
                <w:rFonts w:hint="eastAsia"/>
                <w:sz w:val="18"/>
              </w:rPr>
              <w:t>8 962</w:t>
            </w:r>
          </w:p>
        </w:tc>
      </w:tr>
      <w:tr w:rsidR="00000000">
        <w:tblPrEx>
          <w:tblCellMar>
            <w:top w:w="0" w:type="dxa"/>
            <w:bottom w:w="0" w:type="dxa"/>
          </w:tblCellMar>
        </w:tblPrEx>
        <w:tc>
          <w:tcPr>
            <w:tcW w:w="1224" w:type="pct"/>
          </w:tcPr>
          <w:p w:rsidR="00000000" w:rsidRDefault="00457650">
            <w:pPr>
              <w:widowControl/>
              <w:tabs>
                <w:tab w:val="left" w:pos="630"/>
              </w:tabs>
              <w:spacing w:before="60" w:after="120" w:line="320" w:lineRule="exact"/>
              <w:rPr>
                <w:rFonts w:hint="eastAsia"/>
                <w:sz w:val="18"/>
              </w:rPr>
            </w:pPr>
            <w:r>
              <w:rPr>
                <w:rFonts w:hint="eastAsia"/>
                <w:sz w:val="18"/>
              </w:rPr>
              <w:t>2000/2001</w:t>
            </w:r>
            <w:r>
              <w:rPr>
                <w:rFonts w:hint="eastAsia"/>
                <w:sz w:val="18"/>
              </w:rPr>
              <w:t>年</w:t>
            </w:r>
          </w:p>
        </w:tc>
        <w:tc>
          <w:tcPr>
            <w:tcW w:w="1259" w:type="pct"/>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792 530</w:t>
            </w:r>
          </w:p>
        </w:tc>
        <w:tc>
          <w:tcPr>
            <w:tcW w:w="1259" w:type="pct"/>
          </w:tcPr>
          <w:p w:rsidR="00000000" w:rsidRDefault="00457650">
            <w:pPr>
              <w:widowControl/>
              <w:tabs>
                <w:tab w:val="left" w:pos="630"/>
              </w:tabs>
              <w:spacing w:before="60" w:after="120" w:line="320" w:lineRule="exact"/>
              <w:jc w:val="center"/>
              <w:rPr>
                <w:rFonts w:hint="eastAsia"/>
                <w:sz w:val="18"/>
              </w:rPr>
            </w:pPr>
            <w:r>
              <w:rPr>
                <w:rFonts w:hint="eastAsia"/>
                <w:sz w:val="18"/>
              </w:rPr>
              <w:t>32 006</w:t>
            </w:r>
          </w:p>
        </w:tc>
        <w:tc>
          <w:tcPr>
            <w:tcW w:w="1259" w:type="pct"/>
          </w:tcPr>
          <w:p w:rsidR="00000000" w:rsidRDefault="00457650">
            <w:pPr>
              <w:widowControl/>
              <w:tabs>
                <w:tab w:val="left" w:pos="630"/>
              </w:tabs>
              <w:spacing w:before="60" w:after="120" w:line="320" w:lineRule="exact"/>
              <w:jc w:val="center"/>
              <w:rPr>
                <w:rFonts w:hint="eastAsia"/>
                <w:sz w:val="18"/>
              </w:rPr>
            </w:pPr>
            <w:r>
              <w:rPr>
                <w:rFonts w:hint="eastAsia"/>
                <w:sz w:val="18"/>
              </w:rPr>
              <w:t>9 065</w:t>
            </w:r>
          </w:p>
        </w:tc>
      </w:tr>
      <w:tr w:rsidR="00000000">
        <w:tblPrEx>
          <w:tblCellMar>
            <w:top w:w="0" w:type="dxa"/>
            <w:bottom w:w="0" w:type="dxa"/>
          </w:tblCellMar>
        </w:tblPrEx>
        <w:tc>
          <w:tcPr>
            <w:tcW w:w="1224" w:type="pct"/>
          </w:tcPr>
          <w:p w:rsidR="00000000" w:rsidRDefault="00457650">
            <w:pPr>
              <w:widowControl/>
              <w:tabs>
                <w:tab w:val="left" w:pos="630"/>
              </w:tabs>
              <w:spacing w:before="60" w:after="120" w:line="320" w:lineRule="exact"/>
              <w:rPr>
                <w:rFonts w:hint="eastAsia"/>
                <w:sz w:val="18"/>
              </w:rPr>
            </w:pPr>
            <w:r>
              <w:rPr>
                <w:rFonts w:hint="eastAsia"/>
                <w:sz w:val="18"/>
              </w:rPr>
              <w:t>2001/2002</w:t>
            </w:r>
            <w:r>
              <w:rPr>
                <w:rFonts w:hint="eastAsia"/>
                <w:sz w:val="18"/>
              </w:rPr>
              <w:t>年</w:t>
            </w:r>
          </w:p>
        </w:tc>
        <w:tc>
          <w:tcPr>
            <w:tcW w:w="1259" w:type="pct"/>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818 355</w:t>
            </w:r>
          </w:p>
        </w:tc>
        <w:tc>
          <w:tcPr>
            <w:tcW w:w="1259" w:type="pct"/>
          </w:tcPr>
          <w:p w:rsidR="00000000" w:rsidRDefault="00457650">
            <w:pPr>
              <w:widowControl/>
              <w:tabs>
                <w:tab w:val="left" w:pos="630"/>
              </w:tabs>
              <w:spacing w:before="60" w:after="120" w:line="320" w:lineRule="exact"/>
              <w:jc w:val="center"/>
              <w:rPr>
                <w:rFonts w:hint="eastAsia"/>
                <w:sz w:val="18"/>
              </w:rPr>
            </w:pPr>
            <w:r>
              <w:rPr>
                <w:rFonts w:hint="eastAsia"/>
                <w:sz w:val="18"/>
              </w:rPr>
              <w:t>33 089</w:t>
            </w:r>
          </w:p>
        </w:tc>
        <w:tc>
          <w:tcPr>
            <w:tcW w:w="1259" w:type="pct"/>
          </w:tcPr>
          <w:p w:rsidR="00000000" w:rsidRDefault="00457650">
            <w:pPr>
              <w:widowControl/>
              <w:tabs>
                <w:tab w:val="left" w:pos="630"/>
              </w:tabs>
              <w:spacing w:before="60" w:after="120" w:line="320" w:lineRule="exact"/>
              <w:jc w:val="center"/>
              <w:rPr>
                <w:rFonts w:hint="eastAsia"/>
                <w:sz w:val="18"/>
              </w:rPr>
            </w:pPr>
            <w:r>
              <w:rPr>
                <w:rFonts w:hint="eastAsia"/>
                <w:sz w:val="18"/>
              </w:rPr>
              <w:t>9 307</w:t>
            </w:r>
          </w:p>
        </w:tc>
      </w:tr>
      <w:tr w:rsidR="00000000">
        <w:tblPrEx>
          <w:tblCellMar>
            <w:top w:w="0" w:type="dxa"/>
            <w:bottom w:w="0" w:type="dxa"/>
          </w:tblCellMar>
        </w:tblPrEx>
        <w:tc>
          <w:tcPr>
            <w:tcW w:w="1224" w:type="pct"/>
          </w:tcPr>
          <w:p w:rsidR="00000000" w:rsidRDefault="00457650">
            <w:pPr>
              <w:widowControl/>
              <w:tabs>
                <w:tab w:val="left" w:pos="630"/>
              </w:tabs>
              <w:spacing w:before="60" w:after="120" w:line="320" w:lineRule="exact"/>
              <w:rPr>
                <w:rFonts w:hint="eastAsia"/>
                <w:sz w:val="18"/>
              </w:rPr>
            </w:pPr>
            <w:r>
              <w:rPr>
                <w:rFonts w:hint="eastAsia"/>
                <w:sz w:val="18"/>
              </w:rPr>
              <w:t>2002/2003</w:t>
            </w:r>
            <w:r>
              <w:rPr>
                <w:rFonts w:hint="eastAsia"/>
                <w:sz w:val="18"/>
              </w:rPr>
              <w:t>年</w:t>
            </w:r>
          </w:p>
        </w:tc>
        <w:tc>
          <w:tcPr>
            <w:tcW w:w="1259" w:type="pct"/>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837 296</w:t>
            </w:r>
          </w:p>
        </w:tc>
        <w:tc>
          <w:tcPr>
            <w:tcW w:w="1259" w:type="pct"/>
          </w:tcPr>
          <w:p w:rsidR="00000000" w:rsidRDefault="00457650">
            <w:pPr>
              <w:widowControl/>
              <w:tabs>
                <w:tab w:val="left" w:pos="630"/>
              </w:tabs>
              <w:spacing w:before="60" w:after="120" w:line="320" w:lineRule="exact"/>
              <w:jc w:val="center"/>
              <w:rPr>
                <w:rFonts w:hint="eastAsia"/>
                <w:sz w:val="18"/>
              </w:rPr>
            </w:pPr>
            <w:r>
              <w:rPr>
                <w:rFonts w:hint="eastAsia"/>
                <w:sz w:val="18"/>
              </w:rPr>
              <w:t>34 062</w:t>
            </w:r>
          </w:p>
        </w:tc>
        <w:tc>
          <w:tcPr>
            <w:tcW w:w="1259" w:type="pct"/>
          </w:tcPr>
          <w:p w:rsidR="00000000" w:rsidRDefault="00457650">
            <w:pPr>
              <w:widowControl/>
              <w:tabs>
                <w:tab w:val="left" w:pos="630"/>
              </w:tabs>
              <w:spacing w:before="60" w:after="120" w:line="320" w:lineRule="exact"/>
              <w:jc w:val="center"/>
              <w:rPr>
                <w:rFonts w:hint="eastAsia"/>
                <w:sz w:val="18"/>
              </w:rPr>
            </w:pPr>
            <w:r>
              <w:rPr>
                <w:rFonts w:hint="eastAsia"/>
                <w:sz w:val="18"/>
              </w:rPr>
              <w:t>9 470</w:t>
            </w:r>
          </w:p>
        </w:tc>
      </w:tr>
    </w:tbl>
    <w:p w:rsidR="00000000" w:rsidRDefault="00457650">
      <w:pPr>
        <w:widowControl/>
        <w:tabs>
          <w:tab w:val="left" w:pos="630"/>
        </w:tabs>
        <w:spacing w:after="240" w:line="360" w:lineRule="exact"/>
        <w:rPr>
          <w:rFonts w:hint="eastAsia"/>
          <w:sz w:val="18"/>
        </w:rPr>
      </w:pPr>
      <w:r>
        <w:rPr>
          <w:rFonts w:eastAsia="KaiTi_GB2312" w:hint="eastAsia"/>
          <w:sz w:val="18"/>
        </w:rPr>
        <w:t>资料来源</w:t>
      </w:r>
      <w:r>
        <w:rPr>
          <w:rFonts w:hint="eastAsia"/>
          <w:sz w:val="18"/>
        </w:rPr>
        <w:t>：公共教育部，国际事务处，</w:t>
      </w:r>
      <w:r>
        <w:rPr>
          <w:rFonts w:hint="eastAsia"/>
          <w:sz w:val="18"/>
        </w:rPr>
        <w:t>2004</w:t>
      </w:r>
      <w:r>
        <w:rPr>
          <w:rFonts w:hint="eastAsia"/>
          <w:sz w:val="18"/>
        </w:rPr>
        <w:t>年。</w:t>
      </w:r>
    </w:p>
    <w:p w:rsidR="00000000" w:rsidRDefault="00457650">
      <w:pPr>
        <w:widowControl/>
        <w:tabs>
          <w:tab w:val="left" w:pos="630"/>
        </w:tabs>
        <w:spacing w:after="240" w:line="360" w:lineRule="exact"/>
        <w:rPr>
          <w:rFonts w:hint="eastAsia"/>
        </w:rPr>
      </w:pPr>
      <w:r>
        <w:rPr>
          <w:rFonts w:hint="eastAsia"/>
        </w:rPr>
        <w:t>664.</w:t>
      </w:r>
      <w:r>
        <w:rPr>
          <w:rFonts w:hint="eastAsia"/>
        </w:rPr>
        <w:tab/>
      </w:r>
      <w:r>
        <w:rPr>
          <w:rFonts w:hint="eastAsia"/>
        </w:rPr>
        <w:t>另外，</w:t>
      </w:r>
      <w:r>
        <w:rPr>
          <w:rFonts w:hint="eastAsia"/>
        </w:rPr>
        <w:t>86</w:t>
      </w:r>
      <w:r>
        <w:t>.9</w:t>
      </w:r>
      <w:r>
        <w:rPr>
          <w:rFonts w:hint="eastAsia"/>
        </w:rPr>
        <w:t>%</w:t>
      </w:r>
      <w:r>
        <w:rPr>
          <w:rFonts w:hint="eastAsia"/>
        </w:rPr>
        <w:t>的小学有</w:t>
      </w:r>
      <w:r>
        <w:rPr>
          <w:rFonts w:hint="eastAsia"/>
        </w:rPr>
        <w:t>6</w:t>
      </w:r>
      <w:r>
        <w:rPr>
          <w:rFonts w:hint="eastAsia"/>
        </w:rPr>
        <w:t>个年级，但不是所有学校都为各个年级配备了授课教师。在</w:t>
      </w:r>
      <w:r>
        <w:t>73.8</w:t>
      </w:r>
      <w:r>
        <w:rPr>
          <w:rFonts w:hint="eastAsia"/>
        </w:rPr>
        <w:t>%</w:t>
      </w:r>
      <w:r>
        <w:rPr>
          <w:rFonts w:hint="eastAsia"/>
        </w:rPr>
        <w:t>的学校，有</w:t>
      </w:r>
      <w:r>
        <w:rPr>
          <w:rFonts w:hint="eastAsia"/>
        </w:rPr>
        <w:t>1-5</w:t>
      </w:r>
      <w:r>
        <w:rPr>
          <w:rFonts w:hint="eastAsia"/>
        </w:rPr>
        <w:t>名教师教授所有年级的课程，只有</w:t>
      </w:r>
      <w:r>
        <w:rPr>
          <w:rFonts w:hint="eastAsia"/>
        </w:rPr>
        <w:t>26</w:t>
      </w:r>
      <w:r>
        <w:t>.2</w:t>
      </w:r>
      <w:r>
        <w:rPr>
          <w:rFonts w:hint="eastAsia"/>
        </w:rPr>
        <w:t>%</w:t>
      </w:r>
      <w:r>
        <w:rPr>
          <w:rFonts w:hint="eastAsia"/>
        </w:rPr>
        <w:t>的学校为各个年级配备了授课教师。</w:t>
      </w:r>
    </w:p>
    <w:p w:rsidR="00000000" w:rsidRDefault="00457650">
      <w:pPr>
        <w:widowControl/>
        <w:tabs>
          <w:tab w:val="left" w:pos="630"/>
        </w:tabs>
        <w:spacing w:after="240" w:line="360" w:lineRule="exact"/>
        <w:rPr>
          <w:rFonts w:hint="eastAsia"/>
        </w:rPr>
      </w:pPr>
      <w:r>
        <w:rPr>
          <w:rFonts w:hint="eastAsia"/>
        </w:rPr>
        <w:t>665</w:t>
      </w:r>
      <w:r>
        <w:t>.</w:t>
      </w:r>
      <w:r>
        <w:rPr>
          <w:rFonts w:hint="eastAsia"/>
        </w:rPr>
        <w:tab/>
        <w:t xml:space="preserve"> </w:t>
      </w:r>
      <w:r>
        <w:rPr>
          <w:rFonts w:hint="eastAsia"/>
        </w:rPr>
        <w:t>为实现教育平均和提高教育质量开展了各种活动，从而进一步改善了小学的教育状况。</w:t>
      </w:r>
    </w:p>
    <w:p w:rsidR="00000000" w:rsidRDefault="00457650">
      <w:pPr>
        <w:widowControl/>
        <w:tabs>
          <w:tab w:val="left" w:pos="630"/>
        </w:tabs>
        <w:spacing w:after="240" w:line="360" w:lineRule="exact"/>
        <w:jc w:val="center"/>
        <w:rPr>
          <w:rFonts w:eastAsia="SimHei"/>
        </w:rPr>
      </w:pPr>
      <w:r>
        <w:rPr>
          <w:rFonts w:eastAsia="SimHei" w:hint="eastAsia"/>
        </w:rPr>
        <w:t>地方初等教育主要教育指标</w:t>
      </w:r>
    </w:p>
    <w:tbl>
      <w:tblPr>
        <w:tblW w:w="4888" w:type="pct"/>
        <w:tblInd w:w="108" w:type="dxa"/>
        <w:tblLook w:val="0000" w:firstRow="0" w:lastRow="0" w:firstColumn="0" w:lastColumn="0" w:noHBand="0" w:noVBand="0"/>
      </w:tblPr>
      <w:tblGrid>
        <w:gridCol w:w="1908"/>
        <w:gridCol w:w="2014"/>
        <w:gridCol w:w="2013"/>
        <w:gridCol w:w="2013"/>
        <w:gridCol w:w="1893"/>
      </w:tblGrid>
      <w:tr w:rsidR="00000000">
        <w:tblPrEx>
          <w:tblCellMar>
            <w:top w:w="0" w:type="dxa"/>
            <w:bottom w:w="0" w:type="dxa"/>
          </w:tblCellMar>
        </w:tblPrEx>
        <w:tc>
          <w:tcPr>
            <w:tcW w:w="969" w:type="pct"/>
            <w:tcBorders>
              <w:top w:val="single" w:sz="4" w:space="0" w:color="auto"/>
              <w:bottom w:val="single" w:sz="4" w:space="0" w:color="auto"/>
            </w:tcBorders>
          </w:tcPr>
          <w:p w:rsidR="00000000" w:rsidRDefault="00457650">
            <w:pPr>
              <w:pStyle w:val="a3"/>
              <w:widowControl/>
              <w:tabs>
                <w:tab w:val="left" w:pos="630"/>
              </w:tabs>
              <w:adjustRightInd w:val="0"/>
              <w:spacing w:before="60" w:after="120" w:line="320" w:lineRule="exact"/>
              <w:jc w:val="center"/>
              <w:textAlignment w:val="baseline"/>
              <w:rPr>
                <w:rFonts w:eastAsia="KaiTi_GB2312" w:hint="eastAsia"/>
                <w:kern w:val="0"/>
                <w:szCs w:val="20"/>
              </w:rPr>
            </w:pPr>
            <w:r>
              <w:rPr>
                <w:rFonts w:eastAsia="KaiTi_GB2312" w:hint="eastAsia"/>
                <w:kern w:val="0"/>
                <w:szCs w:val="20"/>
              </w:rPr>
              <w:t>学年</w:t>
            </w:r>
          </w:p>
        </w:tc>
        <w:tc>
          <w:tcPr>
            <w:tcW w:w="1023" w:type="pct"/>
            <w:tcBorders>
              <w:top w:val="single" w:sz="4" w:space="0" w:color="auto"/>
              <w:bottom w:val="single" w:sz="4" w:space="0" w:color="auto"/>
            </w:tcBorders>
          </w:tcPr>
          <w:p w:rsidR="00000000" w:rsidRDefault="00457650">
            <w:pPr>
              <w:pStyle w:val="a3"/>
              <w:widowControl/>
              <w:tabs>
                <w:tab w:val="left" w:pos="630"/>
              </w:tabs>
              <w:adjustRightInd w:val="0"/>
              <w:spacing w:before="60" w:after="120" w:line="320" w:lineRule="exact"/>
              <w:jc w:val="center"/>
              <w:textAlignment w:val="baseline"/>
              <w:rPr>
                <w:rFonts w:eastAsia="KaiTi_GB2312" w:hint="eastAsia"/>
                <w:kern w:val="0"/>
                <w:szCs w:val="20"/>
              </w:rPr>
            </w:pPr>
            <w:r>
              <w:rPr>
                <w:rFonts w:eastAsia="KaiTi_GB2312" w:hint="eastAsia"/>
                <w:kern w:val="0"/>
                <w:szCs w:val="20"/>
              </w:rPr>
              <w:t>升学率</w:t>
            </w:r>
          </w:p>
        </w:tc>
        <w:tc>
          <w:tcPr>
            <w:tcW w:w="1023" w:type="pct"/>
            <w:tcBorders>
              <w:top w:val="single" w:sz="4" w:space="0" w:color="auto"/>
              <w:bottom w:val="single" w:sz="4" w:space="0" w:color="auto"/>
            </w:tcBorders>
          </w:tcPr>
          <w:p w:rsidR="00000000" w:rsidRDefault="00457650">
            <w:pPr>
              <w:pStyle w:val="a3"/>
              <w:widowControl/>
              <w:tabs>
                <w:tab w:val="left" w:pos="630"/>
              </w:tabs>
              <w:adjustRightInd w:val="0"/>
              <w:spacing w:before="60" w:after="120" w:line="320" w:lineRule="exact"/>
              <w:jc w:val="center"/>
              <w:textAlignment w:val="baseline"/>
              <w:rPr>
                <w:rFonts w:eastAsia="KaiTi_GB2312" w:hint="eastAsia"/>
                <w:kern w:val="0"/>
                <w:szCs w:val="20"/>
              </w:rPr>
            </w:pPr>
            <w:r>
              <w:rPr>
                <w:rFonts w:eastAsia="KaiTi_GB2312" w:hint="eastAsia"/>
                <w:kern w:val="0"/>
                <w:szCs w:val="20"/>
              </w:rPr>
              <w:t>辍学率</w:t>
            </w:r>
          </w:p>
        </w:tc>
        <w:tc>
          <w:tcPr>
            <w:tcW w:w="1023" w:type="pct"/>
            <w:tcBorders>
              <w:top w:val="single" w:sz="4" w:space="0" w:color="auto"/>
              <w:bottom w:val="single" w:sz="4" w:space="0" w:color="auto"/>
            </w:tcBorders>
          </w:tcPr>
          <w:p w:rsidR="00000000" w:rsidRDefault="00457650">
            <w:pPr>
              <w:pStyle w:val="a3"/>
              <w:widowControl/>
              <w:tabs>
                <w:tab w:val="left" w:pos="630"/>
              </w:tabs>
              <w:adjustRightInd w:val="0"/>
              <w:spacing w:before="60" w:after="120" w:line="320" w:lineRule="exact"/>
              <w:jc w:val="center"/>
              <w:textAlignment w:val="baseline"/>
              <w:rPr>
                <w:rFonts w:eastAsia="KaiTi_GB2312" w:hint="eastAsia"/>
                <w:kern w:val="0"/>
                <w:szCs w:val="20"/>
              </w:rPr>
            </w:pPr>
            <w:r>
              <w:rPr>
                <w:rFonts w:eastAsia="KaiTi_GB2312" w:hint="eastAsia"/>
                <w:kern w:val="0"/>
                <w:szCs w:val="20"/>
              </w:rPr>
              <w:t>及格率</w:t>
            </w:r>
          </w:p>
        </w:tc>
        <w:tc>
          <w:tcPr>
            <w:tcW w:w="962" w:type="pct"/>
            <w:tcBorders>
              <w:top w:val="single" w:sz="4" w:space="0" w:color="auto"/>
              <w:bottom w:val="single" w:sz="4" w:space="0" w:color="auto"/>
            </w:tcBorders>
          </w:tcPr>
          <w:p w:rsidR="00000000" w:rsidRDefault="00457650">
            <w:pPr>
              <w:pStyle w:val="a3"/>
              <w:widowControl/>
              <w:tabs>
                <w:tab w:val="left" w:pos="630"/>
              </w:tabs>
              <w:adjustRightInd w:val="0"/>
              <w:spacing w:before="60" w:after="120" w:line="320" w:lineRule="exact"/>
              <w:jc w:val="center"/>
              <w:textAlignment w:val="baseline"/>
              <w:rPr>
                <w:rFonts w:eastAsia="KaiTi_GB2312" w:hint="eastAsia"/>
                <w:kern w:val="0"/>
                <w:szCs w:val="20"/>
              </w:rPr>
            </w:pPr>
            <w:r>
              <w:rPr>
                <w:rFonts w:eastAsia="KaiTi_GB2312" w:hint="eastAsia"/>
                <w:kern w:val="0"/>
                <w:szCs w:val="20"/>
              </w:rPr>
              <w:t>不及格率</w:t>
            </w:r>
          </w:p>
        </w:tc>
      </w:tr>
      <w:tr w:rsidR="00000000">
        <w:tblPrEx>
          <w:tblCellMar>
            <w:top w:w="0" w:type="dxa"/>
            <w:bottom w:w="0" w:type="dxa"/>
          </w:tblCellMar>
        </w:tblPrEx>
        <w:tc>
          <w:tcPr>
            <w:tcW w:w="969" w:type="pct"/>
            <w:tcBorders>
              <w:top w:val="single" w:sz="4" w:space="0" w:color="auto"/>
            </w:tcBorders>
          </w:tcPr>
          <w:p w:rsidR="00000000" w:rsidRDefault="00457650">
            <w:pPr>
              <w:widowControl/>
              <w:tabs>
                <w:tab w:val="left" w:pos="630"/>
              </w:tabs>
              <w:spacing w:before="60" w:after="120" w:line="320" w:lineRule="exact"/>
              <w:rPr>
                <w:rFonts w:hint="eastAsia"/>
                <w:sz w:val="18"/>
              </w:rPr>
            </w:pPr>
            <w:r>
              <w:rPr>
                <w:rFonts w:hint="eastAsia"/>
                <w:sz w:val="18"/>
              </w:rPr>
              <w:t>1998/1999</w:t>
            </w:r>
            <w:r>
              <w:rPr>
                <w:rFonts w:hint="eastAsia"/>
                <w:sz w:val="18"/>
              </w:rPr>
              <w:t>年</w:t>
            </w:r>
          </w:p>
        </w:tc>
        <w:tc>
          <w:tcPr>
            <w:tcW w:w="1023" w:type="pct"/>
            <w:tcBorders>
              <w:top w:val="single" w:sz="4" w:space="0" w:color="auto"/>
            </w:tcBorders>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65.9</w:t>
            </w:r>
          </w:p>
        </w:tc>
        <w:tc>
          <w:tcPr>
            <w:tcW w:w="1023" w:type="pct"/>
            <w:tcBorders>
              <w:top w:val="single" w:sz="4" w:space="0" w:color="auto"/>
            </w:tcBorders>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4.8</w:t>
            </w:r>
          </w:p>
        </w:tc>
        <w:tc>
          <w:tcPr>
            <w:tcW w:w="1023" w:type="pct"/>
            <w:tcBorders>
              <w:top w:val="single" w:sz="4" w:space="0" w:color="auto"/>
            </w:tcBorders>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86.4</w:t>
            </w:r>
          </w:p>
        </w:tc>
        <w:tc>
          <w:tcPr>
            <w:tcW w:w="962" w:type="pct"/>
            <w:tcBorders>
              <w:top w:val="single" w:sz="4" w:space="0" w:color="auto"/>
            </w:tcBorders>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13.6</w:t>
            </w:r>
          </w:p>
        </w:tc>
      </w:tr>
      <w:tr w:rsidR="00000000">
        <w:tblPrEx>
          <w:tblCellMar>
            <w:top w:w="0" w:type="dxa"/>
            <w:bottom w:w="0" w:type="dxa"/>
          </w:tblCellMar>
        </w:tblPrEx>
        <w:tc>
          <w:tcPr>
            <w:tcW w:w="969" w:type="pct"/>
          </w:tcPr>
          <w:p w:rsidR="00000000" w:rsidRDefault="00457650">
            <w:pPr>
              <w:widowControl/>
              <w:tabs>
                <w:tab w:val="left" w:pos="630"/>
              </w:tabs>
              <w:spacing w:before="60" w:after="120" w:line="320" w:lineRule="exact"/>
              <w:rPr>
                <w:rFonts w:hint="eastAsia"/>
                <w:sz w:val="18"/>
              </w:rPr>
            </w:pPr>
            <w:r>
              <w:rPr>
                <w:rFonts w:hint="eastAsia"/>
                <w:sz w:val="18"/>
              </w:rPr>
              <w:t>1999/2000</w:t>
            </w:r>
            <w:r>
              <w:rPr>
                <w:rFonts w:hint="eastAsia"/>
                <w:sz w:val="18"/>
              </w:rPr>
              <w:t>年</w:t>
            </w:r>
          </w:p>
        </w:tc>
        <w:tc>
          <w:tcPr>
            <w:tcW w:w="1023" w:type="pct"/>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67.7</w:t>
            </w:r>
          </w:p>
        </w:tc>
        <w:tc>
          <w:tcPr>
            <w:tcW w:w="1023" w:type="pct"/>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4.5</w:t>
            </w:r>
          </w:p>
        </w:tc>
        <w:tc>
          <w:tcPr>
            <w:tcW w:w="1023" w:type="pct"/>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86.8</w:t>
            </w:r>
          </w:p>
        </w:tc>
        <w:tc>
          <w:tcPr>
            <w:tcW w:w="962" w:type="pct"/>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13.2</w:t>
            </w:r>
          </w:p>
        </w:tc>
      </w:tr>
      <w:tr w:rsidR="00000000">
        <w:tblPrEx>
          <w:tblCellMar>
            <w:top w:w="0" w:type="dxa"/>
            <w:bottom w:w="0" w:type="dxa"/>
          </w:tblCellMar>
        </w:tblPrEx>
        <w:tc>
          <w:tcPr>
            <w:tcW w:w="969" w:type="pct"/>
          </w:tcPr>
          <w:p w:rsidR="00000000" w:rsidRDefault="00457650">
            <w:pPr>
              <w:widowControl/>
              <w:tabs>
                <w:tab w:val="left" w:pos="630"/>
              </w:tabs>
              <w:spacing w:before="60" w:after="120" w:line="320" w:lineRule="exact"/>
              <w:rPr>
                <w:rFonts w:hint="eastAsia"/>
                <w:sz w:val="18"/>
              </w:rPr>
            </w:pPr>
            <w:r>
              <w:rPr>
                <w:rFonts w:hint="eastAsia"/>
                <w:sz w:val="18"/>
              </w:rPr>
              <w:t>2000/2001</w:t>
            </w:r>
            <w:r>
              <w:rPr>
                <w:rFonts w:hint="eastAsia"/>
                <w:sz w:val="18"/>
              </w:rPr>
              <w:t>年</w:t>
            </w:r>
          </w:p>
        </w:tc>
        <w:tc>
          <w:tcPr>
            <w:tcW w:w="1023" w:type="pct"/>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73.5</w:t>
            </w:r>
          </w:p>
        </w:tc>
        <w:tc>
          <w:tcPr>
            <w:tcW w:w="1023" w:type="pct"/>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3.8</w:t>
            </w:r>
          </w:p>
        </w:tc>
        <w:tc>
          <w:tcPr>
            <w:tcW w:w="1023" w:type="pct"/>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87.5</w:t>
            </w:r>
          </w:p>
        </w:tc>
        <w:tc>
          <w:tcPr>
            <w:tcW w:w="962" w:type="pct"/>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12.5</w:t>
            </w:r>
          </w:p>
        </w:tc>
      </w:tr>
      <w:tr w:rsidR="00000000">
        <w:tblPrEx>
          <w:tblCellMar>
            <w:top w:w="0" w:type="dxa"/>
            <w:bottom w:w="0" w:type="dxa"/>
          </w:tblCellMar>
        </w:tblPrEx>
        <w:tc>
          <w:tcPr>
            <w:tcW w:w="969" w:type="pct"/>
          </w:tcPr>
          <w:p w:rsidR="00000000" w:rsidRDefault="00457650">
            <w:pPr>
              <w:widowControl/>
              <w:tabs>
                <w:tab w:val="left" w:pos="630"/>
              </w:tabs>
              <w:spacing w:before="60" w:after="120" w:line="320" w:lineRule="exact"/>
              <w:rPr>
                <w:rFonts w:hint="eastAsia"/>
                <w:sz w:val="18"/>
              </w:rPr>
            </w:pPr>
            <w:r>
              <w:rPr>
                <w:rFonts w:hint="eastAsia"/>
                <w:sz w:val="18"/>
              </w:rPr>
              <w:t>2001/2002</w:t>
            </w:r>
            <w:r>
              <w:rPr>
                <w:rFonts w:hint="eastAsia"/>
                <w:sz w:val="18"/>
              </w:rPr>
              <w:t>年</w:t>
            </w:r>
          </w:p>
        </w:tc>
        <w:tc>
          <w:tcPr>
            <w:tcW w:w="1023" w:type="pct"/>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75.7</w:t>
            </w:r>
          </w:p>
        </w:tc>
        <w:tc>
          <w:tcPr>
            <w:tcW w:w="1023" w:type="pct"/>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3.0</w:t>
            </w:r>
          </w:p>
        </w:tc>
        <w:tc>
          <w:tcPr>
            <w:tcW w:w="1023" w:type="pct"/>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88.0</w:t>
            </w:r>
          </w:p>
        </w:tc>
        <w:tc>
          <w:tcPr>
            <w:tcW w:w="962" w:type="pct"/>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12.0</w:t>
            </w:r>
          </w:p>
        </w:tc>
      </w:tr>
      <w:tr w:rsidR="00000000">
        <w:tblPrEx>
          <w:tblCellMar>
            <w:top w:w="0" w:type="dxa"/>
            <w:bottom w:w="0" w:type="dxa"/>
          </w:tblCellMar>
        </w:tblPrEx>
        <w:tc>
          <w:tcPr>
            <w:tcW w:w="969" w:type="pct"/>
            <w:tcBorders>
              <w:bottom w:val="single" w:sz="4" w:space="0" w:color="auto"/>
            </w:tcBorders>
          </w:tcPr>
          <w:p w:rsidR="00000000" w:rsidRDefault="00457650">
            <w:pPr>
              <w:widowControl/>
              <w:tabs>
                <w:tab w:val="left" w:pos="630"/>
              </w:tabs>
              <w:spacing w:before="60" w:after="120" w:line="320" w:lineRule="exact"/>
              <w:rPr>
                <w:rFonts w:hint="eastAsia"/>
                <w:sz w:val="18"/>
              </w:rPr>
            </w:pPr>
            <w:r>
              <w:rPr>
                <w:rFonts w:hint="eastAsia"/>
                <w:sz w:val="18"/>
              </w:rPr>
              <w:t>2002/2003</w:t>
            </w:r>
            <w:r>
              <w:rPr>
                <w:rFonts w:hint="eastAsia"/>
                <w:sz w:val="18"/>
              </w:rPr>
              <w:t>年</w:t>
            </w:r>
          </w:p>
        </w:tc>
        <w:tc>
          <w:tcPr>
            <w:tcW w:w="1023" w:type="pct"/>
            <w:tcBorders>
              <w:bottom w:val="single" w:sz="4" w:space="0" w:color="auto"/>
            </w:tcBorders>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78</w:t>
            </w:r>
            <w:r>
              <w:rPr>
                <w:rFonts w:hint="eastAsia"/>
                <w:kern w:val="0"/>
                <w:szCs w:val="20"/>
              </w:rPr>
              <w:t>.9</w:t>
            </w:r>
          </w:p>
        </w:tc>
        <w:tc>
          <w:tcPr>
            <w:tcW w:w="1023" w:type="pct"/>
            <w:tcBorders>
              <w:bottom w:val="single" w:sz="4" w:space="0" w:color="auto"/>
            </w:tcBorders>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3.0</w:t>
            </w:r>
          </w:p>
        </w:tc>
        <w:tc>
          <w:tcPr>
            <w:tcW w:w="1023" w:type="pct"/>
            <w:tcBorders>
              <w:bottom w:val="single" w:sz="4" w:space="0" w:color="auto"/>
            </w:tcBorders>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88.8</w:t>
            </w:r>
          </w:p>
        </w:tc>
        <w:tc>
          <w:tcPr>
            <w:tcW w:w="962" w:type="pct"/>
            <w:tcBorders>
              <w:bottom w:val="single" w:sz="4" w:space="0" w:color="auto"/>
            </w:tcBorders>
          </w:tcPr>
          <w:p w:rsidR="00000000" w:rsidRDefault="00457650">
            <w:pPr>
              <w:pStyle w:val="a3"/>
              <w:widowControl/>
              <w:tabs>
                <w:tab w:val="left" w:pos="630"/>
              </w:tabs>
              <w:adjustRightInd w:val="0"/>
              <w:spacing w:before="60" w:after="120" w:line="320" w:lineRule="exact"/>
              <w:jc w:val="center"/>
              <w:textAlignment w:val="baseline"/>
              <w:rPr>
                <w:rFonts w:hint="eastAsia"/>
                <w:kern w:val="0"/>
                <w:szCs w:val="20"/>
              </w:rPr>
            </w:pPr>
            <w:r>
              <w:rPr>
                <w:rFonts w:hint="eastAsia"/>
                <w:kern w:val="0"/>
                <w:szCs w:val="20"/>
              </w:rPr>
              <w:t>11.2</w:t>
            </w:r>
          </w:p>
        </w:tc>
      </w:tr>
    </w:tbl>
    <w:p w:rsidR="00000000" w:rsidRDefault="00457650">
      <w:pPr>
        <w:widowControl/>
        <w:tabs>
          <w:tab w:val="left" w:pos="630"/>
        </w:tabs>
        <w:spacing w:after="240" w:line="360" w:lineRule="exact"/>
        <w:rPr>
          <w:rFonts w:hint="eastAsia"/>
          <w:sz w:val="18"/>
        </w:rPr>
      </w:pPr>
      <w:r>
        <w:rPr>
          <w:rFonts w:eastAsia="KaiTi_GB2312" w:hint="eastAsia"/>
          <w:sz w:val="18"/>
        </w:rPr>
        <w:t>资料来源</w:t>
      </w:r>
      <w:r>
        <w:rPr>
          <w:rFonts w:hint="eastAsia"/>
          <w:sz w:val="18"/>
        </w:rPr>
        <w:t>：公共教育部，国际事务处，</w:t>
      </w:r>
      <w:r>
        <w:rPr>
          <w:rFonts w:hint="eastAsia"/>
          <w:sz w:val="18"/>
        </w:rPr>
        <w:t>2004</w:t>
      </w:r>
      <w:r>
        <w:rPr>
          <w:rFonts w:hint="eastAsia"/>
          <w:sz w:val="18"/>
        </w:rPr>
        <w:t>年。</w:t>
      </w:r>
    </w:p>
    <w:p w:rsidR="00000000" w:rsidRDefault="00457650">
      <w:pPr>
        <w:widowControl/>
        <w:tabs>
          <w:tab w:val="left" w:pos="630"/>
        </w:tabs>
        <w:spacing w:after="240" w:line="380" w:lineRule="exact"/>
        <w:rPr>
          <w:rFonts w:hint="eastAsia"/>
        </w:rPr>
      </w:pPr>
      <w:r>
        <w:rPr>
          <w:rFonts w:hint="eastAsia"/>
        </w:rPr>
        <w:t>666</w:t>
      </w:r>
      <w:r>
        <w:t>.</w:t>
      </w:r>
      <w:r>
        <w:rPr>
          <w:rFonts w:hint="eastAsia"/>
        </w:rPr>
        <w:tab/>
      </w:r>
      <w:r>
        <w:rPr>
          <w:rFonts w:hint="eastAsia"/>
        </w:rPr>
        <w:t>据估计，同</w:t>
      </w:r>
      <w:r>
        <w:rPr>
          <w:rFonts w:hint="eastAsia"/>
        </w:rPr>
        <w:t>2002-2003</w:t>
      </w:r>
      <w:r>
        <w:rPr>
          <w:rFonts w:hint="eastAsia"/>
        </w:rPr>
        <w:t>学年相比，</w:t>
      </w:r>
      <w:r>
        <w:rPr>
          <w:rFonts w:hint="eastAsia"/>
        </w:rPr>
        <w:t>2003-2004</w:t>
      </w:r>
      <w:r>
        <w:rPr>
          <w:rFonts w:hint="eastAsia"/>
        </w:rPr>
        <w:t>学年结束时，不及格率将降低</w:t>
      </w:r>
      <w:r>
        <w:t>0.1</w:t>
      </w:r>
      <w:r>
        <w:rPr>
          <w:rFonts w:hint="eastAsia"/>
        </w:rPr>
        <w:t>%</w:t>
      </w:r>
      <w:r>
        <w:rPr>
          <w:rFonts w:hint="eastAsia"/>
        </w:rPr>
        <w:t>，为</w:t>
      </w:r>
      <w:r>
        <w:rPr>
          <w:rFonts w:hint="eastAsia"/>
        </w:rPr>
        <w:t>11</w:t>
      </w:r>
      <w:r>
        <w:t>.9</w:t>
      </w:r>
      <w:r>
        <w:rPr>
          <w:rFonts w:hint="eastAsia"/>
        </w:rPr>
        <w:t>%</w:t>
      </w:r>
      <w:r>
        <w:rPr>
          <w:rFonts w:hint="eastAsia"/>
        </w:rPr>
        <w:t>，辍学率预计会降低</w:t>
      </w:r>
      <w:r>
        <w:rPr>
          <w:rFonts w:hint="eastAsia"/>
        </w:rPr>
        <w:t>2%</w:t>
      </w:r>
      <w:r>
        <w:rPr>
          <w:rFonts w:hint="eastAsia"/>
        </w:rPr>
        <w:t>。</w:t>
      </w:r>
    </w:p>
    <w:p w:rsidR="00000000" w:rsidRDefault="00457650">
      <w:pPr>
        <w:widowControl/>
        <w:tabs>
          <w:tab w:val="left" w:pos="630"/>
        </w:tabs>
        <w:spacing w:after="240" w:line="380" w:lineRule="exact"/>
        <w:rPr>
          <w:rFonts w:hint="eastAsia"/>
        </w:rPr>
      </w:pPr>
      <w:r>
        <w:rPr>
          <w:rFonts w:hint="eastAsia"/>
        </w:rPr>
        <w:t>667</w:t>
      </w:r>
      <w:r>
        <w:t>.</w:t>
      </w:r>
      <w:r>
        <w:rPr>
          <w:rFonts w:hint="eastAsia"/>
        </w:rPr>
        <w:tab/>
      </w:r>
      <w:r>
        <w:rPr>
          <w:rFonts w:hint="eastAsia"/>
        </w:rPr>
        <w:t>同时，升学率从</w:t>
      </w:r>
      <w:r>
        <w:rPr>
          <w:rFonts w:hint="eastAsia"/>
        </w:rPr>
        <w:t>1998-1999</w:t>
      </w:r>
      <w:r>
        <w:rPr>
          <w:rFonts w:hint="eastAsia"/>
        </w:rPr>
        <w:t>学年的</w:t>
      </w:r>
      <w:r>
        <w:rPr>
          <w:rFonts w:hint="eastAsia"/>
        </w:rPr>
        <w:t>65</w:t>
      </w:r>
      <w:r>
        <w:t>.9</w:t>
      </w:r>
      <w:r>
        <w:rPr>
          <w:rFonts w:hint="eastAsia"/>
        </w:rPr>
        <w:t>%</w:t>
      </w:r>
      <w:r>
        <w:rPr>
          <w:rFonts w:hint="eastAsia"/>
        </w:rPr>
        <w:t>上升到</w:t>
      </w:r>
      <w:r>
        <w:rPr>
          <w:rFonts w:hint="eastAsia"/>
        </w:rPr>
        <w:t>2002-2003</w:t>
      </w:r>
      <w:r>
        <w:rPr>
          <w:rFonts w:hint="eastAsia"/>
        </w:rPr>
        <w:t>学年的</w:t>
      </w:r>
      <w:r>
        <w:rPr>
          <w:rFonts w:hint="eastAsia"/>
        </w:rPr>
        <w:t>78</w:t>
      </w:r>
      <w:r>
        <w:t>.9</w:t>
      </w:r>
      <w:r>
        <w:rPr>
          <w:rFonts w:hint="eastAsia"/>
        </w:rPr>
        <w:t>%</w:t>
      </w:r>
      <w:r>
        <w:rPr>
          <w:rFonts w:hint="eastAsia"/>
        </w:rPr>
        <w:t>。</w:t>
      </w:r>
    </w:p>
    <w:p w:rsidR="00000000" w:rsidRDefault="00457650">
      <w:pPr>
        <w:widowControl/>
        <w:tabs>
          <w:tab w:val="left" w:pos="630"/>
        </w:tabs>
        <w:spacing w:after="240" w:line="380" w:lineRule="exact"/>
        <w:rPr>
          <w:rFonts w:hint="eastAsia"/>
        </w:rPr>
      </w:pPr>
      <w:r>
        <w:rPr>
          <w:rFonts w:hint="eastAsia"/>
        </w:rPr>
        <w:t>668.</w:t>
      </w:r>
      <w:r>
        <w:rPr>
          <w:rFonts w:hint="eastAsia"/>
        </w:rPr>
        <w:tab/>
      </w:r>
      <w:r>
        <w:rPr>
          <w:rFonts w:hint="eastAsia"/>
        </w:rPr>
        <w:t>根据</w:t>
      </w:r>
      <w:r>
        <w:rPr>
          <w:rFonts w:hint="eastAsia"/>
        </w:rPr>
        <w:t>2000</w:t>
      </w:r>
      <w:r>
        <w:rPr>
          <w:rFonts w:hint="eastAsia"/>
        </w:rPr>
        <w:t>年的普查结果，</w:t>
      </w:r>
      <w:r>
        <w:rPr>
          <w:rFonts w:hint="eastAsia"/>
        </w:rPr>
        <w:t>15</w:t>
      </w:r>
      <w:r>
        <w:rPr>
          <w:rFonts w:hint="eastAsia"/>
        </w:rPr>
        <w:t>岁以上的人口为</w:t>
      </w:r>
      <w:r>
        <w:rPr>
          <w:rFonts w:hint="eastAsia"/>
        </w:rPr>
        <w:t>6 280</w:t>
      </w:r>
      <w:r>
        <w:rPr>
          <w:rFonts w:hint="eastAsia"/>
        </w:rPr>
        <w:t>万，其中</w:t>
      </w:r>
      <w:r>
        <w:rPr>
          <w:rFonts w:hint="eastAsia"/>
        </w:rPr>
        <w:t>3 260</w:t>
      </w:r>
      <w:r>
        <w:rPr>
          <w:rFonts w:hint="eastAsia"/>
        </w:rPr>
        <w:t>万为墨西哥人。另外，</w:t>
      </w:r>
      <w:r>
        <w:rPr>
          <w:rFonts w:hint="eastAsia"/>
        </w:rPr>
        <w:t>52%</w:t>
      </w:r>
      <w:r>
        <w:rPr>
          <w:rFonts w:hint="eastAsia"/>
        </w:rPr>
        <w:t>的人口群体属教育落后一类，也就是说，他们或是没有接受过，或是没有完成基础教育。</w:t>
      </w:r>
      <w:r>
        <w:rPr>
          <w:rFonts w:hint="eastAsia"/>
        </w:rPr>
        <w:t>在这些教育落伍者中，</w:t>
      </w:r>
      <w:r>
        <w:rPr>
          <w:rFonts w:hint="eastAsia"/>
        </w:rPr>
        <w:t>52</w:t>
      </w:r>
      <w:r>
        <w:t>.5</w:t>
      </w:r>
      <w:r>
        <w:rPr>
          <w:rFonts w:hint="eastAsia"/>
        </w:rPr>
        <w:t>%</w:t>
      </w:r>
      <w:r>
        <w:rPr>
          <w:rFonts w:hint="eastAsia"/>
        </w:rPr>
        <w:t>（</w:t>
      </w:r>
      <w:r>
        <w:rPr>
          <w:rFonts w:hint="eastAsia"/>
        </w:rPr>
        <w:t>1 770</w:t>
      </w:r>
      <w:r>
        <w:rPr>
          <w:rFonts w:hint="eastAsia"/>
        </w:rPr>
        <w:t>万）是女性，</w:t>
      </w:r>
      <w:r>
        <w:rPr>
          <w:rFonts w:hint="eastAsia"/>
        </w:rPr>
        <w:t>45</w:t>
      </w:r>
      <w:r>
        <w:t>.5</w:t>
      </w:r>
      <w:r>
        <w:rPr>
          <w:rFonts w:hint="eastAsia"/>
        </w:rPr>
        <w:t>%</w:t>
      </w:r>
      <w:r>
        <w:rPr>
          <w:rFonts w:hint="eastAsia"/>
        </w:rPr>
        <w:t>（</w:t>
      </w:r>
      <w:r>
        <w:rPr>
          <w:rFonts w:hint="eastAsia"/>
        </w:rPr>
        <w:t>1 480</w:t>
      </w:r>
      <w:r>
        <w:rPr>
          <w:rFonts w:hint="eastAsia"/>
        </w:rPr>
        <w:t>万）是男性。另外，</w:t>
      </w:r>
      <w:r>
        <w:rPr>
          <w:rFonts w:hint="eastAsia"/>
        </w:rPr>
        <w:t>1 620</w:t>
      </w:r>
      <w:r>
        <w:rPr>
          <w:rFonts w:hint="eastAsia"/>
        </w:rPr>
        <w:t>万男女是墨西哥人，这一人口群体中</w:t>
      </w:r>
      <w:r>
        <w:rPr>
          <w:rFonts w:hint="eastAsia"/>
        </w:rPr>
        <w:t>50%</w:t>
      </w:r>
      <w:r>
        <w:rPr>
          <w:rFonts w:hint="eastAsia"/>
        </w:rPr>
        <w:t>在</w:t>
      </w:r>
      <w:r>
        <w:rPr>
          <w:rFonts w:hint="eastAsia"/>
        </w:rPr>
        <w:t>40</w:t>
      </w:r>
      <w:r>
        <w:rPr>
          <w:rFonts w:hint="eastAsia"/>
        </w:rPr>
        <w:t>岁以下。</w:t>
      </w:r>
    </w:p>
    <w:p w:rsidR="00000000" w:rsidRDefault="00457650">
      <w:pPr>
        <w:keepNext/>
        <w:keepLines/>
        <w:widowControl/>
        <w:tabs>
          <w:tab w:val="left" w:pos="630"/>
        </w:tabs>
        <w:spacing w:after="240" w:line="360" w:lineRule="exact"/>
        <w:jc w:val="center"/>
        <w:rPr>
          <w:rFonts w:ascii="SimHei" w:eastAsia="SimHei" w:hint="eastAsia"/>
        </w:rPr>
      </w:pPr>
      <w:r>
        <w:rPr>
          <w:rFonts w:ascii="SimHei" w:eastAsia="SimHei" w:hint="eastAsia"/>
        </w:rPr>
        <w:t>2000</w:t>
      </w:r>
      <w:r>
        <w:rPr>
          <w:rFonts w:ascii="SimHei" w:eastAsia="SimHei" w:hint="eastAsia"/>
        </w:rPr>
        <w:t>年按性别和</w:t>
      </w:r>
      <w:r>
        <w:rPr>
          <w:rFonts w:ascii="SimHei" w:eastAsia="SimHei" w:hint="eastAsia"/>
        </w:rPr>
        <w:t>5</w:t>
      </w:r>
      <w:r>
        <w:rPr>
          <w:rFonts w:ascii="SimHei" w:eastAsia="SimHei" w:hint="eastAsia"/>
        </w:rPr>
        <w:t>岁以上年龄组分列的</w:t>
      </w:r>
      <w:r>
        <w:rPr>
          <w:rFonts w:ascii="SimHei" w:eastAsia="SimHei" w:hint="eastAsia"/>
        </w:rPr>
        <w:t>15</w:t>
      </w:r>
      <w:r>
        <w:rPr>
          <w:rFonts w:ascii="SimHei" w:eastAsia="SimHei" w:hint="eastAsia"/>
        </w:rPr>
        <w:t>岁以上教育落后人口</w:t>
      </w:r>
    </w:p>
    <w:tbl>
      <w:tblPr>
        <w:tblW w:w="5000" w:type="pct"/>
        <w:tblCellMar>
          <w:left w:w="0" w:type="dxa"/>
          <w:right w:w="0" w:type="dxa"/>
        </w:tblCellMar>
        <w:tblLook w:val="0000" w:firstRow="0" w:lastRow="0" w:firstColumn="0" w:lastColumn="0" w:noHBand="0" w:noVBand="0"/>
      </w:tblPr>
      <w:tblGrid>
        <w:gridCol w:w="1928"/>
        <w:gridCol w:w="1320"/>
        <w:gridCol w:w="1257"/>
        <w:gridCol w:w="900"/>
        <w:gridCol w:w="1300"/>
        <w:gridCol w:w="898"/>
        <w:gridCol w:w="1300"/>
        <w:gridCol w:w="963"/>
      </w:tblGrid>
      <w:tr w:rsidR="00000000">
        <w:tblPrEx>
          <w:tblCellMar>
            <w:top w:w="0" w:type="dxa"/>
            <w:bottom w:w="0" w:type="dxa"/>
          </w:tblCellMar>
        </w:tblPrEx>
        <w:trPr>
          <w:cantSplit/>
          <w:tblHeader/>
        </w:trPr>
        <w:tc>
          <w:tcPr>
            <w:tcW w:w="1928" w:type="dxa"/>
            <w:tcBorders>
              <w:top w:val="single" w:sz="4" w:space="0" w:color="auto"/>
              <w:bottom w:val="single" w:sz="4" w:space="0" w:color="auto"/>
            </w:tcBorders>
            <w:vAlign w:val="center"/>
          </w:tcPr>
          <w:p w:rsidR="00000000" w:rsidRDefault="00457650">
            <w:pPr>
              <w:keepNext/>
              <w:keepLines/>
              <w:widowControl/>
              <w:tabs>
                <w:tab w:val="left" w:pos="630"/>
              </w:tabs>
              <w:spacing w:before="60" w:after="120" w:line="340" w:lineRule="exact"/>
              <w:jc w:val="center"/>
              <w:rPr>
                <w:rFonts w:ascii="KaiTi_GB2312" w:eastAsia="KaiTi_GB2312" w:hint="eastAsia"/>
                <w:iCs/>
                <w:sz w:val="18"/>
              </w:rPr>
            </w:pPr>
            <w:r>
              <w:rPr>
                <w:rFonts w:ascii="KaiTi_GB2312" w:eastAsia="KaiTi_GB2312" w:hint="eastAsia"/>
                <w:iCs/>
                <w:sz w:val="18"/>
              </w:rPr>
              <w:t>5</w:t>
            </w:r>
            <w:r>
              <w:rPr>
                <w:rFonts w:ascii="KaiTi_GB2312" w:eastAsia="KaiTi_GB2312" w:hint="eastAsia"/>
                <w:iCs/>
                <w:sz w:val="18"/>
              </w:rPr>
              <w:t>岁以上的年龄组</w:t>
            </w:r>
          </w:p>
        </w:tc>
        <w:tc>
          <w:tcPr>
            <w:tcW w:w="1320" w:type="dxa"/>
            <w:tcBorders>
              <w:top w:val="single" w:sz="4" w:space="0" w:color="auto"/>
              <w:bottom w:val="single" w:sz="4" w:space="0" w:color="auto"/>
            </w:tcBorders>
            <w:vAlign w:val="center"/>
          </w:tcPr>
          <w:p w:rsidR="00000000" w:rsidRDefault="00457650">
            <w:pPr>
              <w:keepNext/>
              <w:keepLines/>
              <w:widowControl/>
              <w:tabs>
                <w:tab w:val="left" w:pos="630"/>
              </w:tabs>
              <w:spacing w:before="60" w:after="120" w:line="340" w:lineRule="exact"/>
              <w:jc w:val="center"/>
              <w:rPr>
                <w:rFonts w:ascii="KaiTi_GB2312" w:eastAsia="KaiTi_GB2312" w:hint="eastAsia"/>
                <w:iCs/>
                <w:sz w:val="18"/>
              </w:rPr>
            </w:pPr>
            <w:r>
              <w:rPr>
                <w:rFonts w:ascii="KaiTi_GB2312" w:eastAsia="KaiTi_GB2312" w:hint="eastAsia"/>
                <w:iCs/>
                <w:sz w:val="18"/>
              </w:rPr>
              <w:t>15</w:t>
            </w:r>
            <w:r>
              <w:rPr>
                <w:rFonts w:ascii="KaiTi_GB2312" w:eastAsia="KaiTi_GB2312" w:hint="eastAsia"/>
                <w:iCs/>
                <w:sz w:val="18"/>
              </w:rPr>
              <w:t>岁以上</w:t>
            </w:r>
          </w:p>
        </w:tc>
        <w:tc>
          <w:tcPr>
            <w:tcW w:w="2157" w:type="dxa"/>
            <w:gridSpan w:val="2"/>
            <w:tcBorders>
              <w:top w:val="single" w:sz="4" w:space="0" w:color="auto"/>
              <w:bottom w:val="single" w:sz="4" w:space="0" w:color="auto"/>
            </w:tcBorders>
            <w:vAlign w:val="center"/>
          </w:tcPr>
          <w:p w:rsidR="00000000" w:rsidRDefault="00457650">
            <w:pPr>
              <w:keepNext/>
              <w:keepLines/>
              <w:widowControl/>
              <w:tabs>
                <w:tab w:val="left" w:pos="630"/>
              </w:tabs>
              <w:spacing w:before="60" w:after="120" w:line="340" w:lineRule="exact"/>
              <w:jc w:val="center"/>
              <w:rPr>
                <w:rFonts w:ascii="KaiTi_GB2312" w:eastAsia="KaiTi_GB2312" w:hint="eastAsia"/>
                <w:iCs/>
                <w:sz w:val="18"/>
              </w:rPr>
            </w:pPr>
            <w:r>
              <w:rPr>
                <w:rFonts w:ascii="KaiTi_GB2312" w:eastAsia="KaiTi_GB2312" w:hint="eastAsia"/>
                <w:iCs/>
                <w:sz w:val="18"/>
              </w:rPr>
              <w:t>教育落后</w:t>
            </w:r>
          </w:p>
        </w:tc>
        <w:tc>
          <w:tcPr>
            <w:tcW w:w="2198" w:type="dxa"/>
            <w:gridSpan w:val="2"/>
            <w:tcBorders>
              <w:top w:val="single" w:sz="4" w:space="0" w:color="auto"/>
              <w:bottom w:val="single" w:sz="4" w:space="0" w:color="auto"/>
            </w:tcBorders>
            <w:vAlign w:val="center"/>
          </w:tcPr>
          <w:p w:rsidR="00000000" w:rsidRDefault="00457650">
            <w:pPr>
              <w:keepNext/>
              <w:keepLines/>
              <w:widowControl/>
              <w:tabs>
                <w:tab w:val="left" w:pos="630"/>
              </w:tabs>
              <w:spacing w:before="60" w:after="120" w:line="340" w:lineRule="exact"/>
              <w:jc w:val="center"/>
              <w:rPr>
                <w:rFonts w:ascii="KaiTi_GB2312" w:eastAsia="KaiTi_GB2312" w:hint="eastAsia"/>
                <w:iCs/>
                <w:sz w:val="18"/>
              </w:rPr>
            </w:pPr>
            <w:r>
              <w:rPr>
                <w:rFonts w:ascii="KaiTi_GB2312" w:eastAsia="KaiTi_GB2312" w:hint="eastAsia"/>
                <w:iCs/>
                <w:sz w:val="18"/>
              </w:rPr>
              <w:t>教育落后的男性</w:t>
            </w:r>
          </w:p>
        </w:tc>
        <w:tc>
          <w:tcPr>
            <w:tcW w:w="2263" w:type="dxa"/>
            <w:gridSpan w:val="2"/>
            <w:tcBorders>
              <w:top w:val="single" w:sz="4" w:space="0" w:color="auto"/>
              <w:bottom w:val="single" w:sz="4" w:space="0" w:color="auto"/>
            </w:tcBorders>
            <w:vAlign w:val="center"/>
          </w:tcPr>
          <w:p w:rsidR="00000000" w:rsidRDefault="00457650">
            <w:pPr>
              <w:keepNext/>
              <w:keepLines/>
              <w:widowControl/>
              <w:tabs>
                <w:tab w:val="left" w:pos="630"/>
              </w:tabs>
              <w:spacing w:before="60" w:after="120" w:line="340" w:lineRule="exact"/>
              <w:jc w:val="center"/>
              <w:rPr>
                <w:rFonts w:ascii="KaiTi_GB2312" w:eastAsia="KaiTi_GB2312" w:hint="eastAsia"/>
                <w:iCs/>
                <w:sz w:val="18"/>
              </w:rPr>
            </w:pPr>
            <w:r>
              <w:rPr>
                <w:rFonts w:ascii="KaiTi_GB2312" w:eastAsia="KaiTi_GB2312" w:hint="eastAsia"/>
                <w:iCs/>
                <w:sz w:val="18"/>
              </w:rPr>
              <w:t>教育落后的女性</w:t>
            </w:r>
          </w:p>
        </w:tc>
      </w:tr>
      <w:tr w:rsidR="00000000">
        <w:tblPrEx>
          <w:tblCellMar>
            <w:top w:w="0" w:type="dxa"/>
            <w:bottom w:w="0" w:type="dxa"/>
          </w:tblCellMar>
        </w:tblPrEx>
        <w:tc>
          <w:tcPr>
            <w:tcW w:w="1928" w:type="dxa"/>
            <w:tcBorders>
              <w:top w:val="single" w:sz="4" w:space="0" w:color="auto"/>
            </w:tcBorders>
          </w:tcPr>
          <w:p w:rsidR="00000000" w:rsidRDefault="00457650">
            <w:pPr>
              <w:keepNext/>
              <w:keepLines/>
              <w:widowControl/>
              <w:tabs>
                <w:tab w:val="left" w:pos="630"/>
              </w:tabs>
              <w:spacing w:before="60" w:after="120" w:line="340" w:lineRule="exact"/>
              <w:rPr>
                <w:rFonts w:hint="eastAsia"/>
                <w:sz w:val="18"/>
              </w:rPr>
            </w:pPr>
            <w:r>
              <w:rPr>
                <w:rFonts w:hint="eastAsia"/>
                <w:sz w:val="18"/>
              </w:rPr>
              <w:t>总数</w:t>
            </w:r>
          </w:p>
        </w:tc>
        <w:tc>
          <w:tcPr>
            <w:tcW w:w="1320" w:type="dxa"/>
            <w:tcBorders>
              <w:top w:val="single" w:sz="4" w:space="0" w:color="auto"/>
            </w:tcBorders>
          </w:tcPr>
          <w:p w:rsidR="00000000" w:rsidRDefault="00457650">
            <w:pPr>
              <w:keepNext/>
              <w:keepLines/>
              <w:widowControl/>
              <w:tabs>
                <w:tab w:val="left" w:pos="630"/>
              </w:tabs>
              <w:spacing w:before="60" w:after="120" w:line="340" w:lineRule="exact"/>
              <w:jc w:val="center"/>
              <w:rPr>
                <w:rFonts w:hint="eastAsia"/>
                <w:sz w:val="18"/>
              </w:rPr>
            </w:pPr>
            <w:r>
              <w:rPr>
                <w:rFonts w:hint="eastAsia"/>
                <w:sz w:val="18"/>
              </w:rPr>
              <w:t>62 842 638</w:t>
            </w:r>
          </w:p>
        </w:tc>
        <w:tc>
          <w:tcPr>
            <w:tcW w:w="1257" w:type="dxa"/>
            <w:tcBorders>
              <w:top w:val="single" w:sz="4" w:space="0" w:color="auto"/>
            </w:tcBorders>
          </w:tcPr>
          <w:p w:rsidR="00000000" w:rsidRDefault="00457650">
            <w:pPr>
              <w:pStyle w:val="a3"/>
              <w:keepNext/>
              <w:keepLines/>
              <w:widowControl/>
              <w:tabs>
                <w:tab w:val="left" w:pos="630"/>
              </w:tabs>
              <w:adjustRightInd w:val="0"/>
              <w:spacing w:before="60" w:after="120" w:line="340" w:lineRule="exact"/>
              <w:jc w:val="center"/>
              <w:textAlignment w:val="baseline"/>
              <w:rPr>
                <w:rFonts w:hint="eastAsia"/>
                <w:kern w:val="0"/>
                <w:szCs w:val="20"/>
              </w:rPr>
            </w:pPr>
            <w:r>
              <w:rPr>
                <w:rFonts w:hint="eastAsia"/>
                <w:kern w:val="0"/>
                <w:szCs w:val="20"/>
              </w:rPr>
              <w:t>32 557 461</w:t>
            </w:r>
          </w:p>
        </w:tc>
        <w:tc>
          <w:tcPr>
            <w:tcW w:w="900" w:type="dxa"/>
            <w:tcBorders>
              <w:top w:val="single" w:sz="4" w:space="0" w:color="auto"/>
            </w:tcBorders>
          </w:tcPr>
          <w:p w:rsidR="00000000" w:rsidRDefault="00457650">
            <w:pPr>
              <w:keepNext/>
              <w:keepLines/>
              <w:widowControl/>
              <w:tabs>
                <w:tab w:val="left" w:pos="630"/>
              </w:tabs>
              <w:spacing w:before="60" w:after="120" w:line="340" w:lineRule="exact"/>
              <w:jc w:val="center"/>
              <w:rPr>
                <w:rFonts w:hint="eastAsia"/>
                <w:sz w:val="18"/>
              </w:rPr>
            </w:pPr>
            <w:r>
              <w:rPr>
                <w:rFonts w:hint="eastAsia"/>
                <w:sz w:val="18"/>
              </w:rPr>
              <w:t>52%</w:t>
            </w:r>
          </w:p>
        </w:tc>
        <w:tc>
          <w:tcPr>
            <w:tcW w:w="1300" w:type="dxa"/>
            <w:tcBorders>
              <w:top w:val="single" w:sz="4" w:space="0" w:color="auto"/>
            </w:tcBorders>
          </w:tcPr>
          <w:p w:rsidR="00000000" w:rsidRDefault="00457650">
            <w:pPr>
              <w:keepNext/>
              <w:keepLines/>
              <w:widowControl/>
              <w:tabs>
                <w:tab w:val="left" w:pos="630"/>
              </w:tabs>
              <w:spacing w:before="60" w:after="120" w:line="340" w:lineRule="exact"/>
              <w:jc w:val="center"/>
              <w:rPr>
                <w:rFonts w:hint="eastAsia"/>
                <w:sz w:val="18"/>
              </w:rPr>
            </w:pPr>
            <w:r>
              <w:rPr>
                <w:rFonts w:hint="eastAsia"/>
                <w:sz w:val="18"/>
              </w:rPr>
              <w:t>14 825 157</w:t>
            </w:r>
          </w:p>
        </w:tc>
        <w:tc>
          <w:tcPr>
            <w:tcW w:w="898" w:type="dxa"/>
            <w:tcBorders>
              <w:top w:val="single" w:sz="4" w:space="0" w:color="auto"/>
            </w:tcBorders>
          </w:tcPr>
          <w:p w:rsidR="00000000" w:rsidRDefault="00457650">
            <w:pPr>
              <w:keepNext/>
              <w:keepLines/>
              <w:widowControl/>
              <w:tabs>
                <w:tab w:val="left" w:pos="630"/>
              </w:tabs>
              <w:spacing w:before="60" w:after="120" w:line="340" w:lineRule="exact"/>
              <w:jc w:val="center"/>
              <w:rPr>
                <w:sz w:val="18"/>
              </w:rPr>
            </w:pPr>
            <w:r>
              <w:rPr>
                <w:sz w:val="18"/>
              </w:rPr>
              <w:t>45.5%</w:t>
            </w:r>
          </w:p>
        </w:tc>
        <w:tc>
          <w:tcPr>
            <w:tcW w:w="1300" w:type="dxa"/>
            <w:tcBorders>
              <w:top w:val="single" w:sz="4" w:space="0" w:color="auto"/>
            </w:tcBorders>
          </w:tcPr>
          <w:p w:rsidR="00000000" w:rsidRDefault="00457650">
            <w:pPr>
              <w:keepNext/>
              <w:keepLines/>
              <w:widowControl/>
              <w:tabs>
                <w:tab w:val="left" w:pos="630"/>
              </w:tabs>
              <w:spacing w:before="60" w:after="120" w:line="340" w:lineRule="exact"/>
              <w:jc w:val="center"/>
              <w:rPr>
                <w:sz w:val="18"/>
              </w:rPr>
            </w:pPr>
            <w:r>
              <w:rPr>
                <w:sz w:val="18"/>
              </w:rPr>
              <w:t>17 732 304</w:t>
            </w:r>
          </w:p>
        </w:tc>
        <w:tc>
          <w:tcPr>
            <w:tcW w:w="963" w:type="dxa"/>
            <w:tcBorders>
              <w:top w:val="single" w:sz="4" w:space="0" w:color="auto"/>
            </w:tcBorders>
          </w:tcPr>
          <w:p w:rsidR="00000000" w:rsidRDefault="00457650">
            <w:pPr>
              <w:keepNext/>
              <w:keepLines/>
              <w:widowControl/>
              <w:tabs>
                <w:tab w:val="left" w:pos="630"/>
              </w:tabs>
              <w:spacing w:before="60" w:after="120" w:line="340" w:lineRule="exact"/>
              <w:jc w:val="center"/>
              <w:rPr>
                <w:sz w:val="18"/>
              </w:rPr>
            </w:pPr>
            <w:r>
              <w:rPr>
                <w:sz w:val="18"/>
              </w:rPr>
              <w:t>54.5%</w:t>
            </w:r>
          </w:p>
        </w:tc>
      </w:tr>
      <w:tr w:rsidR="00000000">
        <w:tblPrEx>
          <w:tblCellMar>
            <w:top w:w="0" w:type="dxa"/>
            <w:bottom w:w="0" w:type="dxa"/>
          </w:tblCellMar>
        </w:tblPrEx>
        <w:tc>
          <w:tcPr>
            <w:tcW w:w="1928" w:type="dxa"/>
          </w:tcPr>
          <w:p w:rsidR="00000000" w:rsidRDefault="00457650" w:rsidP="00457650">
            <w:pPr>
              <w:widowControl/>
              <w:tabs>
                <w:tab w:val="left" w:pos="630"/>
              </w:tabs>
              <w:spacing w:before="60" w:after="120" w:line="340" w:lineRule="exact"/>
              <w:ind w:leftChars="50" w:left="31680"/>
              <w:rPr>
                <w:rFonts w:hint="eastAsia"/>
                <w:sz w:val="18"/>
              </w:rPr>
            </w:pPr>
            <w:r>
              <w:rPr>
                <w:rFonts w:hint="eastAsia"/>
                <w:sz w:val="18"/>
              </w:rPr>
              <w:t>15</w:t>
            </w:r>
            <w:r>
              <w:rPr>
                <w:rFonts w:hint="eastAsia"/>
                <w:sz w:val="18"/>
              </w:rPr>
              <w:t>至</w:t>
            </w:r>
            <w:r>
              <w:rPr>
                <w:rFonts w:hint="eastAsia"/>
                <w:sz w:val="18"/>
              </w:rPr>
              <w:t>19</w:t>
            </w:r>
            <w:r>
              <w:rPr>
                <w:rFonts w:hint="eastAsia"/>
                <w:sz w:val="18"/>
              </w:rPr>
              <w:t>岁</w:t>
            </w:r>
          </w:p>
        </w:tc>
        <w:tc>
          <w:tcPr>
            <w:tcW w:w="1320" w:type="dxa"/>
          </w:tcPr>
          <w:p w:rsidR="00000000" w:rsidRDefault="00457650">
            <w:pPr>
              <w:widowControl/>
              <w:tabs>
                <w:tab w:val="left" w:pos="630"/>
              </w:tabs>
              <w:spacing w:before="60" w:after="120" w:line="340" w:lineRule="exact"/>
              <w:jc w:val="center"/>
              <w:rPr>
                <w:sz w:val="18"/>
              </w:rPr>
            </w:pPr>
            <w:r>
              <w:rPr>
                <w:sz w:val="18"/>
              </w:rPr>
              <w:t>9 992 135</w:t>
            </w:r>
          </w:p>
        </w:tc>
        <w:tc>
          <w:tcPr>
            <w:tcW w:w="1257" w:type="dxa"/>
          </w:tcPr>
          <w:p w:rsidR="00000000" w:rsidRDefault="00457650">
            <w:pPr>
              <w:widowControl/>
              <w:tabs>
                <w:tab w:val="left" w:pos="630"/>
              </w:tabs>
              <w:spacing w:before="60" w:after="120" w:line="340" w:lineRule="exact"/>
              <w:jc w:val="center"/>
              <w:rPr>
                <w:sz w:val="18"/>
              </w:rPr>
            </w:pPr>
            <w:r>
              <w:rPr>
                <w:sz w:val="18"/>
              </w:rPr>
              <w:t>3 360 089</w:t>
            </w:r>
          </w:p>
        </w:tc>
        <w:tc>
          <w:tcPr>
            <w:tcW w:w="900" w:type="dxa"/>
          </w:tcPr>
          <w:p w:rsidR="00000000" w:rsidRDefault="00457650">
            <w:pPr>
              <w:widowControl/>
              <w:tabs>
                <w:tab w:val="left" w:pos="630"/>
              </w:tabs>
              <w:spacing w:before="60" w:after="120" w:line="340" w:lineRule="exact"/>
              <w:jc w:val="center"/>
              <w:rPr>
                <w:sz w:val="18"/>
              </w:rPr>
            </w:pPr>
            <w:r>
              <w:rPr>
                <w:sz w:val="18"/>
              </w:rPr>
              <w:t>34%</w:t>
            </w:r>
          </w:p>
        </w:tc>
        <w:tc>
          <w:tcPr>
            <w:tcW w:w="1300" w:type="dxa"/>
          </w:tcPr>
          <w:p w:rsidR="00000000" w:rsidRDefault="00457650">
            <w:pPr>
              <w:widowControl/>
              <w:tabs>
                <w:tab w:val="left" w:pos="630"/>
              </w:tabs>
              <w:spacing w:before="60" w:after="120" w:line="340" w:lineRule="exact"/>
              <w:jc w:val="center"/>
              <w:rPr>
                <w:sz w:val="18"/>
              </w:rPr>
            </w:pPr>
            <w:r>
              <w:rPr>
                <w:sz w:val="18"/>
              </w:rPr>
              <w:t>1 633 665</w:t>
            </w:r>
          </w:p>
        </w:tc>
        <w:tc>
          <w:tcPr>
            <w:tcW w:w="898" w:type="dxa"/>
          </w:tcPr>
          <w:p w:rsidR="00000000" w:rsidRDefault="00457650">
            <w:pPr>
              <w:widowControl/>
              <w:tabs>
                <w:tab w:val="left" w:pos="630"/>
              </w:tabs>
              <w:spacing w:before="60" w:after="120" w:line="340" w:lineRule="exact"/>
              <w:jc w:val="center"/>
              <w:rPr>
                <w:sz w:val="18"/>
              </w:rPr>
            </w:pPr>
            <w:r>
              <w:rPr>
                <w:sz w:val="18"/>
              </w:rPr>
              <w:t>33%</w:t>
            </w:r>
          </w:p>
        </w:tc>
        <w:tc>
          <w:tcPr>
            <w:tcW w:w="1300" w:type="dxa"/>
          </w:tcPr>
          <w:p w:rsidR="00000000" w:rsidRDefault="00457650">
            <w:pPr>
              <w:widowControl/>
              <w:tabs>
                <w:tab w:val="left" w:pos="630"/>
              </w:tabs>
              <w:spacing w:before="60" w:after="120" w:line="340" w:lineRule="exact"/>
              <w:jc w:val="center"/>
              <w:rPr>
                <w:sz w:val="18"/>
              </w:rPr>
            </w:pPr>
            <w:r>
              <w:rPr>
                <w:sz w:val="18"/>
              </w:rPr>
              <w:t>1 726 424</w:t>
            </w:r>
          </w:p>
        </w:tc>
        <w:tc>
          <w:tcPr>
            <w:tcW w:w="963" w:type="dxa"/>
          </w:tcPr>
          <w:p w:rsidR="00000000" w:rsidRDefault="00457650">
            <w:pPr>
              <w:widowControl/>
              <w:tabs>
                <w:tab w:val="left" w:pos="630"/>
              </w:tabs>
              <w:spacing w:before="60" w:after="120" w:line="340" w:lineRule="exact"/>
              <w:jc w:val="center"/>
              <w:rPr>
                <w:sz w:val="18"/>
              </w:rPr>
            </w:pPr>
            <w:r>
              <w:rPr>
                <w:sz w:val="18"/>
              </w:rPr>
              <w:t>34%</w:t>
            </w:r>
          </w:p>
        </w:tc>
      </w:tr>
      <w:tr w:rsidR="00000000">
        <w:tblPrEx>
          <w:tblCellMar>
            <w:top w:w="0" w:type="dxa"/>
            <w:bottom w:w="0" w:type="dxa"/>
          </w:tblCellMar>
        </w:tblPrEx>
        <w:tc>
          <w:tcPr>
            <w:tcW w:w="1928" w:type="dxa"/>
          </w:tcPr>
          <w:p w:rsidR="00000000" w:rsidRDefault="00457650" w:rsidP="00457650">
            <w:pPr>
              <w:widowControl/>
              <w:tabs>
                <w:tab w:val="left" w:pos="630"/>
              </w:tabs>
              <w:spacing w:before="60" w:after="120" w:line="340" w:lineRule="exact"/>
              <w:ind w:leftChars="50" w:left="31680"/>
              <w:rPr>
                <w:rFonts w:hint="eastAsia"/>
                <w:sz w:val="18"/>
              </w:rPr>
            </w:pPr>
            <w:r>
              <w:rPr>
                <w:rFonts w:hint="eastAsia"/>
                <w:sz w:val="18"/>
              </w:rPr>
              <w:t>20</w:t>
            </w:r>
            <w:r>
              <w:rPr>
                <w:rFonts w:hint="eastAsia"/>
                <w:sz w:val="18"/>
              </w:rPr>
              <w:t>至</w:t>
            </w:r>
            <w:r>
              <w:rPr>
                <w:rFonts w:hint="eastAsia"/>
                <w:sz w:val="18"/>
              </w:rPr>
              <w:t>24</w:t>
            </w:r>
            <w:r>
              <w:rPr>
                <w:rFonts w:hint="eastAsia"/>
                <w:sz w:val="18"/>
              </w:rPr>
              <w:t>岁</w:t>
            </w:r>
          </w:p>
        </w:tc>
        <w:tc>
          <w:tcPr>
            <w:tcW w:w="1320" w:type="dxa"/>
          </w:tcPr>
          <w:p w:rsidR="00000000" w:rsidRDefault="00457650">
            <w:pPr>
              <w:widowControl/>
              <w:tabs>
                <w:tab w:val="left" w:pos="630"/>
              </w:tabs>
              <w:spacing w:before="60" w:after="120" w:line="340" w:lineRule="exact"/>
              <w:jc w:val="center"/>
              <w:rPr>
                <w:sz w:val="18"/>
              </w:rPr>
            </w:pPr>
            <w:r>
              <w:rPr>
                <w:sz w:val="18"/>
              </w:rPr>
              <w:t>9 071 134</w:t>
            </w:r>
          </w:p>
        </w:tc>
        <w:tc>
          <w:tcPr>
            <w:tcW w:w="1257" w:type="dxa"/>
          </w:tcPr>
          <w:p w:rsidR="00000000" w:rsidRDefault="00457650">
            <w:pPr>
              <w:widowControl/>
              <w:tabs>
                <w:tab w:val="left" w:pos="630"/>
              </w:tabs>
              <w:spacing w:before="60" w:after="120" w:line="340" w:lineRule="exact"/>
              <w:jc w:val="center"/>
              <w:rPr>
                <w:sz w:val="18"/>
              </w:rPr>
            </w:pPr>
            <w:r>
              <w:rPr>
                <w:sz w:val="18"/>
              </w:rPr>
              <w:t>3 371 929</w:t>
            </w:r>
          </w:p>
        </w:tc>
        <w:tc>
          <w:tcPr>
            <w:tcW w:w="900" w:type="dxa"/>
          </w:tcPr>
          <w:p w:rsidR="00000000" w:rsidRDefault="00457650">
            <w:pPr>
              <w:widowControl/>
              <w:tabs>
                <w:tab w:val="left" w:pos="630"/>
              </w:tabs>
              <w:spacing w:before="60" w:after="120" w:line="340" w:lineRule="exact"/>
              <w:jc w:val="center"/>
              <w:rPr>
                <w:sz w:val="18"/>
              </w:rPr>
            </w:pPr>
            <w:r>
              <w:rPr>
                <w:sz w:val="18"/>
              </w:rPr>
              <w:t>37%</w:t>
            </w:r>
          </w:p>
        </w:tc>
        <w:tc>
          <w:tcPr>
            <w:tcW w:w="1300" w:type="dxa"/>
          </w:tcPr>
          <w:p w:rsidR="00000000" w:rsidRDefault="00457650">
            <w:pPr>
              <w:widowControl/>
              <w:tabs>
                <w:tab w:val="left" w:pos="630"/>
              </w:tabs>
              <w:spacing w:before="60" w:after="120" w:line="340" w:lineRule="exact"/>
              <w:jc w:val="center"/>
              <w:rPr>
                <w:sz w:val="18"/>
              </w:rPr>
            </w:pPr>
            <w:r>
              <w:rPr>
                <w:sz w:val="18"/>
              </w:rPr>
              <w:t>1 566 300</w:t>
            </w:r>
          </w:p>
        </w:tc>
        <w:tc>
          <w:tcPr>
            <w:tcW w:w="898" w:type="dxa"/>
          </w:tcPr>
          <w:p w:rsidR="00000000" w:rsidRDefault="00457650">
            <w:pPr>
              <w:widowControl/>
              <w:tabs>
                <w:tab w:val="left" w:pos="630"/>
              </w:tabs>
              <w:spacing w:before="60" w:after="120" w:line="340" w:lineRule="exact"/>
              <w:jc w:val="center"/>
              <w:rPr>
                <w:sz w:val="18"/>
              </w:rPr>
            </w:pPr>
            <w:r>
              <w:rPr>
                <w:sz w:val="18"/>
              </w:rPr>
              <w:t>36%</w:t>
            </w:r>
          </w:p>
        </w:tc>
        <w:tc>
          <w:tcPr>
            <w:tcW w:w="1300" w:type="dxa"/>
          </w:tcPr>
          <w:p w:rsidR="00000000" w:rsidRDefault="00457650">
            <w:pPr>
              <w:widowControl/>
              <w:tabs>
                <w:tab w:val="left" w:pos="630"/>
              </w:tabs>
              <w:spacing w:before="60" w:after="120" w:line="340" w:lineRule="exact"/>
              <w:jc w:val="center"/>
              <w:rPr>
                <w:sz w:val="18"/>
              </w:rPr>
            </w:pPr>
            <w:r>
              <w:rPr>
                <w:sz w:val="18"/>
              </w:rPr>
              <w:t>1 805 629</w:t>
            </w:r>
          </w:p>
        </w:tc>
        <w:tc>
          <w:tcPr>
            <w:tcW w:w="963" w:type="dxa"/>
          </w:tcPr>
          <w:p w:rsidR="00000000" w:rsidRDefault="00457650">
            <w:pPr>
              <w:widowControl/>
              <w:tabs>
                <w:tab w:val="left" w:pos="630"/>
              </w:tabs>
              <w:spacing w:before="60" w:after="120" w:line="340" w:lineRule="exact"/>
              <w:jc w:val="center"/>
              <w:rPr>
                <w:sz w:val="18"/>
              </w:rPr>
            </w:pPr>
            <w:r>
              <w:rPr>
                <w:sz w:val="18"/>
              </w:rPr>
              <w:t>38%</w:t>
            </w:r>
          </w:p>
        </w:tc>
      </w:tr>
      <w:tr w:rsidR="00000000">
        <w:tblPrEx>
          <w:tblCellMar>
            <w:top w:w="0" w:type="dxa"/>
            <w:bottom w:w="0" w:type="dxa"/>
          </w:tblCellMar>
        </w:tblPrEx>
        <w:tc>
          <w:tcPr>
            <w:tcW w:w="1928" w:type="dxa"/>
          </w:tcPr>
          <w:p w:rsidR="00000000" w:rsidRDefault="00457650" w:rsidP="00457650">
            <w:pPr>
              <w:widowControl/>
              <w:tabs>
                <w:tab w:val="left" w:pos="630"/>
              </w:tabs>
              <w:spacing w:before="60" w:after="120" w:line="340" w:lineRule="exact"/>
              <w:ind w:leftChars="50" w:left="31680"/>
              <w:rPr>
                <w:rFonts w:hint="eastAsia"/>
                <w:sz w:val="18"/>
              </w:rPr>
            </w:pPr>
            <w:r>
              <w:rPr>
                <w:rFonts w:hint="eastAsia"/>
                <w:sz w:val="18"/>
              </w:rPr>
              <w:t>25</w:t>
            </w:r>
            <w:r>
              <w:rPr>
                <w:rFonts w:hint="eastAsia"/>
                <w:sz w:val="18"/>
              </w:rPr>
              <w:t>至</w:t>
            </w:r>
            <w:r>
              <w:rPr>
                <w:rFonts w:hint="eastAsia"/>
                <w:sz w:val="18"/>
              </w:rPr>
              <w:t>29</w:t>
            </w:r>
            <w:r>
              <w:rPr>
                <w:rFonts w:hint="eastAsia"/>
                <w:sz w:val="18"/>
              </w:rPr>
              <w:t>岁</w:t>
            </w:r>
          </w:p>
        </w:tc>
        <w:tc>
          <w:tcPr>
            <w:tcW w:w="1320" w:type="dxa"/>
          </w:tcPr>
          <w:p w:rsidR="00000000" w:rsidRDefault="00457650">
            <w:pPr>
              <w:widowControl/>
              <w:tabs>
                <w:tab w:val="left" w:pos="630"/>
              </w:tabs>
              <w:spacing w:before="60" w:after="120" w:line="340" w:lineRule="exact"/>
              <w:jc w:val="center"/>
              <w:rPr>
                <w:sz w:val="18"/>
              </w:rPr>
            </w:pPr>
            <w:r>
              <w:rPr>
                <w:sz w:val="18"/>
              </w:rPr>
              <w:t>8 157 743</w:t>
            </w:r>
          </w:p>
        </w:tc>
        <w:tc>
          <w:tcPr>
            <w:tcW w:w="1257" w:type="dxa"/>
          </w:tcPr>
          <w:p w:rsidR="00000000" w:rsidRDefault="00457650">
            <w:pPr>
              <w:widowControl/>
              <w:tabs>
                <w:tab w:val="left" w:pos="630"/>
              </w:tabs>
              <w:spacing w:before="60" w:after="120" w:line="340" w:lineRule="exact"/>
              <w:jc w:val="center"/>
              <w:rPr>
                <w:sz w:val="18"/>
              </w:rPr>
            </w:pPr>
            <w:r>
              <w:rPr>
                <w:sz w:val="18"/>
              </w:rPr>
              <w:t>3 171 431</w:t>
            </w:r>
          </w:p>
        </w:tc>
        <w:tc>
          <w:tcPr>
            <w:tcW w:w="900" w:type="dxa"/>
          </w:tcPr>
          <w:p w:rsidR="00000000" w:rsidRDefault="00457650">
            <w:pPr>
              <w:widowControl/>
              <w:tabs>
                <w:tab w:val="left" w:pos="630"/>
              </w:tabs>
              <w:spacing w:before="60" w:after="120" w:line="340" w:lineRule="exact"/>
              <w:jc w:val="center"/>
              <w:rPr>
                <w:sz w:val="18"/>
              </w:rPr>
            </w:pPr>
            <w:r>
              <w:rPr>
                <w:sz w:val="18"/>
              </w:rPr>
              <w:t>39%</w:t>
            </w:r>
          </w:p>
        </w:tc>
        <w:tc>
          <w:tcPr>
            <w:tcW w:w="1300" w:type="dxa"/>
          </w:tcPr>
          <w:p w:rsidR="00000000" w:rsidRDefault="00457650">
            <w:pPr>
              <w:widowControl/>
              <w:tabs>
                <w:tab w:val="left" w:pos="630"/>
              </w:tabs>
              <w:spacing w:before="60" w:after="120" w:line="340" w:lineRule="exact"/>
              <w:jc w:val="center"/>
              <w:rPr>
                <w:sz w:val="18"/>
              </w:rPr>
            </w:pPr>
            <w:r>
              <w:rPr>
                <w:sz w:val="18"/>
              </w:rPr>
              <w:t>1 455 584</w:t>
            </w:r>
          </w:p>
        </w:tc>
        <w:tc>
          <w:tcPr>
            <w:tcW w:w="898" w:type="dxa"/>
          </w:tcPr>
          <w:p w:rsidR="00000000" w:rsidRDefault="00457650">
            <w:pPr>
              <w:widowControl/>
              <w:tabs>
                <w:tab w:val="left" w:pos="630"/>
              </w:tabs>
              <w:spacing w:before="60" w:after="120" w:line="340" w:lineRule="exact"/>
              <w:jc w:val="center"/>
              <w:rPr>
                <w:sz w:val="18"/>
              </w:rPr>
            </w:pPr>
            <w:r>
              <w:rPr>
                <w:sz w:val="18"/>
              </w:rPr>
              <w:t>38%</w:t>
            </w:r>
          </w:p>
        </w:tc>
        <w:tc>
          <w:tcPr>
            <w:tcW w:w="1300" w:type="dxa"/>
          </w:tcPr>
          <w:p w:rsidR="00000000" w:rsidRDefault="00457650">
            <w:pPr>
              <w:widowControl/>
              <w:tabs>
                <w:tab w:val="left" w:pos="630"/>
              </w:tabs>
              <w:spacing w:before="60" w:after="120" w:line="340" w:lineRule="exact"/>
              <w:jc w:val="center"/>
              <w:rPr>
                <w:sz w:val="18"/>
              </w:rPr>
            </w:pPr>
            <w:r>
              <w:rPr>
                <w:sz w:val="18"/>
              </w:rPr>
              <w:t>1 715 847</w:t>
            </w:r>
          </w:p>
        </w:tc>
        <w:tc>
          <w:tcPr>
            <w:tcW w:w="963" w:type="dxa"/>
          </w:tcPr>
          <w:p w:rsidR="00000000" w:rsidRDefault="00457650">
            <w:pPr>
              <w:widowControl/>
              <w:tabs>
                <w:tab w:val="left" w:pos="630"/>
              </w:tabs>
              <w:spacing w:before="60" w:after="120" w:line="340" w:lineRule="exact"/>
              <w:jc w:val="center"/>
              <w:rPr>
                <w:sz w:val="18"/>
              </w:rPr>
            </w:pPr>
            <w:r>
              <w:rPr>
                <w:sz w:val="18"/>
              </w:rPr>
              <w:t>40%</w:t>
            </w:r>
          </w:p>
        </w:tc>
      </w:tr>
      <w:tr w:rsidR="00000000">
        <w:tblPrEx>
          <w:tblCellMar>
            <w:top w:w="0" w:type="dxa"/>
            <w:bottom w:w="0" w:type="dxa"/>
          </w:tblCellMar>
        </w:tblPrEx>
        <w:tc>
          <w:tcPr>
            <w:tcW w:w="1928" w:type="dxa"/>
          </w:tcPr>
          <w:p w:rsidR="00000000" w:rsidRDefault="00457650" w:rsidP="00457650">
            <w:pPr>
              <w:widowControl/>
              <w:tabs>
                <w:tab w:val="left" w:pos="630"/>
              </w:tabs>
              <w:spacing w:before="60" w:after="120" w:line="340" w:lineRule="exact"/>
              <w:ind w:leftChars="50" w:left="31680"/>
              <w:rPr>
                <w:rFonts w:hint="eastAsia"/>
                <w:sz w:val="18"/>
              </w:rPr>
            </w:pPr>
            <w:r>
              <w:rPr>
                <w:rFonts w:hint="eastAsia"/>
                <w:sz w:val="18"/>
              </w:rPr>
              <w:t>30</w:t>
            </w:r>
            <w:r>
              <w:rPr>
                <w:rFonts w:hint="eastAsia"/>
                <w:sz w:val="18"/>
              </w:rPr>
              <w:t>至</w:t>
            </w:r>
            <w:r>
              <w:rPr>
                <w:rFonts w:hint="eastAsia"/>
                <w:sz w:val="18"/>
              </w:rPr>
              <w:t>34</w:t>
            </w:r>
            <w:r>
              <w:rPr>
                <w:rFonts w:hint="eastAsia"/>
                <w:sz w:val="18"/>
              </w:rPr>
              <w:t>岁</w:t>
            </w:r>
          </w:p>
        </w:tc>
        <w:tc>
          <w:tcPr>
            <w:tcW w:w="1320" w:type="dxa"/>
          </w:tcPr>
          <w:p w:rsidR="00000000" w:rsidRDefault="00457650">
            <w:pPr>
              <w:widowControl/>
              <w:tabs>
                <w:tab w:val="left" w:pos="630"/>
              </w:tabs>
              <w:spacing w:before="60" w:after="120" w:line="340" w:lineRule="exact"/>
              <w:jc w:val="center"/>
              <w:rPr>
                <w:sz w:val="18"/>
              </w:rPr>
            </w:pPr>
            <w:r>
              <w:rPr>
                <w:sz w:val="18"/>
              </w:rPr>
              <w:t>7 136 523</w:t>
            </w:r>
          </w:p>
        </w:tc>
        <w:tc>
          <w:tcPr>
            <w:tcW w:w="1257" w:type="dxa"/>
          </w:tcPr>
          <w:p w:rsidR="00000000" w:rsidRDefault="00457650">
            <w:pPr>
              <w:widowControl/>
              <w:tabs>
                <w:tab w:val="left" w:pos="630"/>
              </w:tabs>
              <w:spacing w:before="60" w:after="120" w:line="340" w:lineRule="exact"/>
              <w:jc w:val="center"/>
              <w:rPr>
                <w:sz w:val="18"/>
              </w:rPr>
            </w:pPr>
            <w:r>
              <w:rPr>
                <w:sz w:val="18"/>
              </w:rPr>
              <w:t>3 043 908</w:t>
            </w:r>
          </w:p>
        </w:tc>
        <w:tc>
          <w:tcPr>
            <w:tcW w:w="900" w:type="dxa"/>
          </w:tcPr>
          <w:p w:rsidR="00000000" w:rsidRDefault="00457650">
            <w:pPr>
              <w:widowControl/>
              <w:tabs>
                <w:tab w:val="left" w:pos="630"/>
              </w:tabs>
              <w:spacing w:before="60" w:after="120" w:line="340" w:lineRule="exact"/>
              <w:jc w:val="center"/>
              <w:rPr>
                <w:sz w:val="18"/>
              </w:rPr>
            </w:pPr>
            <w:r>
              <w:rPr>
                <w:sz w:val="18"/>
              </w:rPr>
              <w:t>43%</w:t>
            </w:r>
          </w:p>
        </w:tc>
        <w:tc>
          <w:tcPr>
            <w:tcW w:w="1300" w:type="dxa"/>
          </w:tcPr>
          <w:p w:rsidR="00000000" w:rsidRDefault="00457650">
            <w:pPr>
              <w:widowControl/>
              <w:tabs>
                <w:tab w:val="left" w:pos="630"/>
              </w:tabs>
              <w:spacing w:before="60" w:after="120" w:line="340" w:lineRule="exact"/>
              <w:jc w:val="center"/>
              <w:rPr>
                <w:sz w:val="18"/>
              </w:rPr>
            </w:pPr>
            <w:r>
              <w:rPr>
                <w:sz w:val="18"/>
              </w:rPr>
              <w:t>1 353 600</w:t>
            </w:r>
          </w:p>
        </w:tc>
        <w:tc>
          <w:tcPr>
            <w:tcW w:w="898" w:type="dxa"/>
          </w:tcPr>
          <w:p w:rsidR="00000000" w:rsidRDefault="00457650">
            <w:pPr>
              <w:widowControl/>
              <w:tabs>
                <w:tab w:val="left" w:pos="630"/>
              </w:tabs>
              <w:spacing w:before="60" w:after="120" w:line="340" w:lineRule="exact"/>
              <w:jc w:val="center"/>
              <w:rPr>
                <w:sz w:val="18"/>
              </w:rPr>
            </w:pPr>
            <w:r>
              <w:rPr>
                <w:sz w:val="18"/>
              </w:rPr>
              <w:t>40%</w:t>
            </w:r>
          </w:p>
        </w:tc>
        <w:tc>
          <w:tcPr>
            <w:tcW w:w="1300" w:type="dxa"/>
          </w:tcPr>
          <w:p w:rsidR="00000000" w:rsidRDefault="00457650">
            <w:pPr>
              <w:widowControl/>
              <w:tabs>
                <w:tab w:val="left" w:pos="630"/>
              </w:tabs>
              <w:spacing w:before="60" w:after="120" w:line="340" w:lineRule="exact"/>
              <w:jc w:val="center"/>
              <w:rPr>
                <w:sz w:val="18"/>
              </w:rPr>
            </w:pPr>
            <w:r>
              <w:rPr>
                <w:sz w:val="18"/>
              </w:rPr>
              <w:t>1 690 308</w:t>
            </w:r>
          </w:p>
        </w:tc>
        <w:tc>
          <w:tcPr>
            <w:tcW w:w="963" w:type="dxa"/>
          </w:tcPr>
          <w:p w:rsidR="00000000" w:rsidRDefault="00457650">
            <w:pPr>
              <w:widowControl/>
              <w:tabs>
                <w:tab w:val="left" w:pos="630"/>
              </w:tabs>
              <w:spacing w:before="60" w:after="120" w:line="340" w:lineRule="exact"/>
              <w:jc w:val="center"/>
              <w:rPr>
                <w:sz w:val="18"/>
              </w:rPr>
            </w:pPr>
            <w:r>
              <w:rPr>
                <w:sz w:val="18"/>
              </w:rPr>
              <w:t>45%</w:t>
            </w:r>
          </w:p>
        </w:tc>
      </w:tr>
      <w:tr w:rsidR="00000000">
        <w:tblPrEx>
          <w:tblCellMar>
            <w:top w:w="0" w:type="dxa"/>
            <w:bottom w:w="0" w:type="dxa"/>
          </w:tblCellMar>
        </w:tblPrEx>
        <w:tc>
          <w:tcPr>
            <w:tcW w:w="1928" w:type="dxa"/>
          </w:tcPr>
          <w:p w:rsidR="00000000" w:rsidRDefault="00457650" w:rsidP="00457650">
            <w:pPr>
              <w:widowControl/>
              <w:tabs>
                <w:tab w:val="left" w:pos="630"/>
              </w:tabs>
              <w:spacing w:before="60" w:after="120" w:line="340" w:lineRule="exact"/>
              <w:ind w:leftChars="50" w:left="31680"/>
              <w:rPr>
                <w:rFonts w:hint="eastAsia"/>
                <w:sz w:val="18"/>
              </w:rPr>
            </w:pPr>
            <w:r>
              <w:rPr>
                <w:rFonts w:hint="eastAsia"/>
                <w:sz w:val="18"/>
              </w:rPr>
              <w:t>35</w:t>
            </w:r>
            <w:r>
              <w:rPr>
                <w:rFonts w:hint="eastAsia"/>
                <w:sz w:val="18"/>
              </w:rPr>
              <w:t>至</w:t>
            </w:r>
            <w:r>
              <w:rPr>
                <w:rFonts w:hint="eastAsia"/>
                <w:sz w:val="18"/>
              </w:rPr>
              <w:t>39</w:t>
            </w:r>
            <w:r>
              <w:rPr>
                <w:rFonts w:hint="eastAsia"/>
                <w:sz w:val="18"/>
              </w:rPr>
              <w:t>岁</w:t>
            </w:r>
          </w:p>
        </w:tc>
        <w:tc>
          <w:tcPr>
            <w:tcW w:w="1320" w:type="dxa"/>
          </w:tcPr>
          <w:p w:rsidR="00000000" w:rsidRDefault="00457650">
            <w:pPr>
              <w:widowControl/>
              <w:tabs>
                <w:tab w:val="left" w:pos="630"/>
              </w:tabs>
              <w:spacing w:before="60" w:after="120" w:line="340" w:lineRule="exact"/>
              <w:jc w:val="center"/>
              <w:rPr>
                <w:sz w:val="18"/>
              </w:rPr>
            </w:pPr>
            <w:r>
              <w:rPr>
                <w:sz w:val="18"/>
              </w:rPr>
              <w:t>6 352 538</w:t>
            </w:r>
          </w:p>
        </w:tc>
        <w:tc>
          <w:tcPr>
            <w:tcW w:w="1257" w:type="dxa"/>
          </w:tcPr>
          <w:p w:rsidR="00000000" w:rsidRDefault="00457650">
            <w:pPr>
              <w:widowControl/>
              <w:tabs>
                <w:tab w:val="left" w:pos="630"/>
              </w:tabs>
              <w:spacing w:before="60" w:after="120" w:line="340" w:lineRule="exact"/>
              <w:jc w:val="center"/>
              <w:rPr>
                <w:sz w:val="18"/>
              </w:rPr>
            </w:pPr>
            <w:r>
              <w:rPr>
                <w:sz w:val="18"/>
              </w:rPr>
              <w:t>3 217 912</w:t>
            </w:r>
          </w:p>
        </w:tc>
        <w:tc>
          <w:tcPr>
            <w:tcW w:w="900" w:type="dxa"/>
          </w:tcPr>
          <w:p w:rsidR="00000000" w:rsidRDefault="00457650">
            <w:pPr>
              <w:widowControl/>
              <w:tabs>
                <w:tab w:val="left" w:pos="630"/>
              </w:tabs>
              <w:spacing w:before="60" w:after="120" w:line="340" w:lineRule="exact"/>
              <w:jc w:val="center"/>
              <w:rPr>
                <w:sz w:val="18"/>
              </w:rPr>
            </w:pPr>
            <w:r>
              <w:rPr>
                <w:sz w:val="18"/>
              </w:rPr>
              <w:t>51%</w:t>
            </w:r>
          </w:p>
        </w:tc>
        <w:tc>
          <w:tcPr>
            <w:tcW w:w="1300" w:type="dxa"/>
          </w:tcPr>
          <w:p w:rsidR="00000000" w:rsidRDefault="00457650">
            <w:pPr>
              <w:widowControl/>
              <w:tabs>
                <w:tab w:val="left" w:pos="630"/>
              </w:tabs>
              <w:spacing w:before="60" w:after="120" w:line="340" w:lineRule="exact"/>
              <w:jc w:val="center"/>
              <w:rPr>
                <w:sz w:val="18"/>
              </w:rPr>
            </w:pPr>
            <w:r>
              <w:rPr>
                <w:sz w:val="18"/>
              </w:rPr>
              <w:t>1 403 300</w:t>
            </w:r>
          </w:p>
        </w:tc>
        <w:tc>
          <w:tcPr>
            <w:tcW w:w="898" w:type="dxa"/>
          </w:tcPr>
          <w:p w:rsidR="00000000" w:rsidRDefault="00457650">
            <w:pPr>
              <w:widowControl/>
              <w:tabs>
                <w:tab w:val="left" w:pos="630"/>
              </w:tabs>
              <w:spacing w:before="60" w:after="120" w:line="340" w:lineRule="exact"/>
              <w:jc w:val="center"/>
              <w:rPr>
                <w:sz w:val="18"/>
              </w:rPr>
            </w:pPr>
            <w:r>
              <w:rPr>
                <w:sz w:val="18"/>
              </w:rPr>
              <w:t>46%</w:t>
            </w:r>
          </w:p>
        </w:tc>
        <w:tc>
          <w:tcPr>
            <w:tcW w:w="1300" w:type="dxa"/>
          </w:tcPr>
          <w:p w:rsidR="00000000" w:rsidRDefault="00457650">
            <w:pPr>
              <w:widowControl/>
              <w:tabs>
                <w:tab w:val="left" w:pos="630"/>
              </w:tabs>
              <w:spacing w:before="60" w:after="120" w:line="340" w:lineRule="exact"/>
              <w:jc w:val="center"/>
              <w:rPr>
                <w:sz w:val="18"/>
              </w:rPr>
            </w:pPr>
            <w:r>
              <w:rPr>
                <w:sz w:val="18"/>
              </w:rPr>
              <w:t>1 814 612</w:t>
            </w:r>
          </w:p>
        </w:tc>
        <w:tc>
          <w:tcPr>
            <w:tcW w:w="963" w:type="dxa"/>
          </w:tcPr>
          <w:p w:rsidR="00000000" w:rsidRDefault="00457650">
            <w:pPr>
              <w:widowControl/>
              <w:tabs>
                <w:tab w:val="left" w:pos="630"/>
              </w:tabs>
              <w:spacing w:before="60" w:after="120" w:line="340" w:lineRule="exact"/>
              <w:jc w:val="center"/>
              <w:rPr>
                <w:sz w:val="18"/>
              </w:rPr>
            </w:pPr>
            <w:r>
              <w:rPr>
                <w:sz w:val="18"/>
              </w:rPr>
              <w:t>55%</w:t>
            </w:r>
          </w:p>
        </w:tc>
      </w:tr>
      <w:tr w:rsidR="00000000">
        <w:tblPrEx>
          <w:tblCellMar>
            <w:top w:w="0" w:type="dxa"/>
            <w:bottom w:w="0" w:type="dxa"/>
          </w:tblCellMar>
        </w:tblPrEx>
        <w:tc>
          <w:tcPr>
            <w:tcW w:w="1928" w:type="dxa"/>
          </w:tcPr>
          <w:p w:rsidR="00000000" w:rsidRDefault="00457650" w:rsidP="00457650">
            <w:pPr>
              <w:widowControl/>
              <w:tabs>
                <w:tab w:val="left" w:pos="630"/>
              </w:tabs>
              <w:spacing w:before="60" w:after="120" w:line="340" w:lineRule="exact"/>
              <w:ind w:leftChars="50" w:left="31680"/>
              <w:rPr>
                <w:rFonts w:hint="eastAsia"/>
                <w:sz w:val="18"/>
              </w:rPr>
            </w:pPr>
            <w:r>
              <w:rPr>
                <w:rFonts w:hint="eastAsia"/>
                <w:sz w:val="18"/>
              </w:rPr>
              <w:t>4</w:t>
            </w:r>
            <w:r>
              <w:rPr>
                <w:rFonts w:hint="eastAsia"/>
                <w:sz w:val="18"/>
              </w:rPr>
              <w:t>0</w:t>
            </w:r>
            <w:r>
              <w:rPr>
                <w:rFonts w:hint="eastAsia"/>
                <w:sz w:val="18"/>
              </w:rPr>
              <w:t>至</w:t>
            </w:r>
            <w:r>
              <w:rPr>
                <w:rFonts w:hint="eastAsia"/>
                <w:sz w:val="18"/>
              </w:rPr>
              <w:t>44</w:t>
            </w:r>
            <w:r>
              <w:rPr>
                <w:rFonts w:hint="eastAsia"/>
                <w:sz w:val="18"/>
              </w:rPr>
              <w:t>岁</w:t>
            </w:r>
          </w:p>
        </w:tc>
        <w:tc>
          <w:tcPr>
            <w:tcW w:w="1320" w:type="dxa"/>
          </w:tcPr>
          <w:p w:rsidR="00000000" w:rsidRDefault="00457650">
            <w:pPr>
              <w:widowControl/>
              <w:tabs>
                <w:tab w:val="left" w:pos="630"/>
              </w:tabs>
              <w:spacing w:before="60" w:after="120" w:line="340" w:lineRule="exact"/>
              <w:jc w:val="center"/>
              <w:rPr>
                <w:sz w:val="18"/>
              </w:rPr>
            </w:pPr>
            <w:r>
              <w:rPr>
                <w:sz w:val="18"/>
              </w:rPr>
              <w:t>5 194 833</w:t>
            </w:r>
          </w:p>
        </w:tc>
        <w:tc>
          <w:tcPr>
            <w:tcW w:w="1257" w:type="dxa"/>
          </w:tcPr>
          <w:p w:rsidR="00000000" w:rsidRDefault="00457650">
            <w:pPr>
              <w:widowControl/>
              <w:tabs>
                <w:tab w:val="left" w:pos="630"/>
              </w:tabs>
              <w:spacing w:before="60" w:after="120" w:line="340" w:lineRule="exact"/>
              <w:jc w:val="center"/>
              <w:rPr>
                <w:sz w:val="18"/>
              </w:rPr>
            </w:pPr>
            <w:r>
              <w:rPr>
                <w:sz w:val="18"/>
              </w:rPr>
              <w:t>3 075 386</w:t>
            </w:r>
          </w:p>
        </w:tc>
        <w:tc>
          <w:tcPr>
            <w:tcW w:w="900" w:type="dxa"/>
          </w:tcPr>
          <w:p w:rsidR="00000000" w:rsidRDefault="00457650">
            <w:pPr>
              <w:widowControl/>
              <w:tabs>
                <w:tab w:val="left" w:pos="630"/>
              </w:tabs>
              <w:spacing w:before="60" w:after="120" w:line="340" w:lineRule="exact"/>
              <w:jc w:val="center"/>
              <w:rPr>
                <w:sz w:val="18"/>
              </w:rPr>
            </w:pPr>
            <w:r>
              <w:rPr>
                <w:sz w:val="18"/>
              </w:rPr>
              <w:t>59%</w:t>
            </w:r>
          </w:p>
        </w:tc>
        <w:tc>
          <w:tcPr>
            <w:tcW w:w="1300" w:type="dxa"/>
          </w:tcPr>
          <w:p w:rsidR="00000000" w:rsidRDefault="00457650">
            <w:pPr>
              <w:widowControl/>
              <w:tabs>
                <w:tab w:val="left" w:pos="630"/>
              </w:tabs>
              <w:spacing w:before="60" w:after="120" w:line="340" w:lineRule="exact"/>
              <w:jc w:val="center"/>
              <w:rPr>
                <w:sz w:val="18"/>
              </w:rPr>
            </w:pPr>
            <w:r>
              <w:rPr>
                <w:sz w:val="18"/>
              </w:rPr>
              <w:t>1 348 003</w:t>
            </w:r>
          </w:p>
        </w:tc>
        <w:tc>
          <w:tcPr>
            <w:tcW w:w="898" w:type="dxa"/>
          </w:tcPr>
          <w:p w:rsidR="00000000" w:rsidRDefault="00457650">
            <w:pPr>
              <w:widowControl/>
              <w:tabs>
                <w:tab w:val="left" w:pos="630"/>
              </w:tabs>
              <w:spacing w:before="60" w:after="120" w:line="340" w:lineRule="exact"/>
              <w:jc w:val="center"/>
              <w:rPr>
                <w:sz w:val="18"/>
              </w:rPr>
            </w:pPr>
            <w:r>
              <w:rPr>
                <w:sz w:val="18"/>
              </w:rPr>
              <w:t>54%</w:t>
            </w:r>
          </w:p>
        </w:tc>
        <w:tc>
          <w:tcPr>
            <w:tcW w:w="1300" w:type="dxa"/>
          </w:tcPr>
          <w:p w:rsidR="00000000" w:rsidRDefault="00457650">
            <w:pPr>
              <w:widowControl/>
              <w:tabs>
                <w:tab w:val="left" w:pos="630"/>
              </w:tabs>
              <w:spacing w:before="60" w:after="120" w:line="340" w:lineRule="exact"/>
              <w:jc w:val="center"/>
              <w:rPr>
                <w:sz w:val="18"/>
              </w:rPr>
            </w:pPr>
            <w:r>
              <w:rPr>
                <w:sz w:val="18"/>
              </w:rPr>
              <w:t>1 727 383</w:t>
            </w:r>
          </w:p>
        </w:tc>
        <w:tc>
          <w:tcPr>
            <w:tcW w:w="963" w:type="dxa"/>
          </w:tcPr>
          <w:p w:rsidR="00000000" w:rsidRDefault="00457650">
            <w:pPr>
              <w:widowControl/>
              <w:tabs>
                <w:tab w:val="left" w:pos="630"/>
              </w:tabs>
              <w:spacing w:before="60" w:after="120" w:line="340" w:lineRule="exact"/>
              <w:jc w:val="center"/>
              <w:rPr>
                <w:sz w:val="18"/>
              </w:rPr>
            </w:pPr>
            <w:r>
              <w:rPr>
                <w:sz w:val="18"/>
              </w:rPr>
              <w:t>64%</w:t>
            </w:r>
          </w:p>
        </w:tc>
      </w:tr>
      <w:tr w:rsidR="00000000">
        <w:tblPrEx>
          <w:tblCellMar>
            <w:top w:w="0" w:type="dxa"/>
            <w:bottom w:w="0" w:type="dxa"/>
          </w:tblCellMar>
        </w:tblPrEx>
        <w:tc>
          <w:tcPr>
            <w:tcW w:w="1928" w:type="dxa"/>
          </w:tcPr>
          <w:p w:rsidR="00000000" w:rsidRDefault="00457650" w:rsidP="00457650">
            <w:pPr>
              <w:widowControl/>
              <w:tabs>
                <w:tab w:val="left" w:pos="630"/>
              </w:tabs>
              <w:spacing w:before="60" w:after="120" w:line="340" w:lineRule="exact"/>
              <w:ind w:leftChars="50" w:left="31680"/>
              <w:rPr>
                <w:rFonts w:hint="eastAsia"/>
                <w:sz w:val="18"/>
              </w:rPr>
            </w:pPr>
            <w:r>
              <w:rPr>
                <w:rFonts w:hint="eastAsia"/>
                <w:sz w:val="18"/>
              </w:rPr>
              <w:t>45</w:t>
            </w:r>
            <w:r>
              <w:rPr>
                <w:rFonts w:hint="eastAsia"/>
                <w:sz w:val="18"/>
              </w:rPr>
              <w:t>至</w:t>
            </w:r>
            <w:r>
              <w:rPr>
                <w:rFonts w:hint="eastAsia"/>
                <w:sz w:val="18"/>
              </w:rPr>
              <w:t>49</w:t>
            </w:r>
            <w:r>
              <w:rPr>
                <w:rFonts w:hint="eastAsia"/>
                <w:sz w:val="18"/>
              </w:rPr>
              <w:t>岁</w:t>
            </w:r>
          </w:p>
        </w:tc>
        <w:tc>
          <w:tcPr>
            <w:tcW w:w="1320" w:type="dxa"/>
          </w:tcPr>
          <w:p w:rsidR="00000000" w:rsidRDefault="00457650">
            <w:pPr>
              <w:widowControl/>
              <w:tabs>
                <w:tab w:val="left" w:pos="630"/>
              </w:tabs>
              <w:spacing w:before="60" w:after="120" w:line="340" w:lineRule="exact"/>
              <w:jc w:val="center"/>
              <w:rPr>
                <w:sz w:val="18"/>
              </w:rPr>
            </w:pPr>
            <w:r>
              <w:rPr>
                <w:sz w:val="18"/>
              </w:rPr>
              <w:t>4 072 091</w:t>
            </w:r>
          </w:p>
        </w:tc>
        <w:tc>
          <w:tcPr>
            <w:tcW w:w="1257" w:type="dxa"/>
          </w:tcPr>
          <w:p w:rsidR="00000000" w:rsidRDefault="00457650">
            <w:pPr>
              <w:widowControl/>
              <w:tabs>
                <w:tab w:val="left" w:pos="630"/>
              </w:tabs>
              <w:spacing w:before="60" w:after="120" w:line="340" w:lineRule="exact"/>
              <w:jc w:val="center"/>
              <w:rPr>
                <w:sz w:val="18"/>
              </w:rPr>
            </w:pPr>
            <w:r>
              <w:rPr>
                <w:sz w:val="18"/>
              </w:rPr>
              <w:t>2 733 831</w:t>
            </w:r>
          </w:p>
        </w:tc>
        <w:tc>
          <w:tcPr>
            <w:tcW w:w="900" w:type="dxa"/>
          </w:tcPr>
          <w:p w:rsidR="00000000" w:rsidRDefault="00457650">
            <w:pPr>
              <w:widowControl/>
              <w:tabs>
                <w:tab w:val="left" w:pos="630"/>
              </w:tabs>
              <w:spacing w:before="60" w:after="120" w:line="340" w:lineRule="exact"/>
              <w:jc w:val="center"/>
              <w:rPr>
                <w:sz w:val="18"/>
              </w:rPr>
            </w:pPr>
            <w:r>
              <w:rPr>
                <w:sz w:val="18"/>
              </w:rPr>
              <w:t>67%</w:t>
            </w:r>
          </w:p>
        </w:tc>
        <w:tc>
          <w:tcPr>
            <w:tcW w:w="1300" w:type="dxa"/>
          </w:tcPr>
          <w:p w:rsidR="00000000" w:rsidRDefault="00457650">
            <w:pPr>
              <w:widowControl/>
              <w:tabs>
                <w:tab w:val="left" w:pos="630"/>
              </w:tabs>
              <w:spacing w:before="60" w:after="120" w:line="340" w:lineRule="exact"/>
              <w:jc w:val="center"/>
              <w:rPr>
                <w:sz w:val="18"/>
              </w:rPr>
            </w:pPr>
            <w:r>
              <w:rPr>
                <w:sz w:val="18"/>
              </w:rPr>
              <w:t>1 215 056</w:t>
            </w:r>
          </w:p>
        </w:tc>
        <w:tc>
          <w:tcPr>
            <w:tcW w:w="898" w:type="dxa"/>
          </w:tcPr>
          <w:p w:rsidR="00000000" w:rsidRDefault="00457650">
            <w:pPr>
              <w:widowControl/>
              <w:tabs>
                <w:tab w:val="left" w:pos="630"/>
              </w:tabs>
              <w:spacing w:before="60" w:after="120" w:line="340" w:lineRule="exact"/>
              <w:jc w:val="center"/>
              <w:rPr>
                <w:sz w:val="18"/>
              </w:rPr>
            </w:pPr>
            <w:r>
              <w:rPr>
                <w:sz w:val="18"/>
              </w:rPr>
              <w:t>62%</w:t>
            </w:r>
          </w:p>
        </w:tc>
        <w:tc>
          <w:tcPr>
            <w:tcW w:w="1300" w:type="dxa"/>
          </w:tcPr>
          <w:p w:rsidR="00000000" w:rsidRDefault="00457650">
            <w:pPr>
              <w:widowControl/>
              <w:tabs>
                <w:tab w:val="left" w:pos="630"/>
              </w:tabs>
              <w:spacing w:before="60" w:after="120" w:line="340" w:lineRule="exact"/>
              <w:jc w:val="center"/>
              <w:rPr>
                <w:sz w:val="18"/>
              </w:rPr>
            </w:pPr>
            <w:r>
              <w:rPr>
                <w:sz w:val="18"/>
              </w:rPr>
              <w:t>1 518 775</w:t>
            </w:r>
          </w:p>
        </w:tc>
        <w:tc>
          <w:tcPr>
            <w:tcW w:w="963" w:type="dxa"/>
          </w:tcPr>
          <w:p w:rsidR="00000000" w:rsidRDefault="00457650">
            <w:pPr>
              <w:widowControl/>
              <w:tabs>
                <w:tab w:val="left" w:pos="630"/>
              </w:tabs>
              <w:spacing w:before="60" w:after="120" w:line="340" w:lineRule="exact"/>
              <w:jc w:val="center"/>
              <w:rPr>
                <w:sz w:val="18"/>
              </w:rPr>
            </w:pPr>
            <w:r>
              <w:rPr>
                <w:sz w:val="18"/>
              </w:rPr>
              <w:t>72%</w:t>
            </w:r>
          </w:p>
        </w:tc>
      </w:tr>
      <w:tr w:rsidR="00000000">
        <w:tblPrEx>
          <w:tblCellMar>
            <w:top w:w="0" w:type="dxa"/>
            <w:bottom w:w="0" w:type="dxa"/>
          </w:tblCellMar>
        </w:tblPrEx>
        <w:tc>
          <w:tcPr>
            <w:tcW w:w="1928" w:type="dxa"/>
          </w:tcPr>
          <w:p w:rsidR="00000000" w:rsidRDefault="00457650" w:rsidP="00457650">
            <w:pPr>
              <w:widowControl/>
              <w:tabs>
                <w:tab w:val="left" w:pos="630"/>
              </w:tabs>
              <w:spacing w:before="60" w:after="120" w:line="340" w:lineRule="exact"/>
              <w:ind w:leftChars="50" w:left="31680"/>
              <w:rPr>
                <w:rFonts w:hint="eastAsia"/>
                <w:sz w:val="18"/>
              </w:rPr>
            </w:pPr>
            <w:r>
              <w:rPr>
                <w:rFonts w:hint="eastAsia"/>
                <w:sz w:val="18"/>
              </w:rPr>
              <w:t>50</w:t>
            </w:r>
            <w:r>
              <w:rPr>
                <w:rFonts w:hint="eastAsia"/>
                <w:sz w:val="18"/>
              </w:rPr>
              <w:t>至</w:t>
            </w:r>
            <w:r>
              <w:rPr>
                <w:rFonts w:hint="eastAsia"/>
                <w:sz w:val="18"/>
              </w:rPr>
              <w:t>54</w:t>
            </w:r>
            <w:r>
              <w:rPr>
                <w:rFonts w:hint="eastAsia"/>
                <w:sz w:val="18"/>
              </w:rPr>
              <w:t>岁</w:t>
            </w:r>
          </w:p>
        </w:tc>
        <w:tc>
          <w:tcPr>
            <w:tcW w:w="1320" w:type="dxa"/>
          </w:tcPr>
          <w:p w:rsidR="00000000" w:rsidRDefault="00457650">
            <w:pPr>
              <w:widowControl/>
              <w:tabs>
                <w:tab w:val="left" w:pos="630"/>
              </w:tabs>
              <w:spacing w:before="60" w:after="120" w:line="340" w:lineRule="exact"/>
              <w:jc w:val="center"/>
              <w:rPr>
                <w:sz w:val="18"/>
              </w:rPr>
            </w:pPr>
            <w:r>
              <w:rPr>
                <w:sz w:val="18"/>
              </w:rPr>
              <w:t>3 357 953</w:t>
            </w:r>
          </w:p>
        </w:tc>
        <w:tc>
          <w:tcPr>
            <w:tcW w:w="1257" w:type="dxa"/>
          </w:tcPr>
          <w:p w:rsidR="00000000" w:rsidRDefault="00457650">
            <w:pPr>
              <w:widowControl/>
              <w:tabs>
                <w:tab w:val="left" w:pos="630"/>
              </w:tabs>
              <w:spacing w:before="60" w:after="120" w:line="340" w:lineRule="exact"/>
              <w:jc w:val="center"/>
              <w:rPr>
                <w:sz w:val="18"/>
              </w:rPr>
            </w:pPr>
            <w:r>
              <w:rPr>
                <w:sz w:val="18"/>
              </w:rPr>
              <w:t>2 465 517</w:t>
            </w:r>
          </w:p>
        </w:tc>
        <w:tc>
          <w:tcPr>
            <w:tcW w:w="900" w:type="dxa"/>
          </w:tcPr>
          <w:p w:rsidR="00000000" w:rsidRDefault="00457650">
            <w:pPr>
              <w:widowControl/>
              <w:tabs>
                <w:tab w:val="left" w:pos="630"/>
              </w:tabs>
              <w:spacing w:before="60" w:after="120" w:line="340" w:lineRule="exact"/>
              <w:jc w:val="center"/>
              <w:rPr>
                <w:sz w:val="18"/>
              </w:rPr>
            </w:pPr>
            <w:r>
              <w:rPr>
                <w:sz w:val="18"/>
              </w:rPr>
              <w:t>73%</w:t>
            </w:r>
          </w:p>
        </w:tc>
        <w:tc>
          <w:tcPr>
            <w:tcW w:w="1300" w:type="dxa"/>
          </w:tcPr>
          <w:p w:rsidR="00000000" w:rsidRDefault="00457650">
            <w:pPr>
              <w:widowControl/>
              <w:tabs>
                <w:tab w:val="left" w:pos="630"/>
              </w:tabs>
              <w:spacing w:before="60" w:after="120" w:line="340" w:lineRule="exact"/>
              <w:jc w:val="center"/>
              <w:rPr>
                <w:sz w:val="18"/>
              </w:rPr>
            </w:pPr>
            <w:r>
              <w:rPr>
                <w:sz w:val="18"/>
              </w:rPr>
              <w:t>1 121 358</w:t>
            </w:r>
          </w:p>
        </w:tc>
        <w:tc>
          <w:tcPr>
            <w:tcW w:w="898" w:type="dxa"/>
          </w:tcPr>
          <w:p w:rsidR="00000000" w:rsidRDefault="00457650">
            <w:pPr>
              <w:widowControl/>
              <w:tabs>
                <w:tab w:val="left" w:pos="630"/>
              </w:tabs>
              <w:spacing w:before="60" w:after="120" w:line="340" w:lineRule="exact"/>
              <w:jc w:val="center"/>
              <w:rPr>
                <w:sz w:val="18"/>
              </w:rPr>
            </w:pPr>
            <w:r>
              <w:rPr>
                <w:sz w:val="18"/>
              </w:rPr>
              <w:t>69%</w:t>
            </w:r>
          </w:p>
        </w:tc>
        <w:tc>
          <w:tcPr>
            <w:tcW w:w="1300" w:type="dxa"/>
          </w:tcPr>
          <w:p w:rsidR="00000000" w:rsidRDefault="00457650">
            <w:pPr>
              <w:widowControl/>
              <w:tabs>
                <w:tab w:val="left" w:pos="630"/>
              </w:tabs>
              <w:spacing w:before="60" w:after="120" w:line="340" w:lineRule="exact"/>
              <w:jc w:val="center"/>
              <w:rPr>
                <w:sz w:val="18"/>
              </w:rPr>
            </w:pPr>
            <w:r>
              <w:rPr>
                <w:sz w:val="18"/>
              </w:rPr>
              <w:t>1 344 159</w:t>
            </w:r>
          </w:p>
        </w:tc>
        <w:tc>
          <w:tcPr>
            <w:tcW w:w="963" w:type="dxa"/>
          </w:tcPr>
          <w:p w:rsidR="00000000" w:rsidRDefault="00457650">
            <w:pPr>
              <w:widowControl/>
              <w:tabs>
                <w:tab w:val="left" w:pos="630"/>
              </w:tabs>
              <w:spacing w:before="60" w:after="120" w:line="340" w:lineRule="exact"/>
              <w:jc w:val="center"/>
              <w:rPr>
                <w:sz w:val="18"/>
              </w:rPr>
            </w:pPr>
            <w:r>
              <w:rPr>
                <w:sz w:val="18"/>
              </w:rPr>
              <w:t>78%</w:t>
            </w:r>
          </w:p>
        </w:tc>
      </w:tr>
      <w:tr w:rsidR="00000000">
        <w:tblPrEx>
          <w:tblCellMar>
            <w:top w:w="0" w:type="dxa"/>
            <w:bottom w:w="0" w:type="dxa"/>
          </w:tblCellMar>
        </w:tblPrEx>
        <w:tc>
          <w:tcPr>
            <w:tcW w:w="1928" w:type="dxa"/>
          </w:tcPr>
          <w:p w:rsidR="00000000" w:rsidRDefault="00457650" w:rsidP="00457650">
            <w:pPr>
              <w:widowControl/>
              <w:tabs>
                <w:tab w:val="left" w:pos="630"/>
              </w:tabs>
              <w:spacing w:before="60" w:after="120" w:line="340" w:lineRule="exact"/>
              <w:ind w:leftChars="50" w:left="31680"/>
              <w:rPr>
                <w:rFonts w:hint="eastAsia"/>
                <w:sz w:val="18"/>
              </w:rPr>
            </w:pPr>
            <w:r>
              <w:rPr>
                <w:rFonts w:hint="eastAsia"/>
                <w:sz w:val="18"/>
              </w:rPr>
              <w:t>55</w:t>
            </w:r>
            <w:r>
              <w:rPr>
                <w:rFonts w:hint="eastAsia"/>
                <w:sz w:val="18"/>
              </w:rPr>
              <w:t>至</w:t>
            </w:r>
            <w:r>
              <w:rPr>
                <w:rFonts w:hint="eastAsia"/>
                <w:sz w:val="18"/>
              </w:rPr>
              <w:t>59</w:t>
            </w:r>
            <w:r>
              <w:rPr>
                <w:rFonts w:hint="eastAsia"/>
                <w:sz w:val="18"/>
              </w:rPr>
              <w:t>岁</w:t>
            </w:r>
          </w:p>
        </w:tc>
        <w:tc>
          <w:tcPr>
            <w:tcW w:w="1320" w:type="dxa"/>
          </w:tcPr>
          <w:p w:rsidR="00000000" w:rsidRDefault="00457650">
            <w:pPr>
              <w:widowControl/>
              <w:tabs>
                <w:tab w:val="left" w:pos="630"/>
              </w:tabs>
              <w:spacing w:before="60" w:after="120" w:line="340" w:lineRule="exact"/>
              <w:jc w:val="center"/>
              <w:rPr>
                <w:sz w:val="18"/>
              </w:rPr>
            </w:pPr>
            <w:r>
              <w:rPr>
                <w:sz w:val="18"/>
              </w:rPr>
              <w:t>2 559 231</w:t>
            </w:r>
          </w:p>
        </w:tc>
        <w:tc>
          <w:tcPr>
            <w:tcW w:w="1257" w:type="dxa"/>
          </w:tcPr>
          <w:p w:rsidR="00000000" w:rsidRDefault="00457650">
            <w:pPr>
              <w:widowControl/>
              <w:tabs>
                <w:tab w:val="left" w:pos="630"/>
              </w:tabs>
              <w:spacing w:before="60" w:after="120" w:line="340" w:lineRule="exact"/>
              <w:jc w:val="center"/>
              <w:rPr>
                <w:sz w:val="18"/>
              </w:rPr>
            </w:pPr>
            <w:r>
              <w:rPr>
                <w:sz w:val="18"/>
              </w:rPr>
              <w:t>2 049 346</w:t>
            </w:r>
          </w:p>
        </w:tc>
        <w:tc>
          <w:tcPr>
            <w:tcW w:w="900" w:type="dxa"/>
          </w:tcPr>
          <w:p w:rsidR="00000000" w:rsidRDefault="00457650">
            <w:pPr>
              <w:widowControl/>
              <w:tabs>
                <w:tab w:val="left" w:pos="630"/>
              </w:tabs>
              <w:spacing w:before="60" w:after="120" w:line="340" w:lineRule="exact"/>
              <w:jc w:val="center"/>
              <w:rPr>
                <w:sz w:val="18"/>
              </w:rPr>
            </w:pPr>
            <w:r>
              <w:rPr>
                <w:sz w:val="18"/>
              </w:rPr>
              <w:t>80%</w:t>
            </w:r>
          </w:p>
        </w:tc>
        <w:tc>
          <w:tcPr>
            <w:tcW w:w="1300" w:type="dxa"/>
          </w:tcPr>
          <w:p w:rsidR="00000000" w:rsidRDefault="00457650">
            <w:pPr>
              <w:widowControl/>
              <w:tabs>
                <w:tab w:val="left" w:pos="630"/>
              </w:tabs>
              <w:spacing w:before="60" w:after="120" w:line="340" w:lineRule="exact"/>
              <w:jc w:val="center"/>
              <w:rPr>
                <w:sz w:val="18"/>
              </w:rPr>
            </w:pPr>
            <w:r>
              <w:rPr>
                <w:sz w:val="18"/>
              </w:rPr>
              <w:t>944 644</w:t>
            </w:r>
          </w:p>
        </w:tc>
        <w:tc>
          <w:tcPr>
            <w:tcW w:w="898" w:type="dxa"/>
          </w:tcPr>
          <w:p w:rsidR="00000000" w:rsidRDefault="00457650">
            <w:pPr>
              <w:widowControl/>
              <w:tabs>
                <w:tab w:val="left" w:pos="630"/>
              </w:tabs>
              <w:spacing w:before="60" w:after="120" w:line="340" w:lineRule="exact"/>
              <w:jc w:val="center"/>
              <w:rPr>
                <w:sz w:val="18"/>
              </w:rPr>
            </w:pPr>
            <w:r>
              <w:rPr>
                <w:sz w:val="18"/>
              </w:rPr>
              <w:t>77%</w:t>
            </w:r>
          </w:p>
        </w:tc>
        <w:tc>
          <w:tcPr>
            <w:tcW w:w="1300" w:type="dxa"/>
          </w:tcPr>
          <w:p w:rsidR="00000000" w:rsidRDefault="00457650">
            <w:pPr>
              <w:widowControl/>
              <w:tabs>
                <w:tab w:val="left" w:pos="630"/>
              </w:tabs>
              <w:spacing w:before="60" w:after="120" w:line="340" w:lineRule="exact"/>
              <w:jc w:val="center"/>
              <w:rPr>
                <w:sz w:val="18"/>
              </w:rPr>
            </w:pPr>
            <w:r>
              <w:rPr>
                <w:sz w:val="18"/>
              </w:rPr>
              <w:t>1 104 702</w:t>
            </w:r>
          </w:p>
        </w:tc>
        <w:tc>
          <w:tcPr>
            <w:tcW w:w="963" w:type="dxa"/>
          </w:tcPr>
          <w:p w:rsidR="00000000" w:rsidRDefault="00457650">
            <w:pPr>
              <w:widowControl/>
              <w:tabs>
                <w:tab w:val="left" w:pos="630"/>
              </w:tabs>
              <w:spacing w:before="60" w:after="120" w:line="340" w:lineRule="exact"/>
              <w:jc w:val="center"/>
              <w:rPr>
                <w:sz w:val="18"/>
              </w:rPr>
            </w:pPr>
            <w:r>
              <w:rPr>
                <w:sz w:val="18"/>
              </w:rPr>
              <w:t>83%</w:t>
            </w:r>
          </w:p>
        </w:tc>
      </w:tr>
      <w:tr w:rsidR="00000000">
        <w:tblPrEx>
          <w:tblCellMar>
            <w:top w:w="0" w:type="dxa"/>
            <w:bottom w:w="0" w:type="dxa"/>
          </w:tblCellMar>
        </w:tblPrEx>
        <w:tc>
          <w:tcPr>
            <w:tcW w:w="1928" w:type="dxa"/>
          </w:tcPr>
          <w:p w:rsidR="00000000" w:rsidRDefault="00457650" w:rsidP="00457650">
            <w:pPr>
              <w:widowControl/>
              <w:tabs>
                <w:tab w:val="left" w:pos="630"/>
              </w:tabs>
              <w:spacing w:before="60" w:after="120" w:line="340" w:lineRule="exact"/>
              <w:ind w:leftChars="50" w:left="31680"/>
              <w:rPr>
                <w:rFonts w:hint="eastAsia"/>
                <w:sz w:val="18"/>
              </w:rPr>
            </w:pPr>
            <w:r>
              <w:rPr>
                <w:rFonts w:hint="eastAsia"/>
                <w:sz w:val="18"/>
              </w:rPr>
              <w:t>60</w:t>
            </w:r>
            <w:r>
              <w:rPr>
                <w:rFonts w:hint="eastAsia"/>
                <w:sz w:val="18"/>
              </w:rPr>
              <w:t>至</w:t>
            </w:r>
            <w:r>
              <w:rPr>
                <w:rFonts w:hint="eastAsia"/>
                <w:sz w:val="18"/>
              </w:rPr>
              <w:t>64</w:t>
            </w:r>
            <w:r>
              <w:rPr>
                <w:rFonts w:hint="eastAsia"/>
                <w:sz w:val="18"/>
              </w:rPr>
              <w:t>岁</w:t>
            </w:r>
          </w:p>
        </w:tc>
        <w:tc>
          <w:tcPr>
            <w:tcW w:w="1320" w:type="dxa"/>
          </w:tcPr>
          <w:p w:rsidR="00000000" w:rsidRDefault="00457650">
            <w:pPr>
              <w:widowControl/>
              <w:tabs>
                <w:tab w:val="left" w:pos="630"/>
              </w:tabs>
              <w:spacing w:before="60" w:after="120" w:line="340" w:lineRule="exact"/>
              <w:jc w:val="center"/>
              <w:rPr>
                <w:sz w:val="18"/>
              </w:rPr>
            </w:pPr>
            <w:r>
              <w:rPr>
                <w:sz w:val="18"/>
              </w:rPr>
              <w:t>2 198 146</w:t>
            </w:r>
          </w:p>
        </w:tc>
        <w:tc>
          <w:tcPr>
            <w:tcW w:w="1257" w:type="dxa"/>
          </w:tcPr>
          <w:p w:rsidR="00000000" w:rsidRDefault="00457650">
            <w:pPr>
              <w:widowControl/>
              <w:tabs>
                <w:tab w:val="left" w:pos="630"/>
              </w:tabs>
              <w:spacing w:before="60" w:after="120" w:line="340" w:lineRule="exact"/>
              <w:jc w:val="center"/>
              <w:rPr>
                <w:sz w:val="18"/>
              </w:rPr>
            </w:pPr>
            <w:r>
              <w:rPr>
                <w:sz w:val="18"/>
              </w:rPr>
              <w:t xml:space="preserve">1 </w:t>
            </w:r>
            <w:r>
              <w:rPr>
                <w:sz w:val="18"/>
              </w:rPr>
              <w:t>857 272</w:t>
            </w:r>
          </w:p>
        </w:tc>
        <w:tc>
          <w:tcPr>
            <w:tcW w:w="900" w:type="dxa"/>
          </w:tcPr>
          <w:p w:rsidR="00000000" w:rsidRDefault="00457650">
            <w:pPr>
              <w:widowControl/>
              <w:tabs>
                <w:tab w:val="left" w:pos="630"/>
              </w:tabs>
              <w:spacing w:before="60" w:after="120" w:line="340" w:lineRule="exact"/>
              <w:jc w:val="center"/>
              <w:rPr>
                <w:sz w:val="18"/>
              </w:rPr>
            </w:pPr>
            <w:r>
              <w:rPr>
                <w:sz w:val="18"/>
              </w:rPr>
              <w:t>84%</w:t>
            </w:r>
          </w:p>
        </w:tc>
        <w:tc>
          <w:tcPr>
            <w:tcW w:w="1300" w:type="dxa"/>
          </w:tcPr>
          <w:p w:rsidR="00000000" w:rsidRDefault="00457650">
            <w:pPr>
              <w:widowControl/>
              <w:tabs>
                <w:tab w:val="left" w:pos="630"/>
              </w:tabs>
              <w:spacing w:before="60" w:after="120" w:line="340" w:lineRule="exact"/>
              <w:jc w:val="center"/>
              <w:rPr>
                <w:sz w:val="18"/>
              </w:rPr>
            </w:pPr>
            <w:r>
              <w:rPr>
                <w:sz w:val="18"/>
              </w:rPr>
              <w:t>858 208</w:t>
            </w:r>
          </w:p>
        </w:tc>
        <w:tc>
          <w:tcPr>
            <w:tcW w:w="898" w:type="dxa"/>
          </w:tcPr>
          <w:p w:rsidR="00000000" w:rsidRDefault="00457650">
            <w:pPr>
              <w:widowControl/>
              <w:tabs>
                <w:tab w:val="left" w:pos="630"/>
              </w:tabs>
              <w:spacing w:before="60" w:after="120" w:line="340" w:lineRule="exact"/>
              <w:jc w:val="center"/>
              <w:rPr>
                <w:sz w:val="18"/>
              </w:rPr>
            </w:pPr>
            <w:r>
              <w:rPr>
                <w:sz w:val="18"/>
              </w:rPr>
              <w:t>82%</w:t>
            </w:r>
          </w:p>
        </w:tc>
        <w:tc>
          <w:tcPr>
            <w:tcW w:w="1300" w:type="dxa"/>
          </w:tcPr>
          <w:p w:rsidR="00000000" w:rsidRDefault="00457650">
            <w:pPr>
              <w:widowControl/>
              <w:tabs>
                <w:tab w:val="left" w:pos="630"/>
              </w:tabs>
              <w:spacing w:before="60" w:after="120" w:line="340" w:lineRule="exact"/>
              <w:jc w:val="center"/>
              <w:rPr>
                <w:sz w:val="18"/>
              </w:rPr>
            </w:pPr>
            <w:r>
              <w:rPr>
                <w:sz w:val="18"/>
              </w:rPr>
              <w:t>999 064</w:t>
            </w:r>
          </w:p>
        </w:tc>
        <w:tc>
          <w:tcPr>
            <w:tcW w:w="963" w:type="dxa"/>
          </w:tcPr>
          <w:p w:rsidR="00000000" w:rsidRDefault="00457650">
            <w:pPr>
              <w:widowControl/>
              <w:tabs>
                <w:tab w:val="left" w:pos="630"/>
              </w:tabs>
              <w:spacing w:before="60" w:after="120" w:line="340" w:lineRule="exact"/>
              <w:jc w:val="center"/>
              <w:rPr>
                <w:sz w:val="18"/>
              </w:rPr>
            </w:pPr>
            <w:r>
              <w:rPr>
                <w:sz w:val="18"/>
              </w:rPr>
              <w:t>87%</w:t>
            </w:r>
          </w:p>
        </w:tc>
      </w:tr>
      <w:tr w:rsidR="00000000">
        <w:tblPrEx>
          <w:tblCellMar>
            <w:top w:w="0" w:type="dxa"/>
            <w:bottom w:w="0" w:type="dxa"/>
          </w:tblCellMar>
        </w:tblPrEx>
        <w:tc>
          <w:tcPr>
            <w:tcW w:w="1928" w:type="dxa"/>
            <w:tcBorders>
              <w:bottom w:val="single" w:sz="4" w:space="0" w:color="auto"/>
            </w:tcBorders>
          </w:tcPr>
          <w:p w:rsidR="00000000" w:rsidRDefault="00457650" w:rsidP="00457650">
            <w:pPr>
              <w:widowControl/>
              <w:tabs>
                <w:tab w:val="left" w:pos="630"/>
              </w:tabs>
              <w:spacing w:before="60" w:after="120" w:line="340" w:lineRule="exact"/>
              <w:ind w:leftChars="50" w:left="31680"/>
              <w:rPr>
                <w:rFonts w:hint="eastAsia"/>
                <w:sz w:val="18"/>
              </w:rPr>
            </w:pPr>
            <w:r>
              <w:rPr>
                <w:rFonts w:hint="eastAsia"/>
                <w:sz w:val="18"/>
              </w:rPr>
              <w:t>65</w:t>
            </w:r>
            <w:r>
              <w:rPr>
                <w:rFonts w:hint="eastAsia"/>
                <w:sz w:val="18"/>
              </w:rPr>
              <w:t>岁以上</w:t>
            </w:r>
          </w:p>
        </w:tc>
        <w:tc>
          <w:tcPr>
            <w:tcW w:w="1320" w:type="dxa"/>
            <w:tcBorders>
              <w:bottom w:val="single" w:sz="4" w:space="0" w:color="auto"/>
            </w:tcBorders>
          </w:tcPr>
          <w:p w:rsidR="00000000" w:rsidRDefault="00457650">
            <w:pPr>
              <w:widowControl/>
              <w:tabs>
                <w:tab w:val="left" w:pos="630"/>
              </w:tabs>
              <w:spacing w:before="60" w:after="120" w:line="340" w:lineRule="exact"/>
              <w:jc w:val="center"/>
              <w:rPr>
                <w:sz w:val="18"/>
              </w:rPr>
            </w:pPr>
            <w:r>
              <w:rPr>
                <w:sz w:val="18"/>
              </w:rPr>
              <w:t>4 750 311</w:t>
            </w:r>
          </w:p>
        </w:tc>
        <w:tc>
          <w:tcPr>
            <w:tcW w:w="1257" w:type="dxa"/>
            <w:tcBorders>
              <w:bottom w:val="single" w:sz="4" w:space="0" w:color="auto"/>
            </w:tcBorders>
          </w:tcPr>
          <w:p w:rsidR="00000000" w:rsidRDefault="00457650">
            <w:pPr>
              <w:widowControl/>
              <w:tabs>
                <w:tab w:val="left" w:pos="630"/>
              </w:tabs>
              <w:spacing w:before="60" w:after="120" w:line="340" w:lineRule="exact"/>
              <w:jc w:val="center"/>
              <w:rPr>
                <w:sz w:val="18"/>
              </w:rPr>
            </w:pPr>
            <w:r>
              <w:rPr>
                <w:sz w:val="18"/>
              </w:rPr>
              <w:t>4 210 840</w:t>
            </w:r>
          </w:p>
        </w:tc>
        <w:tc>
          <w:tcPr>
            <w:tcW w:w="900" w:type="dxa"/>
            <w:tcBorders>
              <w:bottom w:val="single" w:sz="4" w:space="0" w:color="auto"/>
            </w:tcBorders>
          </w:tcPr>
          <w:p w:rsidR="00000000" w:rsidRDefault="00457650">
            <w:pPr>
              <w:widowControl/>
              <w:tabs>
                <w:tab w:val="left" w:pos="630"/>
              </w:tabs>
              <w:spacing w:before="60" w:after="120" w:line="340" w:lineRule="exact"/>
              <w:jc w:val="center"/>
              <w:rPr>
                <w:sz w:val="18"/>
              </w:rPr>
            </w:pPr>
            <w:r>
              <w:rPr>
                <w:sz w:val="18"/>
              </w:rPr>
              <w:t>89%</w:t>
            </w:r>
          </w:p>
        </w:tc>
        <w:tc>
          <w:tcPr>
            <w:tcW w:w="1300" w:type="dxa"/>
            <w:tcBorders>
              <w:bottom w:val="single" w:sz="4" w:space="0" w:color="auto"/>
            </w:tcBorders>
          </w:tcPr>
          <w:p w:rsidR="00000000" w:rsidRDefault="00457650">
            <w:pPr>
              <w:widowControl/>
              <w:tabs>
                <w:tab w:val="left" w:pos="630"/>
              </w:tabs>
              <w:spacing w:before="60" w:after="120" w:line="340" w:lineRule="exact"/>
              <w:jc w:val="center"/>
              <w:rPr>
                <w:sz w:val="18"/>
              </w:rPr>
            </w:pPr>
            <w:r>
              <w:rPr>
                <w:sz w:val="18"/>
              </w:rPr>
              <w:t>1 925 439</w:t>
            </w:r>
          </w:p>
        </w:tc>
        <w:tc>
          <w:tcPr>
            <w:tcW w:w="898" w:type="dxa"/>
            <w:tcBorders>
              <w:bottom w:val="single" w:sz="4" w:space="0" w:color="auto"/>
            </w:tcBorders>
          </w:tcPr>
          <w:p w:rsidR="00000000" w:rsidRDefault="00457650">
            <w:pPr>
              <w:widowControl/>
              <w:tabs>
                <w:tab w:val="left" w:pos="630"/>
              </w:tabs>
              <w:spacing w:before="60" w:after="120" w:line="340" w:lineRule="exact"/>
              <w:jc w:val="center"/>
              <w:rPr>
                <w:sz w:val="18"/>
              </w:rPr>
            </w:pPr>
            <w:r>
              <w:rPr>
                <w:sz w:val="18"/>
              </w:rPr>
              <w:t>87%</w:t>
            </w:r>
          </w:p>
        </w:tc>
        <w:tc>
          <w:tcPr>
            <w:tcW w:w="1300" w:type="dxa"/>
            <w:tcBorders>
              <w:bottom w:val="single" w:sz="4" w:space="0" w:color="auto"/>
            </w:tcBorders>
          </w:tcPr>
          <w:p w:rsidR="00000000" w:rsidRDefault="00457650">
            <w:pPr>
              <w:widowControl/>
              <w:tabs>
                <w:tab w:val="left" w:pos="630"/>
              </w:tabs>
              <w:spacing w:before="60" w:after="120" w:line="340" w:lineRule="exact"/>
              <w:jc w:val="center"/>
              <w:rPr>
                <w:sz w:val="18"/>
              </w:rPr>
            </w:pPr>
            <w:r>
              <w:rPr>
                <w:sz w:val="18"/>
              </w:rPr>
              <w:t>2 285 401</w:t>
            </w:r>
          </w:p>
        </w:tc>
        <w:tc>
          <w:tcPr>
            <w:tcW w:w="963" w:type="dxa"/>
            <w:tcBorders>
              <w:bottom w:val="single" w:sz="4" w:space="0" w:color="auto"/>
            </w:tcBorders>
          </w:tcPr>
          <w:p w:rsidR="00000000" w:rsidRDefault="00457650">
            <w:pPr>
              <w:widowControl/>
              <w:tabs>
                <w:tab w:val="left" w:pos="630"/>
              </w:tabs>
              <w:spacing w:before="60" w:after="120" w:line="340" w:lineRule="exact"/>
              <w:jc w:val="center"/>
              <w:rPr>
                <w:sz w:val="18"/>
              </w:rPr>
            </w:pPr>
            <w:r>
              <w:rPr>
                <w:sz w:val="18"/>
              </w:rPr>
              <w:t>90%</w:t>
            </w:r>
          </w:p>
        </w:tc>
      </w:tr>
    </w:tbl>
    <w:p w:rsidR="00000000" w:rsidRDefault="00457650">
      <w:pPr>
        <w:widowControl/>
        <w:tabs>
          <w:tab w:val="left" w:pos="630"/>
        </w:tabs>
        <w:spacing w:after="240" w:line="360" w:lineRule="exact"/>
        <w:rPr>
          <w:rFonts w:hint="eastAsia"/>
          <w:iCs/>
          <w:sz w:val="18"/>
        </w:rPr>
      </w:pPr>
      <w:r>
        <w:rPr>
          <w:rFonts w:eastAsia="KaiTi_GB2312" w:hint="eastAsia"/>
          <w:iCs/>
          <w:sz w:val="18"/>
        </w:rPr>
        <w:t>资料来源</w:t>
      </w:r>
      <w:r>
        <w:rPr>
          <w:rFonts w:hint="eastAsia"/>
          <w:iCs/>
          <w:sz w:val="18"/>
        </w:rPr>
        <w:t>：第</w:t>
      </w:r>
      <w:r>
        <w:rPr>
          <w:rFonts w:hint="eastAsia"/>
          <w:iCs/>
          <w:sz w:val="18"/>
        </w:rPr>
        <w:t>12</w:t>
      </w:r>
      <w:r>
        <w:rPr>
          <w:rFonts w:hint="eastAsia"/>
          <w:iCs/>
          <w:sz w:val="18"/>
        </w:rPr>
        <w:t>次一般人口和住房普查，</w:t>
      </w:r>
      <w:r>
        <w:rPr>
          <w:rFonts w:hint="eastAsia"/>
          <w:iCs/>
          <w:sz w:val="18"/>
        </w:rPr>
        <w:t>2000</w:t>
      </w:r>
      <w:r>
        <w:rPr>
          <w:rFonts w:hint="eastAsia"/>
          <w:iCs/>
          <w:sz w:val="18"/>
        </w:rPr>
        <w:t>年，国家统计、地理和信息技术研究所。</w:t>
      </w:r>
    </w:p>
    <w:p w:rsidR="00000000" w:rsidRDefault="00457650">
      <w:pPr>
        <w:widowControl/>
        <w:tabs>
          <w:tab w:val="left" w:pos="630"/>
        </w:tabs>
        <w:spacing w:after="240" w:line="360" w:lineRule="exact"/>
        <w:rPr>
          <w:rFonts w:hint="eastAsia"/>
        </w:rPr>
      </w:pPr>
      <w:r>
        <w:rPr>
          <w:rFonts w:hint="eastAsia"/>
        </w:rPr>
        <w:t>669.</w:t>
      </w:r>
      <w:r>
        <w:rPr>
          <w:rFonts w:hint="eastAsia"/>
        </w:rPr>
        <w:tab/>
      </w:r>
      <w:r>
        <w:rPr>
          <w:rFonts w:hint="eastAsia"/>
        </w:rPr>
        <w:t>大约三分之二的教育落后人口（</w:t>
      </w:r>
      <w:r>
        <w:rPr>
          <w:rFonts w:hint="eastAsia"/>
        </w:rPr>
        <w:t>65%</w:t>
      </w:r>
      <w:r>
        <w:rPr>
          <w:rFonts w:hint="eastAsia"/>
        </w:rPr>
        <w:t>）在城市地区，</w:t>
      </w:r>
      <w:r>
        <w:rPr>
          <w:rFonts w:hint="eastAsia"/>
        </w:rPr>
        <w:t>35%</w:t>
      </w:r>
      <w:r>
        <w:rPr>
          <w:rFonts w:hint="eastAsia"/>
        </w:rPr>
        <w:t>在农村。应注意下列关于教育落后的细节：</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女性的教育水平低于男性。</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文盲中女性占</w:t>
      </w:r>
      <w:r>
        <w:rPr>
          <w:rFonts w:hint="eastAsia"/>
        </w:rPr>
        <w:t>62%</w:t>
      </w:r>
      <w:r>
        <w:rPr>
          <w:rFonts w:hint="eastAsia"/>
        </w:rPr>
        <w:t>，男性占</w:t>
      </w:r>
      <w:r>
        <w:rPr>
          <w:rFonts w:hint="eastAsia"/>
        </w:rPr>
        <w:t>47%</w:t>
      </w:r>
      <w:r>
        <w:rPr>
          <w:rFonts w:hint="eastAsia"/>
        </w:rPr>
        <w:t>。</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在教育落后者中，</w:t>
      </w:r>
      <w:r>
        <w:rPr>
          <w:rFonts w:hint="eastAsia"/>
        </w:rPr>
        <w:t>30%</w:t>
      </w:r>
      <w:r>
        <w:rPr>
          <w:rFonts w:hint="eastAsia"/>
        </w:rPr>
        <w:t>不满</w:t>
      </w:r>
      <w:r>
        <w:rPr>
          <w:rFonts w:hint="eastAsia"/>
        </w:rPr>
        <w:t>30</w:t>
      </w:r>
      <w:r>
        <w:rPr>
          <w:rFonts w:hint="eastAsia"/>
        </w:rPr>
        <w:t>岁，</w:t>
      </w:r>
      <w:r>
        <w:rPr>
          <w:rFonts w:hint="eastAsia"/>
        </w:rPr>
        <w:t>50%</w:t>
      </w:r>
      <w:r>
        <w:rPr>
          <w:rFonts w:hint="eastAsia"/>
        </w:rPr>
        <w:t>不满</w:t>
      </w:r>
      <w:r>
        <w:rPr>
          <w:rFonts w:hint="eastAsia"/>
        </w:rPr>
        <w:t>40</w:t>
      </w:r>
      <w:r>
        <w:rPr>
          <w:rFonts w:hint="eastAsia"/>
        </w:rPr>
        <w:t>岁；老年人的教育程度较</w:t>
      </w:r>
      <w:r>
        <w:rPr>
          <w:rFonts w:hint="eastAsia"/>
        </w:rPr>
        <w:t>高，</w:t>
      </w:r>
      <w:r>
        <w:rPr>
          <w:rFonts w:hint="eastAsia"/>
        </w:rPr>
        <w:t>55</w:t>
      </w:r>
      <w:r>
        <w:t>-</w:t>
      </w:r>
      <w:r>
        <w:rPr>
          <w:rFonts w:hint="eastAsia"/>
        </w:rPr>
        <w:t>59</w:t>
      </w:r>
      <w:r>
        <w:rPr>
          <w:rFonts w:hint="eastAsia"/>
        </w:rPr>
        <w:t>岁年龄组达到</w:t>
      </w:r>
      <w:r>
        <w:rPr>
          <w:rFonts w:hint="eastAsia"/>
        </w:rPr>
        <w:t>81%</w:t>
      </w:r>
      <w:r>
        <w:rPr>
          <w:rFonts w:hint="eastAsia"/>
        </w:rPr>
        <w:t>，</w:t>
      </w:r>
      <w:r>
        <w:rPr>
          <w:rFonts w:hint="eastAsia"/>
        </w:rPr>
        <w:t>60</w:t>
      </w:r>
      <w:r>
        <w:t>-</w:t>
      </w:r>
      <w:r>
        <w:rPr>
          <w:rFonts w:hint="eastAsia"/>
        </w:rPr>
        <w:t>64</w:t>
      </w:r>
      <w:r>
        <w:rPr>
          <w:rFonts w:hint="eastAsia"/>
        </w:rPr>
        <w:t>岁年龄组达到</w:t>
      </w:r>
      <w:r>
        <w:rPr>
          <w:rFonts w:hint="eastAsia"/>
        </w:rPr>
        <w:t>88%</w:t>
      </w:r>
      <w:r>
        <w:rPr>
          <w:rFonts w:hint="eastAsia"/>
        </w:rPr>
        <w:t>，在不满</w:t>
      </w:r>
      <w:r>
        <w:rPr>
          <w:rFonts w:hint="eastAsia"/>
        </w:rPr>
        <w:t>25</w:t>
      </w:r>
      <w:r>
        <w:rPr>
          <w:rFonts w:hint="eastAsia"/>
        </w:rPr>
        <w:t>岁的人中，这一比例为</w:t>
      </w:r>
      <w:r>
        <w:rPr>
          <w:rFonts w:hint="eastAsia"/>
        </w:rPr>
        <w:t>35.3%</w:t>
      </w:r>
      <w:r>
        <w:rPr>
          <w:rFonts w:hint="eastAsia"/>
        </w:rPr>
        <w:t>。</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还应注意的是虽然年满</w:t>
      </w:r>
      <w:r>
        <w:rPr>
          <w:rFonts w:hint="eastAsia"/>
        </w:rPr>
        <w:t>40</w:t>
      </w:r>
      <w:r>
        <w:rPr>
          <w:rFonts w:hint="eastAsia"/>
        </w:rPr>
        <w:t>岁的人占文盲的三分之二，但未完成中等教育的成年人中</w:t>
      </w:r>
      <w:r>
        <w:rPr>
          <w:rFonts w:hint="eastAsia"/>
        </w:rPr>
        <w:t>65%</w:t>
      </w:r>
      <w:r>
        <w:rPr>
          <w:rFonts w:hint="eastAsia"/>
        </w:rPr>
        <w:t>不满</w:t>
      </w:r>
      <w:r>
        <w:rPr>
          <w:rFonts w:hint="eastAsia"/>
        </w:rPr>
        <w:t>40</w:t>
      </w:r>
      <w:r>
        <w:rPr>
          <w:rFonts w:hint="eastAsia"/>
        </w:rPr>
        <w:t>岁。</w:t>
      </w:r>
    </w:p>
    <w:p w:rsidR="00000000" w:rsidRDefault="00457650">
      <w:pPr>
        <w:keepNext/>
        <w:keepLines/>
        <w:widowControl/>
        <w:tabs>
          <w:tab w:val="left" w:pos="630"/>
        </w:tabs>
        <w:spacing w:after="240" w:line="360" w:lineRule="exact"/>
        <w:jc w:val="center"/>
        <w:rPr>
          <w:rFonts w:eastAsia="SimHei" w:hint="eastAsia"/>
        </w:rPr>
      </w:pPr>
      <w:r>
        <w:rPr>
          <w:rFonts w:eastAsia="SimHei" w:hint="eastAsia"/>
        </w:rPr>
        <w:t>按地区和教育水平分列的教育落后人口</w:t>
      </w:r>
    </w:p>
    <w:tbl>
      <w:tblPr>
        <w:tblW w:w="5000" w:type="pct"/>
        <w:tblCellMar>
          <w:left w:w="0" w:type="dxa"/>
          <w:right w:w="0" w:type="dxa"/>
        </w:tblCellMar>
        <w:tblLook w:val="01E0" w:firstRow="1" w:lastRow="1" w:firstColumn="1" w:lastColumn="1" w:noHBand="0" w:noVBand="0"/>
      </w:tblPr>
      <w:tblGrid>
        <w:gridCol w:w="1688"/>
        <w:gridCol w:w="1022"/>
        <w:gridCol w:w="882"/>
        <w:gridCol w:w="1164"/>
        <w:gridCol w:w="1022"/>
        <w:gridCol w:w="1022"/>
        <w:gridCol w:w="1022"/>
        <w:gridCol w:w="1022"/>
        <w:gridCol w:w="1022"/>
      </w:tblGrid>
      <w:tr w:rsidR="00000000">
        <w:tblPrEx>
          <w:tblCellMar>
            <w:top w:w="0" w:type="dxa"/>
            <w:bottom w:w="0" w:type="dxa"/>
          </w:tblCellMar>
        </w:tblPrEx>
        <w:trPr>
          <w:cantSplit/>
          <w:trHeight w:val="20"/>
        </w:trPr>
        <w:tc>
          <w:tcPr>
            <w:tcW w:w="855" w:type="pct"/>
            <w:tcBorders>
              <w:top w:val="single" w:sz="4" w:space="0" w:color="auto"/>
              <w:bottom w:val="single" w:sz="4" w:space="0" w:color="auto"/>
            </w:tcBorders>
          </w:tcPr>
          <w:p w:rsidR="00000000" w:rsidRDefault="00457650">
            <w:pPr>
              <w:keepNext/>
              <w:keepLines/>
              <w:widowControl/>
              <w:tabs>
                <w:tab w:val="left" w:pos="630"/>
              </w:tabs>
              <w:spacing w:after="120" w:line="320" w:lineRule="exact"/>
              <w:jc w:val="center"/>
              <w:rPr>
                <w:rFonts w:ascii="KaiTi_GB2312" w:eastAsia="KaiTi_GB2312" w:hint="eastAsia"/>
                <w:iCs/>
                <w:sz w:val="18"/>
              </w:rPr>
            </w:pPr>
            <w:r>
              <w:rPr>
                <w:rFonts w:ascii="KaiTi_GB2312" w:eastAsia="KaiTi_GB2312" w:hint="eastAsia"/>
                <w:iCs/>
                <w:sz w:val="18"/>
              </w:rPr>
              <w:t>性别和</w:t>
            </w:r>
            <w:r>
              <w:rPr>
                <w:rFonts w:ascii="KaiTi_GB2312" w:eastAsia="KaiTi_GB2312" w:hint="eastAsia"/>
                <w:iCs/>
                <w:sz w:val="18"/>
              </w:rPr>
              <w:t>5</w:t>
            </w:r>
            <w:r>
              <w:rPr>
                <w:rFonts w:ascii="KaiTi_GB2312" w:eastAsia="KaiTi_GB2312" w:hint="eastAsia"/>
                <w:iCs/>
                <w:sz w:val="18"/>
              </w:rPr>
              <w:t>岁年龄组</w:t>
            </w:r>
          </w:p>
        </w:tc>
        <w:tc>
          <w:tcPr>
            <w:tcW w:w="965" w:type="pct"/>
            <w:gridSpan w:val="2"/>
            <w:tcBorders>
              <w:top w:val="single" w:sz="4" w:space="0" w:color="auto"/>
              <w:bottom w:val="single" w:sz="4" w:space="0" w:color="auto"/>
            </w:tcBorders>
          </w:tcPr>
          <w:p w:rsidR="00000000" w:rsidRDefault="00457650">
            <w:pPr>
              <w:keepNext/>
              <w:keepLines/>
              <w:widowControl/>
              <w:tabs>
                <w:tab w:val="left" w:pos="630"/>
              </w:tabs>
              <w:spacing w:after="120" w:line="320" w:lineRule="exact"/>
              <w:jc w:val="center"/>
              <w:rPr>
                <w:rFonts w:ascii="KaiTi_GB2312" w:eastAsia="KaiTi_GB2312" w:hint="eastAsia"/>
                <w:iCs/>
                <w:sz w:val="18"/>
              </w:rPr>
            </w:pPr>
            <w:r>
              <w:rPr>
                <w:rFonts w:ascii="KaiTi_GB2312" w:eastAsia="KaiTi_GB2312" w:hint="eastAsia"/>
                <w:iCs/>
                <w:sz w:val="18"/>
              </w:rPr>
              <w:t>文盲率</w:t>
            </w:r>
          </w:p>
        </w:tc>
        <w:tc>
          <w:tcPr>
            <w:tcW w:w="1108" w:type="pct"/>
            <w:gridSpan w:val="2"/>
            <w:tcBorders>
              <w:top w:val="single" w:sz="4" w:space="0" w:color="auto"/>
              <w:bottom w:val="single" w:sz="4" w:space="0" w:color="auto"/>
            </w:tcBorders>
          </w:tcPr>
          <w:p w:rsidR="00000000" w:rsidRDefault="00457650">
            <w:pPr>
              <w:pStyle w:val="Header"/>
              <w:keepNext/>
              <w:keepLines/>
              <w:widowControl/>
              <w:pBdr>
                <w:bottom w:val="none" w:sz="0" w:space="0" w:color="auto"/>
              </w:pBdr>
              <w:tabs>
                <w:tab w:val="clear" w:pos="4320"/>
                <w:tab w:val="clear" w:pos="8640"/>
                <w:tab w:val="left" w:pos="630"/>
              </w:tabs>
              <w:spacing w:after="120" w:line="320" w:lineRule="exact"/>
              <w:rPr>
                <w:rFonts w:ascii="KaiTi_GB2312" w:eastAsia="KaiTi_GB2312" w:hint="eastAsia"/>
                <w:iCs/>
              </w:rPr>
            </w:pPr>
            <w:r>
              <w:rPr>
                <w:rFonts w:ascii="KaiTi_GB2312" w:eastAsia="KaiTi_GB2312" w:hint="eastAsia"/>
                <w:iCs/>
              </w:rPr>
              <w:t>未完成初等教育的文盲率</w:t>
            </w:r>
          </w:p>
        </w:tc>
        <w:tc>
          <w:tcPr>
            <w:tcW w:w="1036" w:type="pct"/>
            <w:gridSpan w:val="2"/>
            <w:tcBorders>
              <w:top w:val="single" w:sz="4" w:space="0" w:color="auto"/>
              <w:bottom w:val="single" w:sz="4" w:space="0" w:color="auto"/>
            </w:tcBorders>
          </w:tcPr>
          <w:p w:rsidR="00000000" w:rsidRDefault="00457650">
            <w:pPr>
              <w:pStyle w:val="Header"/>
              <w:keepNext/>
              <w:keepLines/>
              <w:widowControl/>
              <w:pBdr>
                <w:bottom w:val="none" w:sz="0" w:space="0" w:color="auto"/>
              </w:pBdr>
              <w:tabs>
                <w:tab w:val="clear" w:pos="4320"/>
                <w:tab w:val="clear" w:pos="8640"/>
                <w:tab w:val="left" w:pos="630"/>
              </w:tabs>
              <w:spacing w:after="120" w:line="320" w:lineRule="exact"/>
              <w:rPr>
                <w:rFonts w:ascii="KaiTi_GB2312" w:eastAsia="KaiTi_GB2312" w:hint="eastAsia"/>
                <w:iCs/>
              </w:rPr>
            </w:pPr>
            <w:r>
              <w:rPr>
                <w:rFonts w:ascii="KaiTi_GB2312" w:eastAsia="KaiTi_GB2312" w:hint="eastAsia"/>
                <w:iCs/>
              </w:rPr>
              <w:t>未完成中等教育的文盲率</w:t>
            </w:r>
          </w:p>
        </w:tc>
        <w:tc>
          <w:tcPr>
            <w:tcW w:w="1036" w:type="pct"/>
            <w:gridSpan w:val="2"/>
            <w:tcBorders>
              <w:top w:val="single" w:sz="4" w:space="0" w:color="auto"/>
              <w:bottom w:val="single" w:sz="4" w:space="0" w:color="auto"/>
            </w:tcBorders>
          </w:tcPr>
          <w:p w:rsidR="00000000" w:rsidRDefault="00457650">
            <w:pPr>
              <w:keepNext/>
              <w:keepLines/>
              <w:widowControl/>
              <w:tabs>
                <w:tab w:val="left" w:pos="630"/>
              </w:tabs>
              <w:spacing w:after="120" w:line="320" w:lineRule="exact"/>
              <w:jc w:val="center"/>
              <w:rPr>
                <w:rFonts w:ascii="KaiTi_GB2312" w:eastAsia="KaiTi_GB2312" w:hint="eastAsia"/>
                <w:iCs/>
                <w:sz w:val="18"/>
              </w:rPr>
            </w:pPr>
            <w:r>
              <w:rPr>
                <w:rFonts w:ascii="KaiTi_GB2312" w:eastAsia="KaiTi_GB2312" w:hint="eastAsia"/>
                <w:iCs/>
                <w:sz w:val="18"/>
              </w:rPr>
              <w:t>教育落后人口比率</w:t>
            </w:r>
          </w:p>
        </w:tc>
      </w:tr>
      <w:tr w:rsidR="00000000">
        <w:tblPrEx>
          <w:tblCellMar>
            <w:top w:w="0" w:type="dxa"/>
            <w:bottom w:w="0" w:type="dxa"/>
          </w:tblCellMar>
        </w:tblPrEx>
        <w:trPr>
          <w:trHeight w:val="20"/>
        </w:trPr>
        <w:tc>
          <w:tcPr>
            <w:tcW w:w="855" w:type="pct"/>
            <w:tcBorders>
              <w:top w:val="single" w:sz="4" w:space="0" w:color="auto"/>
            </w:tcBorders>
          </w:tcPr>
          <w:p w:rsidR="00000000" w:rsidRDefault="00457650">
            <w:pPr>
              <w:keepNext/>
              <w:keepLines/>
              <w:widowControl/>
              <w:tabs>
                <w:tab w:val="left" w:pos="630"/>
              </w:tabs>
              <w:spacing w:after="120" w:line="320" w:lineRule="exact"/>
              <w:rPr>
                <w:rFonts w:hint="eastAsia"/>
                <w:sz w:val="18"/>
              </w:rPr>
            </w:pPr>
            <w:r>
              <w:rPr>
                <w:rFonts w:hint="eastAsia"/>
                <w:sz w:val="18"/>
              </w:rPr>
              <w:t>墨西哥合众国</w:t>
            </w:r>
          </w:p>
        </w:tc>
        <w:tc>
          <w:tcPr>
            <w:tcW w:w="518" w:type="pct"/>
            <w:tcBorders>
              <w:top w:val="single" w:sz="4" w:space="0" w:color="auto"/>
            </w:tcBorders>
          </w:tcPr>
          <w:p w:rsidR="00000000" w:rsidRDefault="00457650">
            <w:pPr>
              <w:pStyle w:val="Header"/>
              <w:keepNext/>
              <w:keepLines/>
              <w:widowControl/>
              <w:pBdr>
                <w:bottom w:val="none" w:sz="0" w:space="0" w:color="auto"/>
              </w:pBdr>
              <w:tabs>
                <w:tab w:val="clear" w:pos="4320"/>
                <w:tab w:val="clear" w:pos="8640"/>
                <w:tab w:val="left" w:pos="630"/>
              </w:tabs>
              <w:spacing w:after="120" w:line="320" w:lineRule="exact"/>
              <w:rPr>
                <w:bCs/>
              </w:rPr>
            </w:pPr>
            <w:r>
              <w:rPr>
                <w:bCs/>
              </w:rPr>
              <w:t>5 942 091</w:t>
            </w:r>
          </w:p>
        </w:tc>
        <w:tc>
          <w:tcPr>
            <w:tcW w:w="447" w:type="pct"/>
            <w:tcBorders>
              <w:top w:val="single" w:sz="4" w:space="0" w:color="auto"/>
            </w:tcBorders>
          </w:tcPr>
          <w:p w:rsidR="00000000" w:rsidRDefault="00457650">
            <w:pPr>
              <w:keepNext/>
              <w:keepLines/>
              <w:widowControl/>
              <w:tabs>
                <w:tab w:val="left" w:pos="630"/>
              </w:tabs>
              <w:spacing w:after="120" w:line="320" w:lineRule="exact"/>
              <w:jc w:val="center"/>
              <w:rPr>
                <w:bCs/>
                <w:sz w:val="18"/>
              </w:rPr>
            </w:pPr>
            <w:r>
              <w:rPr>
                <w:bCs/>
                <w:sz w:val="18"/>
              </w:rPr>
              <w:t>100%</w:t>
            </w:r>
          </w:p>
        </w:tc>
        <w:tc>
          <w:tcPr>
            <w:tcW w:w="590" w:type="pct"/>
            <w:tcBorders>
              <w:top w:val="single" w:sz="4" w:space="0" w:color="auto"/>
            </w:tcBorders>
          </w:tcPr>
          <w:p w:rsidR="00000000" w:rsidRDefault="00457650">
            <w:pPr>
              <w:keepNext/>
              <w:keepLines/>
              <w:widowControl/>
              <w:tabs>
                <w:tab w:val="left" w:pos="630"/>
              </w:tabs>
              <w:spacing w:after="120" w:line="320" w:lineRule="exact"/>
              <w:jc w:val="center"/>
              <w:rPr>
                <w:bCs/>
                <w:sz w:val="18"/>
              </w:rPr>
            </w:pPr>
            <w:r>
              <w:rPr>
                <w:bCs/>
                <w:sz w:val="18"/>
              </w:rPr>
              <w:t>11 716 715</w:t>
            </w:r>
          </w:p>
        </w:tc>
        <w:tc>
          <w:tcPr>
            <w:tcW w:w="518" w:type="pct"/>
            <w:tcBorders>
              <w:top w:val="single" w:sz="4" w:space="0" w:color="auto"/>
            </w:tcBorders>
          </w:tcPr>
          <w:p w:rsidR="00000000" w:rsidRDefault="00457650">
            <w:pPr>
              <w:keepNext/>
              <w:keepLines/>
              <w:widowControl/>
              <w:tabs>
                <w:tab w:val="left" w:pos="630"/>
              </w:tabs>
              <w:spacing w:after="120" w:line="320" w:lineRule="exact"/>
              <w:jc w:val="center"/>
              <w:rPr>
                <w:bCs/>
                <w:sz w:val="18"/>
              </w:rPr>
            </w:pPr>
            <w:r>
              <w:rPr>
                <w:bCs/>
                <w:sz w:val="18"/>
              </w:rPr>
              <w:t>100%</w:t>
            </w:r>
          </w:p>
        </w:tc>
        <w:tc>
          <w:tcPr>
            <w:tcW w:w="518" w:type="pct"/>
            <w:tcBorders>
              <w:top w:val="single" w:sz="4" w:space="0" w:color="auto"/>
            </w:tcBorders>
          </w:tcPr>
          <w:p w:rsidR="00000000" w:rsidRDefault="00457650">
            <w:pPr>
              <w:keepNext/>
              <w:keepLines/>
              <w:widowControl/>
              <w:tabs>
                <w:tab w:val="left" w:pos="630"/>
              </w:tabs>
              <w:spacing w:after="120" w:line="320" w:lineRule="exact"/>
              <w:jc w:val="center"/>
              <w:rPr>
                <w:bCs/>
                <w:sz w:val="18"/>
              </w:rPr>
            </w:pPr>
            <w:r>
              <w:rPr>
                <w:bCs/>
                <w:sz w:val="18"/>
              </w:rPr>
              <w:t>14 898 655</w:t>
            </w:r>
          </w:p>
        </w:tc>
        <w:tc>
          <w:tcPr>
            <w:tcW w:w="518" w:type="pct"/>
            <w:tcBorders>
              <w:top w:val="single" w:sz="4" w:space="0" w:color="auto"/>
            </w:tcBorders>
          </w:tcPr>
          <w:p w:rsidR="00000000" w:rsidRDefault="00457650">
            <w:pPr>
              <w:keepNext/>
              <w:keepLines/>
              <w:widowControl/>
              <w:tabs>
                <w:tab w:val="left" w:pos="630"/>
              </w:tabs>
              <w:spacing w:after="120" w:line="320" w:lineRule="exact"/>
              <w:jc w:val="center"/>
              <w:rPr>
                <w:bCs/>
                <w:sz w:val="18"/>
              </w:rPr>
            </w:pPr>
            <w:r>
              <w:rPr>
                <w:bCs/>
                <w:sz w:val="18"/>
              </w:rPr>
              <w:t>100%</w:t>
            </w:r>
          </w:p>
        </w:tc>
        <w:tc>
          <w:tcPr>
            <w:tcW w:w="518" w:type="pct"/>
            <w:tcBorders>
              <w:top w:val="single" w:sz="4" w:space="0" w:color="auto"/>
            </w:tcBorders>
          </w:tcPr>
          <w:p w:rsidR="00000000" w:rsidRDefault="00457650">
            <w:pPr>
              <w:keepNext/>
              <w:keepLines/>
              <w:widowControl/>
              <w:tabs>
                <w:tab w:val="left" w:pos="630"/>
              </w:tabs>
              <w:spacing w:after="120" w:line="320" w:lineRule="exact"/>
              <w:jc w:val="center"/>
              <w:rPr>
                <w:bCs/>
                <w:sz w:val="18"/>
              </w:rPr>
            </w:pPr>
            <w:r>
              <w:rPr>
                <w:bCs/>
                <w:sz w:val="18"/>
              </w:rPr>
              <w:t>32 557 461</w:t>
            </w:r>
          </w:p>
        </w:tc>
        <w:tc>
          <w:tcPr>
            <w:tcW w:w="518" w:type="pct"/>
            <w:tcBorders>
              <w:top w:val="single" w:sz="4" w:space="0" w:color="auto"/>
            </w:tcBorders>
          </w:tcPr>
          <w:p w:rsidR="00000000" w:rsidRDefault="00457650">
            <w:pPr>
              <w:keepNext/>
              <w:keepLines/>
              <w:widowControl/>
              <w:tabs>
                <w:tab w:val="left" w:pos="630"/>
              </w:tabs>
              <w:spacing w:after="120" w:line="320" w:lineRule="exact"/>
              <w:jc w:val="center"/>
              <w:rPr>
                <w:bCs/>
                <w:sz w:val="18"/>
              </w:rPr>
            </w:pPr>
            <w:r>
              <w:rPr>
                <w:bCs/>
                <w:sz w:val="18"/>
              </w:rPr>
              <w:t>100%</w:t>
            </w:r>
          </w:p>
        </w:tc>
      </w:tr>
      <w:tr w:rsidR="00000000">
        <w:tblPrEx>
          <w:tblCellMar>
            <w:top w:w="0" w:type="dxa"/>
            <w:bottom w:w="0" w:type="dxa"/>
          </w:tblCellMar>
        </w:tblPrEx>
        <w:trPr>
          <w:trHeight w:val="20"/>
        </w:trPr>
        <w:tc>
          <w:tcPr>
            <w:tcW w:w="855" w:type="pct"/>
          </w:tcPr>
          <w:p w:rsidR="00000000" w:rsidRDefault="00457650">
            <w:pPr>
              <w:keepNext/>
              <w:keepLines/>
              <w:widowControl/>
              <w:tabs>
                <w:tab w:val="left" w:pos="630"/>
              </w:tabs>
              <w:spacing w:after="120" w:line="320" w:lineRule="exact"/>
              <w:rPr>
                <w:rFonts w:hint="eastAsia"/>
                <w:sz w:val="18"/>
              </w:rPr>
            </w:pPr>
            <w:r>
              <w:rPr>
                <w:rFonts w:hint="eastAsia"/>
                <w:sz w:val="18"/>
              </w:rPr>
              <w:t>农村</w:t>
            </w:r>
          </w:p>
        </w:tc>
        <w:tc>
          <w:tcPr>
            <w:tcW w:w="518" w:type="pct"/>
          </w:tcPr>
          <w:p w:rsidR="00000000" w:rsidRDefault="00457650">
            <w:pPr>
              <w:keepNext/>
              <w:keepLines/>
              <w:widowControl/>
              <w:tabs>
                <w:tab w:val="left" w:pos="630"/>
              </w:tabs>
              <w:spacing w:after="120" w:line="320" w:lineRule="exact"/>
              <w:jc w:val="center"/>
              <w:rPr>
                <w:bCs/>
                <w:sz w:val="18"/>
              </w:rPr>
            </w:pPr>
            <w:r>
              <w:rPr>
                <w:bCs/>
                <w:sz w:val="18"/>
              </w:rPr>
              <w:t>3 023 567</w:t>
            </w:r>
          </w:p>
        </w:tc>
        <w:tc>
          <w:tcPr>
            <w:tcW w:w="447" w:type="pct"/>
          </w:tcPr>
          <w:p w:rsidR="00000000" w:rsidRDefault="00457650">
            <w:pPr>
              <w:keepNext/>
              <w:keepLines/>
              <w:widowControl/>
              <w:tabs>
                <w:tab w:val="left" w:pos="630"/>
              </w:tabs>
              <w:spacing w:after="120" w:line="320" w:lineRule="exact"/>
              <w:jc w:val="center"/>
              <w:rPr>
                <w:bCs/>
                <w:sz w:val="18"/>
              </w:rPr>
            </w:pPr>
            <w:r>
              <w:rPr>
                <w:bCs/>
                <w:sz w:val="18"/>
              </w:rPr>
              <w:t>51%</w:t>
            </w:r>
          </w:p>
        </w:tc>
        <w:tc>
          <w:tcPr>
            <w:tcW w:w="590" w:type="pct"/>
          </w:tcPr>
          <w:p w:rsidR="00000000" w:rsidRDefault="00457650">
            <w:pPr>
              <w:keepNext/>
              <w:keepLines/>
              <w:widowControl/>
              <w:tabs>
                <w:tab w:val="left" w:pos="630"/>
              </w:tabs>
              <w:spacing w:after="120" w:line="320" w:lineRule="exact"/>
              <w:jc w:val="center"/>
              <w:rPr>
                <w:bCs/>
                <w:sz w:val="18"/>
              </w:rPr>
            </w:pPr>
            <w:r>
              <w:rPr>
                <w:bCs/>
                <w:sz w:val="18"/>
              </w:rPr>
              <w:t xml:space="preserve">4 </w:t>
            </w:r>
            <w:r>
              <w:rPr>
                <w:bCs/>
                <w:sz w:val="18"/>
              </w:rPr>
              <w:t>535 621</w:t>
            </w:r>
          </w:p>
        </w:tc>
        <w:tc>
          <w:tcPr>
            <w:tcW w:w="518" w:type="pct"/>
          </w:tcPr>
          <w:p w:rsidR="00000000" w:rsidRDefault="00457650">
            <w:pPr>
              <w:keepNext/>
              <w:keepLines/>
              <w:widowControl/>
              <w:tabs>
                <w:tab w:val="left" w:pos="630"/>
              </w:tabs>
              <w:spacing w:after="120" w:line="320" w:lineRule="exact"/>
              <w:jc w:val="center"/>
              <w:rPr>
                <w:bCs/>
                <w:sz w:val="18"/>
              </w:rPr>
            </w:pPr>
            <w:r>
              <w:rPr>
                <w:bCs/>
                <w:sz w:val="18"/>
              </w:rPr>
              <w:t>39%</w:t>
            </w:r>
          </w:p>
        </w:tc>
        <w:tc>
          <w:tcPr>
            <w:tcW w:w="518" w:type="pct"/>
          </w:tcPr>
          <w:p w:rsidR="00000000" w:rsidRDefault="00457650">
            <w:pPr>
              <w:keepNext/>
              <w:keepLines/>
              <w:widowControl/>
              <w:tabs>
                <w:tab w:val="left" w:pos="630"/>
              </w:tabs>
              <w:spacing w:after="120" w:line="320" w:lineRule="exact"/>
              <w:jc w:val="center"/>
              <w:rPr>
                <w:bCs/>
                <w:sz w:val="18"/>
              </w:rPr>
            </w:pPr>
            <w:r>
              <w:rPr>
                <w:bCs/>
                <w:sz w:val="18"/>
              </w:rPr>
              <w:t>3 717 536</w:t>
            </w:r>
          </w:p>
        </w:tc>
        <w:tc>
          <w:tcPr>
            <w:tcW w:w="518" w:type="pct"/>
          </w:tcPr>
          <w:p w:rsidR="00000000" w:rsidRDefault="00457650">
            <w:pPr>
              <w:keepNext/>
              <w:keepLines/>
              <w:widowControl/>
              <w:tabs>
                <w:tab w:val="left" w:pos="630"/>
              </w:tabs>
              <w:spacing w:after="120" w:line="320" w:lineRule="exact"/>
              <w:jc w:val="center"/>
              <w:rPr>
                <w:bCs/>
                <w:sz w:val="18"/>
              </w:rPr>
            </w:pPr>
            <w:r>
              <w:rPr>
                <w:bCs/>
                <w:sz w:val="18"/>
              </w:rPr>
              <w:t>25%</w:t>
            </w:r>
          </w:p>
        </w:tc>
        <w:tc>
          <w:tcPr>
            <w:tcW w:w="518" w:type="pct"/>
          </w:tcPr>
          <w:p w:rsidR="00000000" w:rsidRDefault="00457650">
            <w:pPr>
              <w:keepNext/>
              <w:keepLines/>
              <w:widowControl/>
              <w:tabs>
                <w:tab w:val="left" w:pos="630"/>
              </w:tabs>
              <w:spacing w:after="120" w:line="320" w:lineRule="exact"/>
              <w:jc w:val="center"/>
              <w:rPr>
                <w:bCs/>
                <w:sz w:val="18"/>
              </w:rPr>
            </w:pPr>
            <w:r>
              <w:rPr>
                <w:bCs/>
                <w:sz w:val="18"/>
              </w:rPr>
              <w:t>11 276 724</w:t>
            </w:r>
          </w:p>
        </w:tc>
        <w:tc>
          <w:tcPr>
            <w:tcW w:w="518" w:type="pct"/>
          </w:tcPr>
          <w:p w:rsidR="00000000" w:rsidRDefault="00457650">
            <w:pPr>
              <w:keepNext/>
              <w:keepLines/>
              <w:widowControl/>
              <w:tabs>
                <w:tab w:val="left" w:pos="630"/>
              </w:tabs>
              <w:spacing w:after="120" w:line="320" w:lineRule="exact"/>
              <w:jc w:val="center"/>
              <w:rPr>
                <w:bCs/>
                <w:sz w:val="18"/>
              </w:rPr>
            </w:pPr>
            <w:r>
              <w:rPr>
                <w:bCs/>
                <w:sz w:val="18"/>
              </w:rPr>
              <w:t>35%</w:t>
            </w:r>
          </w:p>
        </w:tc>
      </w:tr>
      <w:tr w:rsidR="00000000">
        <w:tblPrEx>
          <w:tblCellMar>
            <w:top w:w="0" w:type="dxa"/>
            <w:bottom w:w="0" w:type="dxa"/>
          </w:tblCellMar>
        </w:tblPrEx>
        <w:trPr>
          <w:trHeight w:val="20"/>
        </w:trPr>
        <w:tc>
          <w:tcPr>
            <w:tcW w:w="855" w:type="pct"/>
            <w:tcBorders>
              <w:bottom w:val="single" w:sz="4" w:space="0" w:color="auto"/>
            </w:tcBorders>
          </w:tcPr>
          <w:p w:rsidR="00000000" w:rsidRDefault="00457650">
            <w:pPr>
              <w:widowControl/>
              <w:tabs>
                <w:tab w:val="left" w:pos="630"/>
              </w:tabs>
              <w:spacing w:after="120" w:line="320" w:lineRule="exact"/>
              <w:rPr>
                <w:rFonts w:hint="eastAsia"/>
                <w:sz w:val="18"/>
              </w:rPr>
            </w:pPr>
            <w:r>
              <w:rPr>
                <w:rFonts w:hint="eastAsia"/>
                <w:sz w:val="18"/>
              </w:rPr>
              <w:t>城市</w:t>
            </w:r>
          </w:p>
        </w:tc>
        <w:tc>
          <w:tcPr>
            <w:tcW w:w="518" w:type="pct"/>
            <w:tcBorders>
              <w:bottom w:val="single" w:sz="4" w:space="0" w:color="auto"/>
            </w:tcBorders>
          </w:tcPr>
          <w:p w:rsidR="00000000" w:rsidRDefault="00457650">
            <w:pPr>
              <w:widowControl/>
              <w:tabs>
                <w:tab w:val="left" w:pos="630"/>
              </w:tabs>
              <w:spacing w:after="120" w:line="320" w:lineRule="exact"/>
              <w:jc w:val="center"/>
              <w:rPr>
                <w:bCs/>
                <w:sz w:val="18"/>
              </w:rPr>
            </w:pPr>
            <w:r>
              <w:rPr>
                <w:bCs/>
                <w:sz w:val="18"/>
              </w:rPr>
              <w:t>2 918 524</w:t>
            </w:r>
          </w:p>
        </w:tc>
        <w:tc>
          <w:tcPr>
            <w:tcW w:w="447" w:type="pct"/>
            <w:tcBorders>
              <w:bottom w:val="single" w:sz="4" w:space="0" w:color="auto"/>
            </w:tcBorders>
          </w:tcPr>
          <w:p w:rsidR="00000000" w:rsidRDefault="00457650">
            <w:pPr>
              <w:widowControl/>
              <w:tabs>
                <w:tab w:val="left" w:pos="630"/>
              </w:tabs>
              <w:spacing w:after="120" w:line="320" w:lineRule="exact"/>
              <w:jc w:val="center"/>
              <w:rPr>
                <w:bCs/>
                <w:sz w:val="18"/>
              </w:rPr>
            </w:pPr>
            <w:r>
              <w:rPr>
                <w:bCs/>
                <w:sz w:val="18"/>
              </w:rPr>
              <w:t>49%</w:t>
            </w:r>
          </w:p>
        </w:tc>
        <w:tc>
          <w:tcPr>
            <w:tcW w:w="590" w:type="pct"/>
            <w:tcBorders>
              <w:bottom w:val="single" w:sz="4" w:space="0" w:color="auto"/>
            </w:tcBorders>
          </w:tcPr>
          <w:p w:rsidR="00000000" w:rsidRDefault="00457650">
            <w:pPr>
              <w:widowControl/>
              <w:tabs>
                <w:tab w:val="left" w:pos="630"/>
              </w:tabs>
              <w:spacing w:after="120" w:line="320" w:lineRule="exact"/>
              <w:jc w:val="center"/>
              <w:rPr>
                <w:bCs/>
                <w:sz w:val="18"/>
              </w:rPr>
            </w:pPr>
            <w:r>
              <w:rPr>
                <w:bCs/>
                <w:sz w:val="18"/>
              </w:rPr>
              <w:t>7 181 094</w:t>
            </w:r>
          </w:p>
        </w:tc>
        <w:tc>
          <w:tcPr>
            <w:tcW w:w="518" w:type="pct"/>
            <w:tcBorders>
              <w:bottom w:val="single" w:sz="4" w:space="0" w:color="auto"/>
            </w:tcBorders>
          </w:tcPr>
          <w:p w:rsidR="00000000" w:rsidRDefault="00457650">
            <w:pPr>
              <w:widowControl/>
              <w:tabs>
                <w:tab w:val="left" w:pos="630"/>
              </w:tabs>
              <w:spacing w:after="120" w:line="320" w:lineRule="exact"/>
              <w:jc w:val="center"/>
              <w:rPr>
                <w:bCs/>
                <w:sz w:val="18"/>
              </w:rPr>
            </w:pPr>
            <w:r>
              <w:rPr>
                <w:bCs/>
                <w:sz w:val="18"/>
              </w:rPr>
              <w:t>61%</w:t>
            </w:r>
          </w:p>
        </w:tc>
        <w:tc>
          <w:tcPr>
            <w:tcW w:w="518" w:type="pct"/>
            <w:tcBorders>
              <w:bottom w:val="single" w:sz="4" w:space="0" w:color="auto"/>
            </w:tcBorders>
          </w:tcPr>
          <w:p w:rsidR="00000000" w:rsidRDefault="00457650">
            <w:pPr>
              <w:widowControl/>
              <w:tabs>
                <w:tab w:val="left" w:pos="630"/>
              </w:tabs>
              <w:spacing w:after="120" w:line="320" w:lineRule="exact"/>
              <w:jc w:val="center"/>
              <w:rPr>
                <w:bCs/>
                <w:sz w:val="18"/>
              </w:rPr>
            </w:pPr>
            <w:r>
              <w:rPr>
                <w:bCs/>
                <w:sz w:val="18"/>
              </w:rPr>
              <w:t>11 181 119</w:t>
            </w:r>
          </w:p>
        </w:tc>
        <w:tc>
          <w:tcPr>
            <w:tcW w:w="518" w:type="pct"/>
            <w:tcBorders>
              <w:bottom w:val="single" w:sz="4" w:space="0" w:color="auto"/>
            </w:tcBorders>
          </w:tcPr>
          <w:p w:rsidR="00000000" w:rsidRDefault="00457650">
            <w:pPr>
              <w:widowControl/>
              <w:tabs>
                <w:tab w:val="left" w:pos="630"/>
              </w:tabs>
              <w:spacing w:after="120" w:line="320" w:lineRule="exact"/>
              <w:jc w:val="center"/>
              <w:rPr>
                <w:bCs/>
                <w:sz w:val="18"/>
              </w:rPr>
            </w:pPr>
            <w:r>
              <w:rPr>
                <w:bCs/>
                <w:sz w:val="18"/>
              </w:rPr>
              <w:t>75%</w:t>
            </w:r>
          </w:p>
        </w:tc>
        <w:tc>
          <w:tcPr>
            <w:tcW w:w="518" w:type="pct"/>
            <w:tcBorders>
              <w:bottom w:val="single" w:sz="4" w:space="0" w:color="auto"/>
            </w:tcBorders>
          </w:tcPr>
          <w:p w:rsidR="00000000" w:rsidRDefault="00457650">
            <w:pPr>
              <w:widowControl/>
              <w:tabs>
                <w:tab w:val="left" w:pos="630"/>
              </w:tabs>
              <w:spacing w:after="120" w:line="320" w:lineRule="exact"/>
              <w:jc w:val="center"/>
              <w:rPr>
                <w:bCs/>
                <w:sz w:val="18"/>
              </w:rPr>
            </w:pPr>
            <w:r>
              <w:rPr>
                <w:bCs/>
                <w:sz w:val="18"/>
              </w:rPr>
              <w:t>21 280 737</w:t>
            </w:r>
          </w:p>
        </w:tc>
        <w:tc>
          <w:tcPr>
            <w:tcW w:w="518" w:type="pct"/>
            <w:tcBorders>
              <w:bottom w:val="single" w:sz="4" w:space="0" w:color="auto"/>
            </w:tcBorders>
          </w:tcPr>
          <w:p w:rsidR="00000000" w:rsidRDefault="00457650">
            <w:pPr>
              <w:pStyle w:val="Header"/>
              <w:widowControl/>
              <w:pBdr>
                <w:bottom w:val="none" w:sz="0" w:space="0" w:color="auto"/>
              </w:pBdr>
              <w:tabs>
                <w:tab w:val="clear" w:pos="4320"/>
                <w:tab w:val="clear" w:pos="8640"/>
                <w:tab w:val="left" w:pos="630"/>
              </w:tabs>
              <w:spacing w:after="120" w:line="320" w:lineRule="exact"/>
              <w:rPr>
                <w:bCs/>
              </w:rPr>
            </w:pPr>
            <w:r>
              <w:rPr>
                <w:bCs/>
              </w:rPr>
              <w:t>65%</w:t>
            </w:r>
          </w:p>
        </w:tc>
      </w:tr>
    </w:tbl>
    <w:p w:rsidR="00000000" w:rsidRDefault="00457650">
      <w:pPr>
        <w:widowControl/>
        <w:tabs>
          <w:tab w:val="left" w:pos="630"/>
        </w:tabs>
        <w:spacing w:after="240" w:line="360" w:lineRule="exact"/>
        <w:rPr>
          <w:rFonts w:hint="eastAsia"/>
          <w:iCs/>
          <w:sz w:val="18"/>
        </w:rPr>
      </w:pPr>
      <w:r>
        <w:rPr>
          <w:rFonts w:eastAsia="KaiTi_GB2312" w:hint="eastAsia"/>
          <w:iCs/>
          <w:sz w:val="18"/>
        </w:rPr>
        <w:t>资料来源</w:t>
      </w:r>
      <w:r>
        <w:rPr>
          <w:rFonts w:hint="eastAsia"/>
          <w:iCs/>
          <w:sz w:val="18"/>
        </w:rPr>
        <w:t>：第</w:t>
      </w:r>
      <w:r>
        <w:rPr>
          <w:rFonts w:hint="eastAsia"/>
          <w:iCs/>
          <w:sz w:val="18"/>
        </w:rPr>
        <w:t>12</w:t>
      </w:r>
      <w:r>
        <w:rPr>
          <w:rFonts w:hint="eastAsia"/>
          <w:iCs/>
          <w:sz w:val="18"/>
        </w:rPr>
        <w:t>次一般人口和住房普查，</w:t>
      </w:r>
      <w:r>
        <w:rPr>
          <w:rFonts w:hint="eastAsia"/>
          <w:iCs/>
          <w:sz w:val="18"/>
        </w:rPr>
        <w:t>2000</w:t>
      </w:r>
      <w:r>
        <w:rPr>
          <w:rFonts w:hint="eastAsia"/>
          <w:iCs/>
          <w:sz w:val="18"/>
        </w:rPr>
        <w:t>年，国家统计、地理和信息技术研究所。</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59</w:t>
      </w:r>
      <w:r>
        <w:rPr>
          <w:rFonts w:ascii="SimHei" w:eastAsia="SimHei" w:hint="eastAsia"/>
        </w:rPr>
        <w:t>段</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教育预算百分比</w:t>
      </w:r>
    </w:p>
    <w:p w:rsidR="00000000" w:rsidRDefault="00457650">
      <w:pPr>
        <w:widowControl/>
        <w:tabs>
          <w:tab w:val="left" w:pos="630"/>
        </w:tabs>
        <w:spacing w:after="240" w:line="360" w:lineRule="exact"/>
        <w:rPr>
          <w:rFonts w:hint="eastAsia"/>
        </w:rPr>
      </w:pPr>
      <w:r>
        <w:rPr>
          <w:rFonts w:hint="eastAsia"/>
        </w:rPr>
        <w:t>670.</w:t>
      </w:r>
      <w:r>
        <w:rPr>
          <w:rFonts w:hint="eastAsia"/>
        </w:rPr>
        <w:tab/>
        <w:t>2003</w:t>
      </w:r>
      <w:r>
        <w:rPr>
          <w:rFonts w:hint="eastAsia"/>
        </w:rPr>
        <w:t>年联邦教育预算的比例是</w:t>
      </w:r>
      <w:r>
        <w:rPr>
          <w:rFonts w:hint="eastAsia"/>
        </w:rPr>
        <w:t>25.4%</w:t>
      </w:r>
      <w:r>
        <w:rPr>
          <w:rFonts w:hint="eastAsia"/>
        </w:rPr>
        <w:t>。</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学校系统说明</w:t>
      </w:r>
    </w:p>
    <w:p w:rsidR="00000000" w:rsidRDefault="00457650">
      <w:pPr>
        <w:keepNext/>
        <w:widowControl/>
        <w:tabs>
          <w:tab w:val="left" w:pos="630"/>
        </w:tabs>
        <w:spacing w:after="240" w:line="360" w:lineRule="exact"/>
        <w:rPr>
          <w:rFonts w:eastAsia="KaiTi_GB2312" w:hint="eastAsia"/>
          <w:b/>
          <w:bCs/>
          <w:iCs/>
        </w:rPr>
      </w:pPr>
      <w:r>
        <w:rPr>
          <w:rFonts w:eastAsia="KaiTi_GB2312" w:hint="eastAsia"/>
          <w:b/>
          <w:bCs/>
          <w:iCs/>
        </w:rPr>
        <w:tab/>
      </w:r>
      <w:r>
        <w:rPr>
          <w:rFonts w:eastAsia="KaiTi_GB2312" w:hint="eastAsia"/>
          <w:b/>
          <w:bCs/>
          <w:iCs/>
        </w:rPr>
        <w:t>组织</w:t>
      </w:r>
    </w:p>
    <w:p w:rsidR="00000000" w:rsidRDefault="00457650">
      <w:pPr>
        <w:keepNext/>
        <w:widowControl/>
        <w:tabs>
          <w:tab w:val="left" w:pos="630"/>
        </w:tabs>
        <w:spacing w:after="240" w:line="360" w:lineRule="exact"/>
        <w:rPr>
          <w:rFonts w:hint="eastAsia"/>
        </w:rPr>
      </w:pPr>
      <w:r>
        <w:rPr>
          <w:rFonts w:hint="eastAsia"/>
        </w:rPr>
        <w:t>671.</w:t>
      </w:r>
      <w:r>
        <w:rPr>
          <w:rFonts w:hint="eastAsia"/>
        </w:rPr>
        <w:tab/>
      </w:r>
      <w:r>
        <w:rPr>
          <w:rFonts w:hint="eastAsia"/>
        </w:rPr>
        <w:t>按照《普通教育法》的规定，教育有</w:t>
      </w:r>
      <w:r>
        <w:rPr>
          <w:rFonts w:eastAsia="KaiTi_GB2312" w:hint="eastAsia"/>
          <w:iCs/>
        </w:rPr>
        <w:t>三种类</w:t>
      </w:r>
      <w:r>
        <w:rPr>
          <w:rFonts w:hint="eastAsia"/>
        </w:rPr>
        <w:t>型：基础教育、高中等教育和高等教育。</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KaiTi_GB2312" w:hint="eastAsia"/>
          <w:iCs/>
        </w:rPr>
        <w:t>基础</w:t>
      </w:r>
      <w:r>
        <w:rPr>
          <w:rFonts w:hint="eastAsia"/>
        </w:rPr>
        <w:t>教育分为三个等级：</w:t>
      </w:r>
      <w:r>
        <w:rPr>
          <w:rFonts w:eastAsia="KaiTi_GB2312" w:hint="eastAsia"/>
          <w:iCs/>
        </w:rPr>
        <w:t>学前教</w:t>
      </w:r>
      <w:r>
        <w:rPr>
          <w:rFonts w:eastAsia="KaiTi_GB2312" w:hint="eastAsia"/>
          <w:iCs/>
        </w:rPr>
        <w:t>育、初等教育和中等教育</w:t>
      </w:r>
      <w:r>
        <w:rPr>
          <w:rFonts w:hint="eastAsia"/>
        </w:rPr>
        <w:t>。到目前为止，学前教育并不是初等教育的先决条件；它包括三个年级，第一年级是三岁的儿童；第二年级是四岁的儿童，第三年级是五岁的儿童。初等教育针对</w:t>
      </w:r>
      <w:r>
        <w:rPr>
          <w:rFonts w:hint="eastAsia"/>
        </w:rPr>
        <w:t>6</w:t>
      </w:r>
      <w:r>
        <w:t>-</w:t>
      </w:r>
      <w:r>
        <w:rPr>
          <w:rFonts w:hint="eastAsia"/>
        </w:rPr>
        <w:t>15</w:t>
      </w:r>
      <w:r>
        <w:rPr>
          <w:rFonts w:hint="eastAsia"/>
        </w:rPr>
        <w:t>岁的儿童和青少年，分为六个年级；完成初等教育，获得官方证书，这是接受高中等教育的基本条件。中等教育分为三个层次，完成中等教育，获得官方证书，这是接受高中等教育的条件。这三个层次的基础教育根据墨西哥土著群体、偏远农村地区居民和流动人口的语言和文化需要加以提供。</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KaiTi_GB2312" w:hint="eastAsia"/>
          <w:iCs/>
        </w:rPr>
        <w:t>高中等教育</w:t>
      </w:r>
      <w:r>
        <w:rPr>
          <w:rFonts w:hint="eastAsia"/>
        </w:rPr>
        <w:t>包括</w:t>
      </w:r>
      <w:r>
        <w:rPr>
          <w:rFonts w:eastAsia="KaiTi_GB2312" w:hint="eastAsia"/>
          <w:iCs/>
        </w:rPr>
        <w:t>大学预科</w:t>
      </w:r>
      <w:r>
        <w:rPr>
          <w:rFonts w:hint="eastAsia"/>
        </w:rPr>
        <w:t>教育和</w:t>
      </w:r>
      <w:r>
        <w:rPr>
          <w:rFonts w:eastAsia="KaiTi_GB2312" w:hint="eastAsia"/>
          <w:iCs/>
        </w:rPr>
        <w:t>职业技术</w:t>
      </w:r>
      <w:r>
        <w:rPr>
          <w:rFonts w:hint="eastAsia"/>
        </w:rPr>
        <w:t>教育。大学预科教育一般需要学习三年，但是也有</w:t>
      </w:r>
      <w:r>
        <w:rPr>
          <w:rFonts w:hint="eastAsia"/>
        </w:rPr>
        <w:t>个别的需要学习两年和四年；获得该级教育证书是接受高等教育的先决条件。职业技术教育包括三个年级，但是也有两年和四年的；它的主要目的是提供技术工作培训，因此课程结束后将颁发毕业证明书，但是也有通过认可额外科目而颁发大学预科证书的情况。</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eastAsia="KaiTi_GB2312" w:hint="eastAsia"/>
          <w:iCs/>
        </w:rPr>
        <w:t>高等教育</w:t>
      </w:r>
      <w:r>
        <w:rPr>
          <w:rFonts w:hint="eastAsia"/>
        </w:rPr>
        <w:t>在学士学位教育后进行，它包括三个等级：</w:t>
      </w:r>
      <w:r>
        <w:rPr>
          <w:rFonts w:eastAsia="KaiTi_GB2312" w:hint="eastAsia"/>
          <w:iCs/>
        </w:rPr>
        <w:t>高等技术教育</w:t>
      </w:r>
      <w:r>
        <w:rPr>
          <w:rFonts w:hint="eastAsia"/>
        </w:rPr>
        <w:t>，也就是职业专科教育，</w:t>
      </w:r>
      <w:r>
        <w:rPr>
          <w:rFonts w:eastAsia="KaiTi_GB2312" w:hint="eastAsia"/>
          <w:iCs/>
        </w:rPr>
        <w:t>学士学位</w:t>
      </w:r>
      <w:r>
        <w:rPr>
          <w:rFonts w:hint="eastAsia"/>
        </w:rPr>
        <w:t>教育和</w:t>
      </w:r>
      <w:r>
        <w:rPr>
          <w:rFonts w:eastAsia="KaiTi_GB2312" w:hint="eastAsia"/>
          <w:iCs/>
        </w:rPr>
        <w:t>研究生</w:t>
      </w:r>
      <w:r>
        <w:rPr>
          <w:rFonts w:hint="eastAsia"/>
        </w:rPr>
        <w:t>教育。高级技术教育需要学习两年，结束后颁发证书，它按照专业级别培训技术熟练的专业人才，但是它低于学士学位。学士学位通过科技、大学和教师培训机构颁发。它的课程学习时间是四年或更多时间</w:t>
      </w:r>
      <w:r>
        <w:rPr>
          <w:rFonts w:hint="eastAsia"/>
        </w:rPr>
        <w:t>，结束后授予学位，它培训各个知识领域的专业人才。接受研究生教育需要完成学士学位并按研究专业进行，分为硕士学位和博士学位。它提供更高专业程度的专业培训，结束后颁发学术学位或专业文凭。</w:t>
      </w:r>
    </w:p>
    <w:p w:rsidR="00000000" w:rsidRDefault="00457650">
      <w:pPr>
        <w:widowControl/>
        <w:tabs>
          <w:tab w:val="left" w:pos="630"/>
        </w:tabs>
        <w:spacing w:after="240" w:line="360" w:lineRule="exact"/>
        <w:rPr>
          <w:rFonts w:hint="eastAsia"/>
        </w:rPr>
      </w:pPr>
      <w:r>
        <w:rPr>
          <w:rFonts w:hint="eastAsia"/>
        </w:rPr>
        <w:t>672.</w:t>
      </w:r>
      <w:r>
        <w:rPr>
          <w:rFonts w:hint="eastAsia"/>
        </w:rPr>
        <w:tab/>
      </w:r>
      <w:r>
        <w:rPr>
          <w:rFonts w:hint="eastAsia"/>
        </w:rPr>
        <w:t>除了这三种类型的教育外，教育系统还包括初始教育、特殊教育和成人教育。初始教育提供给</w:t>
      </w:r>
      <w:r>
        <w:rPr>
          <w:rFonts w:hint="eastAsia"/>
        </w:rPr>
        <w:t>45</w:t>
      </w:r>
      <w:r>
        <w:rPr>
          <w:rFonts w:hint="eastAsia"/>
        </w:rPr>
        <w:t>天到</w:t>
      </w:r>
      <w:r>
        <w:rPr>
          <w:rFonts w:hint="eastAsia"/>
        </w:rPr>
        <w:t>3</w:t>
      </w:r>
      <w:r>
        <w:rPr>
          <w:rFonts w:hint="eastAsia"/>
        </w:rPr>
        <w:t>岁大的儿童，目的是刺激他们的身体、感知、感情和社会发育，其中包括指导家长和监护人教育儿童或进行监护。特殊教育提供给暂时或永久残疾的个人或有特殊才能的个人，其中包括对父母和监护人的指导。成人教育提供给没有接受或完成基础教育的</w:t>
      </w:r>
      <w:r>
        <w:rPr>
          <w:rFonts w:hint="eastAsia"/>
        </w:rPr>
        <w:t>15</w:t>
      </w:r>
      <w:r>
        <w:rPr>
          <w:rFonts w:hint="eastAsia"/>
        </w:rPr>
        <w:t>岁</w:t>
      </w:r>
      <w:r>
        <w:rPr>
          <w:rFonts w:hint="eastAsia"/>
        </w:rPr>
        <w:t>以上的人，它包括识字培训、初等和中等教育和职业培训。</w:t>
      </w:r>
    </w:p>
    <w:p w:rsidR="00000000" w:rsidRDefault="00457650">
      <w:pPr>
        <w:widowControl/>
        <w:tabs>
          <w:tab w:val="left" w:pos="630"/>
        </w:tabs>
        <w:spacing w:after="240" w:line="360" w:lineRule="exact"/>
        <w:rPr>
          <w:rFonts w:hint="eastAsia"/>
        </w:rPr>
      </w:pPr>
      <w:r>
        <w:rPr>
          <w:rFonts w:hint="eastAsia"/>
        </w:rPr>
        <w:t>673.</w:t>
      </w:r>
      <w:r>
        <w:rPr>
          <w:rFonts w:hint="eastAsia"/>
        </w:rPr>
        <w:tab/>
      </w:r>
      <w:r>
        <w:rPr>
          <w:rFonts w:hint="eastAsia"/>
        </w:rPr>
        <w:t>根据教学方法，教育系统可分为两种</w:t>
      </w:r>
      <w:r>
        <w:rPr>
          <w:rFonts w:eastAsia="KaiTi_GB2312" w:hint="eastAsia"/>
          <w:iCs/>
        </w:rPr>
        <w:t>形式：登记入学</w:t>
      </w:r>
      <w:r>
        <w:rPr>
          <w:rFonts w:hint="eastAsia"/>
        </w:rPr>
        <w:t>和</w:t>
      </w:r>
      <w:r>
        <w:rPr>
          <w:rFonts w:eastAsia="KaiTi_GB2312" w:hint="eastAsia"/>
          <w:iCs/>
        </w:rPr>
        <w:t>非登记入学</w:t>
      </w:r>
      <w:r>
        <w:rPr>
          <w:rFonts w:hint="eastAsia"/>
        </w:rPr>
        <w:t>。前者覆盖范围更广，要求全天或部分时间到学校，因为学生必须到学校按照官方规定的时间表完成课程。</w:t>
      </w:r>
    </w:p>
    <w:p w:rsidR="00000000" w:rsidRDefault="00457650">
      <w:pPr>
        <w:widowControl/>
        <w:tabs>
          <w:tab w:val="left" w:pos="630"/>
        </w:tabs>
        <w:spacing w:after="240" w:line="360" w:lineRule="exact"/>
        <w:rPr>
          <w:rFonts w:hint="eastAsia"/>
        </w:rPr>
      </w:pPr>
      <w:r>
        <w:rPr>
          <w:rFonts w:hint="eastAsia"/>
        </w:rPr>
        <w:t>674.</w:t>
      </w:r>
      <w:r>
        <w:rPr>
          <w:rFonts w:hint="eastAsia"/>
        </w:rPr>
        <w:tab/>
      </w:r>
      <w:r>
        <w:rPr>
          <w:rFonts w:eastAsia="KaiTi_GB2312" w:hint="eastAsia"/>
          <w:iCs/>
        </w:rPr>
        <w:t>非登记入学</w:t>
      </w:r>
      <w:r>
        <w:rPr>
          <w:rFonts w:hint="eastAsia"/>
        </w:rPr>
        <w:t>形式包括开放或远程教育，不需要全天或部分时间到学校，它适应使用者的需要，在咨询人员的支助下进行。</w:t>
      </w:r>
    </w:p>
    <w:p w:rsidR="00000000" w:rsidRDefault="00457650">
      <w:pPr>
        <w:keepNext/>
        <w:widowControl/>
        <w:tabs>
          <w:tab w:val="left" w:pos="630"/>
        </w:tabs>
        <w:spacing w:after="240" w:line="360" w:lineRule="exact"/>
        <w:rPr>
          <w:rFonts w:eastAsia="KaiTi_GB2312" w:hint="eastAsia"/>
          <w:b/>
          <w:bCs/>
        </w:rPr>
      </w:pPr>
      <w:r>
        <w:rPr>
          <w:rFonts w:eastAsia="KaiTi_GB2312" w:hint="eastAsia"/>
          <w:b/>
          <w:bCs/>
        </w:rPr>
        <w:t xml:space="preserve"> </w:t>
      </w:r>
      <w:r>
        <w:rPr>
          <w:rFonts w:eastAsia="KaiTi_GB2312" w:hint="eastAsia"/>
          <w:b/>
          <w:bCs/>
        </w:rPr>
        <w:tab/>
      </w:r>
      <w:r>
        <w:rPr>
          <w:rFonts w:eastAsia="KaiTi_GB2312" w:hint="eastAsia"/>
          <w:b/>
          <w:bCs/>
        </w:rPr>
        <w:t>管理</w:t>
      </w:r>
    </w:p>
    <w:p w:rsidR="00000000" w:rsidRDefault="00457650">
      <w:pPr>
        <w:keepNext/>
        <w:widowControl/>
        <w:tabs>
          <w:tab w:val="left" w:pos="630"/>
        </w:tabs>
        <w:spacing w:after="240" w:line="360" w:lineRule="exact"/>
        <w:rPr>
          <w:rFonts w:hint="eastAsia"/>
        </w:rPr>
      </w:pPr>
      <w:r>
        <w:rPr>
          <w:rFonts w:hint="eastAsia"/>
        </w:rPr>
        <w:t>675.</w:t>
      </w:r>
      <w:r>
        <w:rPr>
          <w:rFonts w:hint="eastAsia"/>
        </w:rPr>
        <w:tab/>
      </w:r>
      <w:r>
        <w:rPr>
          <w:rFonts w:hint="eastAsia"/>
        </w:rPr>
        <w:t>在联邦，公共教育服务由公共教育部提供并管理，在各州，由各个实体负责教育的机构提供并管理。</w:t>
      </w:r>
    </w:p>
    <w:p w:rsidR="00000000" w:rsidRDefault="00457650">
      <w:pPr>
        <w:widowControl/>
        <w:tabs>
          <w:tab w:val="left" w:pos="630"/>
        </w:tabs>
        <w:spacing w:after="240" w:line="360" w:lineRule="exact"/>
        <w:rPr>
          <w:rFonts w:hint="eastAsia"/>
        </w:rPr>
      </w:pPr>
      <w:r>
        <w:rPr>
          <w:rFonts w:hint="eastAsia"/>
        </w:rPr>
        <w:t>676.</w:t>
      </w:r>
      <w:r>
        <w:rPr>
          <w:rFonts w:hint="eastAsia"/>
        </w:rPr>
        <w:tab/>
      </w:r>
      <w:r>
        <w:rPr>
          <w:rFonts w:hint="eastAsia"/>
        </w:rPr>
        <w:t>根据《普通教育法》，联邦在基础和正规教育中扮演制定标准的</w:t>
      </w:r>
      <w:r>
        <w:rPr>
          <w:rFonts w:hint="eastAsia"/>
        </w:rPr>
        <w:t>角色，拟定指导方针、计划和项目，同地方教育主管机构合作；规定课程并准备制作免费教材，进行全国规划和评估。地方教育主管机构负责初始、基础和特殊教育以及教师培训，另外还提供进修培训，基础教育教师的进修课程。市一级可以促进和提供任何种类或形式的教育服务。对于联邦区，基础教育和教师培训由公共教育部提供。</w:t>
      </w:r>
    </w:p>
    <w:p w:rsidR="00000000" w:rsidRDefault="00457650">
      <w:pPr>
        <w:widowControl/>
        <w:tabs>
          <w:tab w:val="left" w:pos="630"/>
        </w:tabs>
        <w:spacing w:after="240" w:line="360" w:lineRule="exact"/>
        <w:rPr>
          <w:rFonts w:hint="eastAsia"/>
        </w:rPr>
      </w:pPr>
      <w:r>
        <w:rPr>
          <w:rFonts w:hint="eastAsia"/>
        </w:rPr>
        <w:t>677.</w:t>
      </w:r>
      <w:r>
        <w:rPr>
          <w:rFonts w:hint="eastAsia"/>
        </w:rPr>
        <w:tab/>
      </w:r>
      <w:r>
        <w:rPr>
          <w:rFonts w:hint="eastAsia"/>
        </w:rPr>
        <w:t>按照这种方式，提供教育服务的包括联邦（公共教育部和其他行政部委）、州和市政府，包括独立机构和个人。</w:t>
      </w:r>
    </w:p>
    <w:p w:rsidR="00000000" w:rsidRDefault="00457650">
      <w:pPr>
        <w:widowControl/>
        <w:tabs>
          <w:tab w:val="left" w:pos="630"/>
        </w:tabs>
        <w:spacing w:after="240" w:line="360" w:lineRule="exact"/>
        <w:rPr>
          <w:rFonts w:hint="eastAsia"/>
        </w:rPr>
      </w:pPr>
      <w:r>
        <w:rPr>
          <w:rFonts w:hint="eastAsia"/>
        </w:rPr>
        <w:t>678.</w:t>
      </w:r>
      <w:r>
        <w:rPr>
          <w:rFonts w:hint="eastAsia"/>
        </w:rPr>
        <w:tab/>
      </w:r>
      <w:r>
        <w:rPr>
          <w:rFonts w:hint="eastAsia"/>
        </w:rPr>
        <w:t>除了联邦基础教育外，公共教育部还向地方主管机构移交了其他教育服务，如“国家技术和职业教育学院”</w:t>
      </w:r>
      <w:r>
        <w:rPr>
          <w:rFonts w:hint="eastAsia"/>
        </w:rPr>
        <w:t>的职业技术教育（中级中等教育），学士学院的大专教育，这些教育机构是公共教育部的分散化机构。为此，制定了管理这些国家政府分散化机构的法律框架；它们依靠联邦和州提供的资金运作。职业和高等教育也纳入了该框架。</w:t>
      </w:r>
    </w:p>
    <w:p w:rsidR="00000000" w:rsidRDefault="00457650">
      <w:pPr>
        <w:widowControl/>
        <w:tabs>
          <w:tab w:val="left" w:pos="630"/>
        </w:tabs>
        <w:spacing w:after="240" w:line="360" w:lineRule="exact"/>
        <w:rPr>
          <w:rFonts w:hint="eastAsia"/>
        </w:rPr>
      </w:pPr>
      <w:r>
        <w:rPr>
          <w:rFonts w:hint="eastAsia"/>
        </w:rPr>
        <w:t>679.</w:t>
      </w:r>
      <w:r>
        <w:rPr>
          <w:rFonts w:hint="eastAsia"/>
        </w:rPr>
        <w:tab/>
      </w:r>
      <w:r>
        <w:rPr>
          <w:rFonts w:hint="eastAsia"/>
        </w:rPr>
        <w:t>通过地方主管机构和联邦政府的合作扩展这些服务。</w:t>
      </w:r>
    </w:p>
    <w:p w:rsidR="00000000" w:rsidRDefault="00457650">
      <w:pPr>
        <w:widowControl/>
        <w:tabs>
          <w:tab w:val="left" w:pos="630"/>
        </w:tabs>
        <w:spacing w:after="240" w:line="360" w:lineRule="exact"/>
        <w:rPr>
          <w:rFonts w:hint="eastAsia"/>
        </w:rPr>
      </w:pPr>
      <w:r>
        <w:rPr>
          <w:rFonts w:hint="eastAsia"/>
        </w:rPr>
        <w:t>680.</w:t>
      </w:r>
      <w:r>
        <w:rPr>
          <w:rFonts w:hint="eastAsia"/>
        </w:rPr>
        <w:tab/>
      </w:r>
      <w:r>
        <w:rPr>
          <w:rFonts w:hint="eastAsia"/>
        </w:rPr>
        <w:t>以前各州的同级教育增加了基础教育以及联邦的高中等教育和职业教育。这一战略的基本设想是加强州系统并强化公共教育部的指导作用，同时继续尊重其制定标准的职责，这一补偿性职责促进了国家教育系统的公平发展，鉴于墨西哥境内</w:t>
      </w:r>
      <w:r>
        <w:rPr>
          <w:rFonts w:hint="eastAsia"/>
        </w:rPr>
        <w:t>32</w:t>
      </w:r>
      <w:r>
        <w:rPr>
          <w:rFonts w:hint="eastAsia"/>
        </w:rPr>
        <w:t>个联邦实体存在巨大的多样性</w:t>
      </w:r>
      <w:r>
        <w:rPr>
          <w:rFonts w:hint="eastAsia"/>
        </w:rPr>
        <w:t>和教育差异，这类活动非常重要。</w:t>
      </w:r>
    </w:p>
    <w:p w:rsidR="00000000" w:rsidRDefault="00457650">
      <w:pPr>
        <w:keepNext/>
        <w:widowControl/>
        <w:tabs>
          <w:tab w:val="left" w:pos="630"/>
        </w:tabs>
        <w:spacing w:after="240" w:line="360" w:lineRule="exact"/>
        <w:rPr>
          <w:rFonts w:eastAsia="SimHei" w:hint="eastAsia"/>
        </w:rPr>
      </w:pPr>
      <w:r>
        <w:rPr>
          <w:rFonts w:eastAsia="SimHei" w:hint="eastAsia"/>
        </w:rPr>
        <w:tab/>
      </w:r>
      <w:r>
        <w:rPr>
          <w:rFonts w:eastAsia="SimHei" w:hint="eastAsia"/>
        </w:rPr>
        <w:t>建设新学校的活动。学校相近，特别是在农村地区。</w:t>
      </w:r>
    </w:p>
    <w:p w:rsidR="00000000" w:rsidRDefault="00457650">
      <w:pPr>
        <w:keepNext/>
        <w:widowControl/>
        <w:tabs>
          <w:tab w:val="left" w:pos="630"/>
        </w:tabs>
        <w:spacing w:after="240" w:line="360" w:lineRule="exact"/>
        <w:rPr>
          <w:rFonts w:hint="eastAsia"/>
        </w:rPr>
      </w:pPr>
      <w:r>
        <w:rPr>
          <w:rFonts w:hint="eastAsia"/>
        </w:rPr>
        <w:t>681.</w:t>
      </w:r>
      <w:r>
        <w:rPr>
          <w:rFonts w:hint="eastAsia"/>
        </w:rPr>
        <w:tab/>
      </w:r>
      <w:r>
        <w:rPr>
          <w:rFonts w:hint="eastAsia"/>
        </w:rPr>
        <w:t>建设新学校有规划手段，借此分析微观地区，确定新学校位置，以便满足特定地区的需要。在农村地区，通过社区教育服务来满足居民不到</w:t>
      </w:r>
      <w:r>
        <w:rPr>
          <w:rFonts w:hint="eastAsia"/>
        </w:rPr>
        <w:t>500</w:t>
      </w:r>
      <w:r>
        <w:rPr>
          <w:rFonts w:hint="eastAsia"/>
        </w:rPr>
        <w:t>名的村庄的需要。</w:t>
      </w:r>
    </w:p>
    <w:p w:rsidR="00000000" w:rsidRDefault="00457650">
      <w:pPr>
        <w:widowControl/>
        <w:tabs>
          <w:tab w:val="left" w:pos="630"/>
        </w:tabs>
        <w:spacing w:after="240" w:line="360" w:lineRule="exact"/>
        <w:rPr>
          <w:rFonts w:hint="eastAsia"/>
        </w:rPr>
      </w:pPr>
      <w:r>
        <w:rPr>
          <w:rFonts w:hint="eastAsia"/>
        </w:rPr>
        <w:t>682.</w:t>
      </w:r>
      <w:r>
        <w:rPr>
          <w:rFonts w:hint="eastAsia"/>
        </w:rPr>
        <w:tab/>
      </w:r>
      <w:r>
        <w:rPr>
          <w:rFonts w:hint="eastAsia"/>
        </w:rPr>
        <w:t>小学建设由联邦和州提供资金。对于高中等教育和高等教育和职业培训，新学校建设通过“比索对比索”计划由联邦和州政府平均提供资金，以此鼓励各州进行投资并使投资数额翻番。</w:t>
      </w:r>
    </w:p>
    <w:p w:rsidR="00000000" w:rsidRDefault="00457650">
      <w:pPr>
        <w:widowControl/>
        <w:tabs>
          <w:tab w:val="left" w:pos="630"/>
        </w:tabs>
        <w:spacing w:after="240" w:line="360" w:lineRule="exact"/>
        <w:rPr>
          <w:rFonts w:eastAsia="SimHei" w:hint="eastAsia"/>
        </w:rPr>
      </w:pPr>
      <w:r>
        <w:rPr>
          <w:rFonts w:eastAsia="SimHei" w:hint="eastAsia"/>
        </w:rPr>
        <w:tab/>
      </w:r>
      <w:r>
        <w:rPr>
          <w:rFonts w:eastAsia="SimHei" w:hint="eastAsia"/>
        </w:rPr>
        <w:t>学校清单</w:t>
      </w:r>
    </w:p>
    <w:p w:rsidR="00000000" w:rsidRDefault="00457650">
      <w:pPr>
        <w:widowControl/>
        <w:tabs>
          <w:tab w:val="left" w:pos="630"/>
        </w:tabs>
        <w:spacing w:after="240" w:line="360" w:lineRule="exact"/>
        <w:rPr>
          <w:rFonts w:hint="eastAsia"/>
        </w:rPr>
      </w:pPr>
      <w:r>
        <w:rPr>
          <w:rFonts w:hint="eastAsia"/>
        </w:rPr>
        <w:t>683.</w:t>
      </w:r>
      <w:r>
        <w:rPr>
          <w:rFonts w:hint="eastAsia"/>
        </w:rPr>
        <w:tab/>
      </w:r>
      <w:r>
        <w:rPr>
          <w:rFonts w:hint="eastAsia"/>
        </w:rPr>
        <w:t>在每个学年开始前，拟定供公立学校接受基础教育的学生使用的教材和教学设备清单。列</w:t>
      </w:r>
      <w:r>
        <w:rPr>
          <w:rFonts w:hint="eastAsia"/>
        </w:rPr>
        <w:t>入每个教育等级清单的教材和教学设备对在学期内开展各种教育活动是必不可少的；但是，教师可以根据课程进展要求使用其他教材。</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60</w:t>
      </w:r>
      <w:r>
        <w:rPr>
          <w:rFonts w:ascii="SimHei" w:eastAsia="SimHei" w:hint="eastAsia"/>
        </w:rPr>
        <w:t>段（</w:t>
      </w:r>
      <w:r>
        <w:rPr>
          <w:rFonts w:ascii="SimHei" w:eastAsia="SimHei" w:hint="eastAsia"/>
        </w:rPr>
        <w:t>a</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684.</w:t>
      </w:r>
      <w:r>
        <w:rPr>
          <w:rFonts w:hint="eastAsia"/>
        </w:rPr>
        <w:tab/>
      </w:r>
      <w:r>
        <w:rPr>
          <w:rFonts w:hint="eastAsia"/>
        </w:rPr>
        <w:t>性别覆盖率显示接受各类教育的男女差别并不明显。特别是</w:t>
      </w:r>
      <w:r>
        <w:rPr>
          <w:rFonts w:hint="eastAsia"/>
        </w:rPr>
        <w:t>2003</w:t>
      </w:r>
      <w:r>
        <w:t>-</w:t>
      </w:r>
      <w:r>
        <w:rPr>
          <w:rFonts w:hint="eastAsia"/>
        </w:rPr>
        <w:t>2004</w:t>
      </w:r>
      <w:r>
        <w:rPr>
          <w:rFonts w:hint="eastAsia"/>
        </w:rPr>
        <w:t>学年的基础和高等教育覆盖指标显示没有实际差别。对于高中等教育，自</w:t>
      </w:r>
      <w:r>
        <w:rPr>
          <w:rFonts w:hint="eastAsia"/>
        </w:rPr>
        <w:t>1990</w:t>
      </w:r>
      <w:r>
        <w:rPr>
          <w:rFonts w:hint="eastAsia"/>
        </w:rPr>
        <w:t>年代中期开始这一趋势就发生了逆转，目前的比例显示女性超出男性</w:t>
      </w:r>
      <w:r>
        <w:rPr>
          <w:rFonts w:hint="eastAsia"/>
        </w:rPr>
        <w:t>3.5%</w:t>
      </w:r>
      <w:r>
        <w:rPr>
          <w:rFonts w:hint="eastAsia"/>
        </w:rPr>
        <w:t>。</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60</w:t>
      </w:r>
      <w:r>
        <w:rPr>
          <w:rFonts w:ascii="SimHei" w:eastAsia="SimHei" w:hint="eastAsia"/>
        </w:rPr>
        <w:t>段（</w:t>
      </w:r>
      <w:r>
        <w:rPr>
          <w:rFonts w:ascii="SimHei" w:eastAsia="SimHei" w:hint="eastAsia"/>
        </w:rPr>
        <w:t>b</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685.</w:t>
      </w:r>
      <w:r>
        <w:rPr>
          <w:rFonts w:hint="eastAsia"/>
        </w:rPr>
        <w:tab/>
      </w:r>
      <w:r>
        <w:rPr>
          <w:rFonts w:hint="eastAsia"/>
        </w:rPr>
        <w:t>公共教育部鼓励发展公平、优质的双语跨文化教育，以满足土著儿童和青年的教育和基本学习需要，促进建设一个个人和社会有机会共同发展的</w:t>
      </w:r>
      <w:r>
        <w:rPr>
          <w:rFonts w:hint="eastAsia"/>
        </w:rPr>
        <w:t>社会。</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多年级项目</w:t>
      </w:r>
    </w:p>
    <w:p w:rsidR="00000000" w:rsidRDefault="00457650">
      <w:pPr>
        <w:widowControl/>
        <w:tabs>
          <w:tab w:val="left" w:pos="630"/>
        </w:tabs>
        <w:spacing w:after="240" w:line="360" w:lineRule="exact"/>
        <w:rPr>
          <w:rFonts w:hint="eastAsia"/>
        </w:rPr>
      </w:pPr>
      <w:r>
        <w:rPr>
          <w:rFonts w:hint="eastAsia"/>
        </w:rPr>
        <w:t>686.</w:t>
      </w:r>
      <w:r>
        <w:rPr>
          <w:rFonts w:hint="eastAsia"/>
        </w:rPr>
        <w:tab/>
      </w:r>
      <w:r>
        <w:rPr>
          <w:rFonts w:hint="eastAsia"/>
        </w:rPr>
        <w:t>在获得优质教育、满足需要并帮助提高教育水平方面，农村小型社区人口面临挑战。</w:t>
      </w:r>
    </w:p>
    <w:p w:rsidR="00000000" w:rsidRDefault="00457650">
      <w:pPr>
        <w:widowControl/>
        <w:tabs>
          <w:tab w:val="left" w:pos="630"/>
        </w:tabs>
        <w:spacing w:after="240" w:line="360" w:lineRule="exact"/>
        <w:rPr>
          <w:rFonts w:hint="eastAsia"/>
        </w:rPr>
      </w:pPr>
      <w:r>
        <w:rPr>
          <w:rFonts w:hint="eastAsia"/>
        </w:rPr>
        <w:t>687.</w:t>
      </w:r>
      <w:r>
        <w:rPr>
          <w:rFonts w:hint="eastAsia"/>
        </w:rPr>
        <w:tab/>
      </w:r>
      <w:r>
        <w:rPr>
          <w:rFonts w:hint="eastAsia"/>
        </w:rPr>
        <w:t>主要问题之一是如何开展持久而有效的基本识字教育，培养学生独立的学习能力。</w:t>
      </w:r>
    </w:p>
    <w:p w:rsidR="00000000" w:rsidRDefault="00457650">
      <w:pPr>
        <w:widowControl/>
        <w:tabs>
          <w:tab w:val="left" w:pos="630"/>
        </w:tabs>
        <w:spacing w:after="240" w:line="360" w:lineRule="exact"/>
        <w:rPr>
          <w:rFonts w:hint="eastAsia"/>
        </w:rPr>
      </w:pPr>
      <w:r>
        <w:rPr>
          <w:rFonts w:hint="eastAsia"/>
        </w:rPr>
        <w:t>688.</w:t>
      </w:r>
      <w:r>
        <w:rPr>
          <w:rFonts w:hint="eastAsia"/>
        </w:rPr>
        <w:tab/>
      </w:r>
      <w:r>
        <w:rPr>
          <w:rFonts w:hint="eastAsia"/>
        </w:rPr>
        <w:t>在这方面，多年级项目旨在制定教育计划和调整课程，重点是培养继续教育、合作和互助的能力和技巧，发挥教育资源的功效，教会学生阅读。</w:t>
      </w:r>
    </w:p>
    <w:p w:rsidR="00000000" w:rsidRDefault="00457650">
      <w:pPr>
        <w:widowControl/>
        <w:tabs>
          <w:tab w:val="left" w:pos="630"/>
        </w:tabs>
        <w:spacing w:after="240" w:line="360" w:lineRule="exact"/>
        <w:rPr>
          <w:rFonts w:hint="eastAsia"/>
        </w:rPr>
      </w:pPr>
      <w:r>
        <w:rPr>
          <w:rFonts w:hint="eastAsia"/>
        </w:rPr>
        <w:t>689.</w:t>
      </w:r>
      <w:r>
        <w:rPr>
          <w:rFonts w:hint="eastAsia"/>
        </w:rPr>
        <w:tab/>
      </w:r>
      <w:r>
        <w:rPr>
          <w:rFonts w:hint="eastAsia"/>
        </w:rPr>
        <w:t>在</w:t>
      </w:r>
      <w:r>
        <w:rPr>
          <w:rFonts w:hint="eastAsia"/>
        </w:rPr>
        <w:t>14</w:t>
      </w:r>
      <w:r>
        <w:rPr>
          <w:rFonts w:hint="eastAsia"/>
        </w:rPr>
        <w:t>个实体中，少数学校在试验的基础上适用了教育提案（二月到六月）。在</w:t>
      </w:r>
      <w:r>
        <w:rPr>
          <w:rFonts w:hint="eastAsia"/>
        </w:rPr>
        <w:t>2004</w:t>
      </w:r>
      <w:r>
        <w:t>-</w:t>
      </w:r>
      <w:r>
        <w:rPr>
          <w:rFonts w:hint="eastAsia"/>
        </w:rPr>
        <w:t>2005</w:t>
      </w:r>
      <w:r>
        <w:rPr>
          <w:rFonts w:hint="eastAsia"/>
        </w:rPr>
        <w:t>学年，将该教育提案在大约</w:t>
      </w:r>
      <w:r>
        <w:rPr>
          <w:rFonts w:hint="eastAsia"/>
        </w:rPr>
        <w:t>20%</w:t>
      </w:r>
      <w:r>
        <w:rPr>
          <w:rFonts w:hint="eastAsia"/>
        </w:rPr>
        <w:t>的实体适用。在</w:t>
      </w:r>
      <w:r>
        <w:rPr>
          <w:rFonts w:hint="eastAsia"/>
        </w:rPr>
        <w:t>2005</w:t>
      </w:r>
      <w:r>
        <w:t>-</w:t>
      </w:r>
      <w:r>
        <w:rPr>
          <w:rFonts w:hint="eastAsia"/>
        </w:rPr>
        <w:t>2006</w:t>
      </w:r>
      <w:r>
        <w:rPr>
          <w:rFonts w:hint="eastAsia"/>
        </w:rPr>
        <w:t>学年，该教育提案将扩大</w:t>
      </w:r>
      <w:r>
        <w:rPr>
          <w:rFonts w:hint="eastAsia"/>
        </w:rPr>
        <w:t>到墨西哥如下所有多年级学校：</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多年级学校（不包括社区课程）：</w:t>
      </w:r>
      <w:r>
        <w:rPr>
          <w:rFonts w:hint="eastAsia"/>
        </w:rPr>
        <w:t>38 951</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一名教师的学校：</w:t>
      </w:r>
      <w:r>
        <w:rPr>
          <w:rFonts w:hint="eastAsia"/>
        </w:rPr>
        <w:t>10 982</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二名教师的学校：</w:t>
      </w:r>
      <w:r>
        <w:rPr>
          <w:rFonts w:hint="eastAsia"/>
        </w:rPr>
        <w:t>12 654</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三名教师的学校：</w:t>
      </w:r>
      <w:r>
        <w:rPr>
          <w:rFonts w:hint="eastAsia"/>
        </w:rPr>
        <w:t>8 454</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四名教师的学校：</w:t>
      </w:r>
      <w:r>
        <w:rPr>
          <w:rFonts w:hint="eastAsia"/>
        </w:rPr>
        <w:t>3 932</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五名教师的学校：</w:t>
      </w:r>
      <w:r>
        <w:rPr>
          <w:rFonts w:hint="eastAsia"/>
        </w:rPr>
        <w:t>2 938</w:t>
      </w:r>
    </w:p>
    <w:p w:rsidR="00000000" w:rsidRDefault="00457650">
      <w:pPr>
        <w:widowControl/>
        <w:tabs>
          <w:tab w:val="left" w:pos="630"/>
        </w:tabs>
        <w:spacing w:after="240" w:line="360" w:lineRule="exact"/>
        <w:rPr>
          <w:rFonts w:eastAsia="SimHei" w:hint="eastAsia"/>
        </w:rPr>
      </w:pPr>
      <w:r>
        <w:rPr>
          <w:rFonts w:eastAsia="SimHei" w:hint="eastAsia"/>
        </w:rPr>
        <w:tab/>
      </w:r>
      <w:r>
        <w:rPr>
          <w:rFonts w:eastAsia="SimHei" w:hint="eastAsia"/>
        </w:rPr>
        <w:t>男女移民儿童初等教育方案</w:t>
      </w:r>
    </w:p>
    <w:p w:rsidR="00000000" w:rsidRDefault="00457650">
      <w:pPr>
        <w:widowControl/>
        <w:tabs>
          <w:tab w:val="left" w:pos="630"/>
        </w:tabs>
        <w:spacing w:after="240" w:line="360" w:lineRule="exact"/>
        <w:rPr>
          <w:rFonts w:hint="eastAsia"/>
        </w:rPr>
      </w:pPr>
      <w:r>
        <w:rPr>
          <w:rFonts w:hint="eastAsia"/>
        </w:rPr>
        <w:t>690.</w:t>
      </w:r>
      <w:r>
        <w:rPr>
          <w:rFonts w:hint="eastAsia"/>
        </w:rPr>
        <w:tab/>
      </w:r>
      <w:r>
        <w:rPr>
          <w:rFonts w:hint="eastAsia"/>
        </w:rPr>
        <w:t>男女移民儿童初等教育方案主要针对在营地短期停留的移民儿童（三至五或六个月），时间表也相应减少。因为他们是工作的儿童，情况也特殊。</w:t>
      </w:r>
    </w:p>
    <w:p w:rsidR="00000000" w:rsidRDefault="00457650">
      <w:pPr>
        <w:widowControl/>
        <w:tabs>
          <w:tab w:val="left" w:pos="630"/>
        </w:tabs>
        <w:spacing w:after="240" w:line="360" w:lineRule="exact"/>
        <w:rPr>
          <w:rFonts w:hint="eastAsia"/>
        </w:rPr>
      </w:pPr>
      <w:r>
        <w:rPr>
          <w:rFonts w:hint="eastAsia"/>
        </w:rPr>
        <w:t>691.</w:t>
      </w:r>
      <w:r>
        <w:rPr>
          <w:rFonts w:hint="eastAsia"/>
        </w:rPr>
        <w:tab/>
      </w:r>
      <w:r>
        <w:rPr>
          <w:rFonts w:hint="eastAsia"/>
        </w:rPr>
        <w:t>这些情况要求改变教育形式，学生可以通过学习掌握基本的学习技巧和能力。为此，移民儿童初等教育方案设计了一个教育规划，适</w:t>
      </w:r>
      <w:r>
        <w:rPr>
          <w:rFonts w:hint="eastAsia"/>
        </w:rPr>
        <w:t>应学生的需要。其中一项基本内容是教会学生阅读，以便他们能够独立学习。</w:t>
      </w:r>
    </w:p>
    <w:p w:rsidR="00000000" w:rsidRDefault="00457650">
      <w:pPr>
        <w:widowControl/>
        <w:tabs>
          <w:tab w:val="left" w:pos="630"/>
        </w:tabs>
        <w:spacing w:after="240" w:line="360" w:lineRule="exact"/>
        <w:rPr>
          <w:rFonts w:hint="eastAsia"/>
        </w:rPr>
      </w:pPr>
      <w:r>
        <w:rPr>
          <w:rFonts w:hint="eastAsia"/>
        </w:rPr>
        <w:t>692.</w:t>
      </w:r>
      <w:r>
        <w:rPr>
          <w:rFonts w:hint="eastAsia"/>
        </w:rPr>
        <w:tab/>
      </w:r>
      <w:r>
        <w:rPr>
          <w:rFonts w:hint="eastAsia"/>
        </w:rPr>
        <w:t>主要挑战之一是覆盖面，在大约</w:t>
      </w:r>
      <w:r>
        <w:rPr>
          <w:rFonts w:hint="eastAsia"/>
        </w:rPr>
        <w:t>300 000</w:t>
      </w:r>
      <w:r>
        <w:rPr>
          <w:rFonts w:hint="eastAsia"/>
        </w:rPr>
        <w:t>名需要该项服务的学生中，公共教育只为</w:t>
      </w:r>
      <w:r>
        <w:rPr>
          <w:rFonts w:hint="eastAsia"/>
        </w:rPr>
        <w:t>10%</w:t>
      </w:r>
      <w:r>
        <w:rPr>
          <w:rFonts w:hint="eastAsia"/>
        </w:rPr>
        <w:t>的学生提供了服务。</w:t>
      </w:r>
    </w:p>
    <w:p w:rsidR="00000000" w:rsidRDefault="00457650">
      <w:pPr>
        <w:widowControl/>
        <w:tabs>
          <w:tab w:val="left" w:pos="630"/>
        </w:tabs>
        <w:spacing w:after="240" w:line="360" w:lineRule="exact"/>
        <w:rPr>
          <w:rFonts w:hint="eastAsia"/>
        </w:rPr>
      </w:pPr>
      <w:r>
        <w:rPr>
          <w:rFonts w:hint="eastAsia"/>
        </w:rPr>
        <w:t>693.</w:t>
      </w:r>
      <w:r>
        <w:rPr>
          <w:rFonts w:hint="eastAsia"/>
        </w:rPr>
        <w:tab/>
      </w:r>
      <w:r>
        <w:rPr>
          <w:rFonts w:hint="eastAsia"/>
        </w:rPr>
        <w:t>这需要更多的资源，以便扩大对这一人群的教育服务面。</w:t>
      </w:r>
    </w:p>
    <w:p w:rsidR="00000000" w:rsidRDefault="00457650">
      <w:pPr>
        <w:widowControl/>
        <w:tabs>
          <w:tab w:val="left" w:pos="630"/>
        </w:tabs>
        <w:spacing w:after="240" w:line="360" w:lineRule="exact"/>
        <w:rPr>
          <w:rFonts w:eastAsia="SimHei" w:hint="eastAsia"/>
        </w:rPr>
      </w:pPr>
      <w:r>
        <w:rPr>
          <w:rFonts w:eastAsia="SimHei" w:hint="eastAsia"/>
        </w:rPr>
        <w:tab/>
      </w:r>
      <w:r>
        <w:rPr>
          <w:rFonts w:eastAsia="SimHei" w:hint="eastAsia"/>
        </w:rPr>
        <w:t>国家加强特殊教育和教育一体化方案</w:t>
      </w:r>
    </w:p>
    <w:p w:rsidR="00000000" w:rsidRDefault="00457650">
      <w:pPr>
        <w:widowControl/>
        <w:tabs>
          <w:tab w:val="left" w:pos="630"/>
        </w:tabs>
        <w:spacing w:after="240" w:line="360" w:lineRule="exact"/>
        <w:rPr>
          <w:rFonts w:hint="eastAsia"/>
        </w:rPr>
      </w:pPr>
      <w:r>
        <w:rPr>
          <w:rFonts w:hint="eastAsia"/>
        </w:rPr>
        <w:t>694.</w:t>
      </w:r>
      <w:r>
        <w:rPr>
          <w:rFonts w:hint="eastAsia"/>
        </w:rPr>
        <w:tab/>
      </w:r>
      <w:r>
        <w:rPr>
          <w:rFonts w:hint="eastAsia"/>
        </w:rPr>
        <w:t>“国家加强特殊教育和教育一体化方案”由公共教育部基础教育和教师培训局制定，它是联邦政府应对公民教育需求和建议做出的反应；它决定社会应采取的方向，以便实现特殊教育需要者的教育、社会和劳动一体化，无论是否有残疾。</w:t>
      </w:r>
    </w:p>
    <w:p w:rsidR="00000000" w:rsidRDefault="00457650">
      <w:pPr>
        <w:widowControl/>
        <w:tabs>
          <w:tab w:val="left" w:pos="630"/>
        </w:tabs>
        <w:spacing w:after="240" w:line="360" w:lineRule="exact"/>
        <w:rPr>
          <w:rFonts w:hint="eastAsia"/>
        </w:rPr>
      </w:pPr>
      <w:r>
        <w:rPr>
          <w:rFonts w:hint="eastAsia"/>
        </w:rPr>
        <w:t>695.</w:t>
      </w:r>
      <w:r>
        <w:rPr>
          <w:rFonts w:hint="eastAsia"/>
        </w:rPr>
        <w:tab/>
      </w:r>
      <w:r>
        <w:rPr>
          <w:rFonts w:hint="eastAsia"/>
        </w:rPr>
        <w:t>该项目承认多样性并寻求建立一种重视多样性的包容文化，为每个人提供有尊严地生活的平等机会。这项挑战涉及到全国的教师队伍、父母、民间社会组织和社会。</w:t>
      </w:r>
    </w:p>
    <w:p w:rsidR="00000000" w:rsidRDefault="00457650">
      <w:pPr>
        <w:widowControl/>
        <w:tabs>
          <w:tab w:val="left" w:pos="630"/>
        </w:tabs>
        <w:spacing w:after="240" w:line="360" w:lineRule="exact"/>
        <w:rPr>
          <w:rFonts w:hint="eastAsia"/>
        </w:rPr>
      </w:pPr>
      <w:r>
        <w:rPr>
          <w:rFonts w:hint="eastAsia"/>
        </w:rPr>
        <w:t>696.</w:t>
      </w:r>
      <w:r>
        <w:rPr>
          <w:rFonts w:hint="eastAsia"/>
        </w:rPr>
        <w:tab/>
      </w:r>
      <w:r>
        <w:rPr>
          <w:rFonts w:hint="eastAsia"/>
        </w:rPr>
        <w:t>关于特殊教育现状和教育一体化的进展，国家特殊教育管理机构提供了</w:t>
      </w:r>
      <w:r>
        <w:rPr>
          <w:rFonts w:hint="eastAsia"/>
        </w:rPr>
        <w:t>2001</w:t>
      </w:r>
      <w:r>
        <w:t>-</w:t>
      </w:r>
      <w:r>
        <w:rPr>
          <w:rFonts w:hint="eastAsia"/>
        </w:rPr>
        <w:t>2002</w:t>
      </w:r>
      <w:r>
        <w:rPr>
          <w:rFonts w:hint="eastAsia"/>
        </w:rPr>
        <w:t>学年初的以下情况。</w:t>
      </w:r>
    </w:p>
    <w:p w:rsidR="00000000" w:rsidRDefault="00457650">
      <w:pPr>
        <w:widowControl/>
        <w:tabs>
          <w:tab w:val="left" w:pos="630"/>
        </w:tabs>
        <w:spacing w:after="240" w:line="360" w:lineRule="exact"/>
        <w:rPr>
          <w:rFonts w:hint="eastAsia"/>
        </w:rPr>
      </w:pPr>
      <w:r>
        <w:rPr>
          <w:rFonts w:hint="eastAsia"/>
        </w:rPr>
        <w:t>697.</w:t>
      </w:r>
      <w:r>
        <w:rPr>
          <w:rFonts w:hint="eastAsia"/>
        </w:rPr>
        <w:tab/>
      </w:r>
      <w:r>
        <w:rPr>
          <w:rFonts w:hint="eastAsia"/>
        </w:rPr>
        <w:t>目前全国有</w:t>
      </w:r>
      <w:r>
        <w:rPr>
          <w:rFonts w:hint="eastAsia"/>
        </w:rPr>
        <w:t>4 097</w:t>
      </w:r>
      <w:r>
        <w:rPr>
          <w:rFonts w:hint="eastAsia"/>
        </w:rPr>
        <w:t>个特殊教育机构。在</w:t>
      </w:r>
      <w:r>
        <w:rPr>
          <w:rFonts w:hint="eastAsia"/>
        </w:rPr>
        <w:t>2001</w:t>
      </w:r>
      <w:r>
        <w:t>-</w:t>
      </w:r>
      <w:r>
        <w:rPr>
          <w:rFonts w:hint="eastAsia"/>
        </w:rPr>
        <w:t>2002</w:t>
      </w:r>
      <w:r>
        <w:rPr>
          <w:rFonts w:hint="eastAsia"/>
        </w:rPr>
        <w:t>学年，这些机构接收了</w:t>
      </w:r>
      <w:r>
        <w:rPr>
          <w:rFonts w:hint="eastAsia"/>
        </w:rPr>
        <w:t>525 232</w:t>
      </w:r>
      <w:r>
        <w:rPr>
          <w:rFonts w:hint="eastAsia"/>
        </w:rPr>
        <w:t>名学生，这些学生需要特殊教育和各种形式的初始和基础教育。</w:t>
      </w:r>
    </w:p>
    <w:p w:rsidR="00000000" w:rsidRDefault="00457650">
      <w:pPr>
        <w:widowControl/>
        <w:tabs>
          <w:tab w:val="left" w:pos="630"/>
        </w:tabs>
        <w:spacing w:after="240" w:line="360" w:lineRule="exact"/>
        <w:rPr>
          <w:rFonts w:hint="eastAsia"/>
        </w:rPr>
      </w:pPr>
      <w:r>
        <w:rPr>
          <w:rFonts w:hint="eastAsia"/>
        </w:rPr>
        <w:t>698.</w:t>
      </w:r>
      <w:r>
        <w:rPr>
          <w:rFonts w:hint="eastAsia"/>
        </w:rPr>
        <w:tab/>
      </w:r>
      <w:r>
        <w:rPr>
          <w:rFonts w:hint="eastAsia"/>
        </w:rPr>
        <w:t>下表显示了在各个特殊教育机构接受教育的学生人数。</w:t>
      </w:r>
    </w:p>
    <w:p w:rsidR="00000000" w:rsidRDefault="00457650">
      <w:pPr>
        <w:keepNext/>
        <w:keepLines/>
        <w:widowControl/>
        <w:tabs>
          <w:tab w:val="left" w:pos="630"/>
        </w:tabs>
        <w:spacing w:after="240" w:line="360" w:lineRule="exact"/>
        <w:jc w:val="center"/>
        <w:rPr>
          <w:rFonts w:eastAsia="SimHei" w:hint="eastAsia"/>
        </w:rPr>
      </w:pPr>
      <w:r>
        <w:rPr>
          <w:rFonts w:eastAsia="SimHei" w:hint="eastAsia"/>
        </w:rPr>
        <w:t>主要特殊教育机构接收的学生的人数。近似</w:t>
      </w:r>
      <w:r>
        <w:rPr>
          <w:rFonts w:eastAsia="SimHei" w:hint="eastAsia"/>
        </w:rPr>
        <w:t>数值</w:t>
      </w:r>
    </w:p>
    <w:tbl>
      <w:tblPr>
        <w:tblW w:w="5000" w:type="pct"/>
        <w:tblCellMar>
          <w:left w:w="0" w:type="dxa"/>
          <w:right w:w="0" w:type="dxa"/>
        </w:tblCellMar>
        <w:tblLook w:val="01E0" w:firstRow="1" w:lastRow="1" w:firstColumn="1" w:lastColumn="1" w:noHBand="0" w:noVBand="0"/>
      </w:tblPr>
      <w:tblGrid>
        <w:gridCol w:w="1157"/>
        <w:gridCol w:w="1278"/>
        <w:gridCol w:w="1279"/>
        <w:gridCol w:w="1281"/>
        <w:gridCol w:w="973"/>
        <w:gridCol w:w="973"/>
        <w:gridCol w:w="973"/>
        <w:gridCol w:w="973"/>
        <w:gridCol w:w="979"/>
      </w:tblGrid>
      <w:tr w:rsidR="00000000">
        <w:tblPrEx>
          <w:tblCellMar>
            <w:top w:w="0" w:type="dxa"/>
            <w:bottom w:w="0" w:type="dxa"/>
          </w:tblCellMar>
        </w:tblPrEx>
        <w:trPr>
          <w:cantSplit/>
        </w:trPr>
        <w:tc>
          <w:tcPr>
            <w:tcW w:w="587" w:type="pct"/>
            <w:vMerge w:val="restart"/>
            <w:tcBorders>
              <w:top w:val="single" w:sz="4" w:space="0" w:color="auto"/>
            </w:tcBorders>
            <w:vAlign w:val="center"/>
          </w:tcPr>
          <w:p w:rsidR="00000000" w:rsidRDefault="00457650">
            <w:pPr>
              <w:keepNext/>
              <w:keepLines/>
              <w:widowControl/>
              <w:tabs>
                <w:tab w:val="left" w:pos="630"/>
              </w:tabs>
              <w:spacing w:before="40" w:after="40" w:line="320" w:lineRule="exact"/>
              <w:jc w:val="center"/>
              <w:rPr>
                <w:rFonts w:eastAsia="KaiTi_GB2312" w:hint="eastAsia"/>
                <w:iCs/>
                <w:sz w:val="18"/>
              </w:rPr>
            </w:pPr>
            <w:r>
              <w:rPr>
                <w:rFonts w:eastAsia="KaiTi_GB2312" w:hint="eastAsia"/>
                <w:iCs/>
                <w:sz w:val="18"/>
              </w:rPr>
              <w:t>教育服务机构</w:t>
            </w:r>
          </w:p>
        </w:tc>
        <w:tc>
          <w:tcPr>
            <w:tcW w:w="648" w:type="pct"/>
            <w:vMerge w:val="restart"/>
            <w:tcBorders>
              <w:top w:val="single" w:sz="4" w:space="0" w:color="auto"/>
            </w:tcBorders>
            <w:vAlign w:val="center"/>
          </w:tcPr>
          <w:p w:rsidR="00000000" w:rsidRDefault="00457650">
            <w:pPr>
              <w:pStyle w:val="Header"/>
              <w:keepNext/>
              <w:keepLines/>
              <w:widowControl/>
              <w:pBdr>
                <w:bottom w:val="none" w:sz="0" w:space="0" w:color="auto"/>
              </w:pBdr>
              <w:tabs>
                <w:tab w:val="clear" w:pos="4320"/>
                <w:tab w:val="clear" w:pos="8640"/>
                <w:tab w:val="left" w:pos="630"/>
              </w:tabs>
              <w:spacing w:before="40" w:after="40" w:line="320" w:lineRule="exact"/>
              <w:rPr>
                <w:rFonts w:eastAsia="KaiTi_GB2312" w:hint="eastAsia"/>
                <w:iCs/>
              </w:rPr>
            </w:pPr>
            <w:r>
              <w:rPr>
                <w:rFonts w:eastAsia="KaiTi_GB2312" w:hint="eastAsia"/>
                <w:iCs/>
              </w:rPr>
              <w:t>总数</w:t>
            </w:r>
          </w:p>
        </w:tc>
        <w:tc>
          <w:tcPr>
            <w:tcW w:w="648" w:type="pct"/>
            <w:vMerge w:val="restart"/>
            <w:tcBorders>
              <w:top w:val="single" w:sz="4" w:space="0" w:color="auto"/>
            </w:tcBorders>
            <w:vAlign w:val="center"/>
          </w:tcPr>
          <w:p w:rsidR="00000000" w:rsidRDefault="00457650">
            <w:pPr>
              <w:keepNext/>
              <w:keepLines/>
              <w:widowControl/>
              <w:tabs>
                <w:tab w:val="left" w:pos="630"/>
              </w:tabs>
              <w:spacing w:before="40" w:after="40" w:line="320" w:lineRule="exact"/>
              <w:jc w:val="center"/>
              <w:rPr>
                <w:rFonts w:eastAsia="KaiTi_GB2312" w:hint="eastAsia"/>
                <w:iCs/>
                <w:sz w:val="18"/>
              </w:rPr>
            </w:pPr>
            <w:r>
              <w:rPr>
                <w:rFonts w:eastAsia="KaiTi_GB2312" w:hint="eastAsia"/>
                <w:iCs/>
                <w:sz w:val="18"/>
              </w:rPr>
              <w:t>需要特殊</w:t>
            </w:r>
            <w:r>
              <w:rPr>
                <w:rFonts w:eastAsia="KaiTi_GB2312"/>
                <w:iCs/>
                <w:sz w:val="18"/>
              </w:rPr>
              <w:br/>
            </w:r>
            <w:r>
              <w:rPr>
                <w:rFonts w:eastAsia="KaiTi_GB2312" w:hint="eastAsia"/>
                <w:iCs/>
                <w:sz w:val="18"/>
              </w:rPr>
              <w:t>教育的学生</w:t>
            </w:r>
          </w:p>
        </w:tc>
        <w:tc>
          <w:tcPr>
            <w:tcW w:w="649" w:type="pct"/>
            <w:vMerge w:val="restart"/>
            <w:tcBorders>
              <w:top w:val="single" w:sz="4" w:space="0" w:color="auto"/>
            </w:tcBorders>
            <w:vAlign w:val="center"/>
          </w:tcPr>
          <w:p w:rsidR="00000000" w:rsidRDefault="00457650">
            <w:pPr>
              <w:pStyle w:val="Header"/>
              <w:keepNext/>
              <w:keepLines/>
              <w:widowControl/>
              <w:pBdr>
                <w:bottom w:val="none" w:sz="0" w:space="0" w:color="auto"/>
              </w:pBdr>
              <w:tabs>
                <w:tab w:val="clear" w:pos="4320"/>
                <w:tab w:val="clear" w:pos="8640"/>
                <w:tab w:val="left" w:pos="630"/>
              </w:tabs>
              <w:spacing w:before="40" w:after="40" w:line="320" w:lineRule="exact"/>
              <w:rPr>
                <w:rFonts w:eastAsia="KaiTi_GB2312"/>
                <w:iCs/>
              </w:rPr>
            </w:pPr>
            <w:r>
              <w:rPr>
                <w:rFonts w:eastAsia="KaiTi_GB2312" w:hint="eastAsia"/>
                <w:iCs/>
              </w:rPr>
              <w:t>需要特殊</w:t>
            </w:r>
            <w:r>
              <w:rPr>
                <w:rFonts w:eastAsia="KaiTi_GB2312"/>
                <w:iCs/>
              </w:rPr>
              <w:br/>
            </w:r>
            <w:r>
              <w:rPr>
                <w:rFonts w:eastAsia="KaiTi_GB2312" w:hint="eastAsia"/>
                <w:iCs/>
              </w:rPr>
              <w:t>教育的学生</w:t>
            </w:r>
          </w:p>
        </w:tc>
        <w:tc>
          <w:tcPr>
            <w:tcW w:w="2468" w:type="pct"/>
            <w:gridSpan w:val="5"/>
            <w:tcBorders>
              <w:top w:val="single" w:sz="4" w:space="0" w:color="auto"/>
            </w:tcBorders>
            <w:vAlign w:val="center"/>
          </w:tcPr>
          <w:p w:rsidR="00000000" w:rsidRDefault="00457650">
            <w:pPr>
              <w:keepNext/>
              <w:keepLines/>
              <w:widowControl/>
              <w:tabs>
                <w:tab w:val="left" w:pos="630"/>
              </w:tabs>
              <w:spacing w:before="40" w:after="40" w:line="320" w:lineRule="exact"/>
              <w:jc w:val="center"/>
              <w:rPr>
                <w:rFonts w:eastAsia="KaiTi_GB2312"/>
                <w:iCs/>
                <w:sz w:val="18"/>
              </w:rPr>
            </w:pPr>
            <w:r>
              <w:rPr>
                <w:rFonts w:eastAsia="KaiTi_GB2312" w:hint="eastAsia"/>
                <w:iCs/>
                <w:sz w:val="18"/>
              </w:rPr>
              <w:t>能力缺陷者的大概百分比</w:t>
            </w:r>
          </w:p>
        </w:tc>
      </w:tr>
      <w:tr w:rsidR="00000000">
        <w:tblPrEx>
          <w:tblCellMar>
            <w:top w:w="0" w:type="dxa"/>
            <w:bottom w:w="0" w:type="dxa"/>
          </w:tblCellMar>
        </w:tblPrEx>
        <w:trPr>
          <w:cantSplit/>
        </w:trPr>
        <w:tc>
          <w:tcPr>
            <w:tcW w:w="587" w:type="pct"/>
            <w:vMerge/>
            <w:tcBorders>
              <w:bottom w:val="single" w:sz="4" w:space="0" w:color="auto"/>
            </w:tcBorders>
            <w:vAlign w:val="center"/>
          </w:tcPr>
          <w:p w:rsidR="00000000" w:rsidRDefault="00457650">
            <w:pPr>
              <w:keepNext/>
              <w:keepLines/>
              <w:widowControl/>
              <w:tabs>
                <w:tab w:val="left" w:pos="630"/>
              </w:tabs>
              <w:spacing w:before="40" w:after="40" w:line="320" w:lineRule="exact"/>
              <w:rPr>
                <w:rFonts w:eastAsia="KaiTi_GB2312"/>
                <w:iCs/>
                <w:sz w:val="18"/>
              </w:rPr>
            </w:pPr>
          </w:p>
        </w:tc>
        <w:tc>
          <w:tcPr>
            <w:tcW w:w="648" w:type="pct"/>
            <w:vMerge/>
            <w:tcBorders>
              <w:bottom w:val="single" w:sz="4" w:space="0" w:color="auto"/>
            </w:tcBorders>
            <w:vAlign w:val="center"/>
          </w:tcPr>
          <w:p w:rsidR="00000000" w:rsidRDefault="00457650">
            <w:pPr>
              <w:keepNext/>
              <w:keepLines/>
              <w:widowControl/>
              <w:tabs>
                <w:tab w:val="left" w:pos="630"/>
              </w:tabs>
              <w:spacing w:before="40" w:after="40" w:line="320" w:lineRule="exact"/>
              <w:rPr>
                <w:rFonts w:eastAsia="KaiTi_GB2312"/>
                <w:iCs/>
                <w:sz w:val="18"/>
              </w:rPr>
            </w:pPr>
          </w:p>
        </w:tc>
        <w:tc>
          <w:tcPr>
            <w:tcW w:w="648" w:type="pct"/>
            <w:vMerge/>
            <w:tcBorders>
              <w:bottom w:val="single" w:sz="4" w:space="0" w:color="auto"/>
            </w:tcBorders>
            <w:vAlign w:val="center"/>
          </w:tcPr>
          <w:p w:rsidR="00000000" w:rsidRDefault="00457650">
            <w:pPr>
              <w:keepNext/>
              <w:keepLines/>
              <w:widowControl/>
              <w:tabs>
                <w:tab w:val="left" w:pos="630"/>
              </w:tabs>
              <w:spacing w:before="40" w:after="40" w:line="320" w:lineRule="exact"/>
              <w:rPr>
                <w:rFonts w:eastAsia="KaiTi_GB2312"/>
                <w:iCs/>
                <w:sz w:val="18"/>
              </w:rPr>
            </w:pPr>
          </w:p>
        </w:tc>
        <w:tc>
          <w:tcPr>
            <w:tcW w:w="649" w:type="pct"/>
            <w:vMerge/>
            <w:tcBorders>
              <w:bottom w:val="single" w:sz="4" w:space="0" w:color="auto"/>
            </w:tcBorders>
            <w:vAlign w:val="center"/>
          </w:tcPr>
          <w:p w:rsidR="00000000" w:rsidRDefault="00457650">
            <w:pPr>
              <w:keepNext/>
              <w:keepLines/>
              <w:widowControl/>
              <w:tabs>
                <w:tab w:val="left" w:pos="630"/>
              </w:tabs>
              <w:spacing w:before="40" w:after="40" w:line="320" w:lineRule="exact"/>
              <w:rPr>
                <w:rFonts w:eastAsia="KaiTi_GB2312"/>
                <w:iCs/>
                <w:sz w:val="18"/>
              </w:rPr>
            </w:pPr>
          </w:p>
        </w:tc>
        <w:tc>
          <w:tcPr>
            <w:tcW w:w="493" w:type="pct"/>
            <w:tcBorders>
              <w:bottom w:val="single" w:sz="4" w:space="0" w:color="auto"/>
            </w:tcBorders>
          </w:tcPr>
          <w:p w:rsidR="00000000" w:rsidRDefault="00457650">
            <w:pPr>
              <w:pStyle w:val="Header"/>
              <w:keepNext/>
              <w:keepLines/>
              <w:widowControl/>
              <w:pBdr>
                <w:bottom w:val="none" w:sz="0" w:space="0" w:color="auto"/>
              </w:pBdr>
              <w:tabs>
                <w:tab w:val="clear" w:pos="4320"/>
                <w:tab w:val="clear" w:pos="8640"/>
                <w:tab w:val="left" w:pos="630"/>
              </w:tabs>
              <w:spacing w:before="40" w:after="40" w:line="320" w:lineRule="exact"/>
              <w:rPr>
                <w:rFonts w:eastAsia="KaiTi_GB2312" w:hint="eastAsia"/>
                <w:iCs/>
              </w:rPr>
            </w:pPr>
            <w:r>
              <w:rPr>
                <w:rFonts w:eastAsia="KaiTi_GB2312" w:hint="eastAsia"/>
                <w:iCs/>
              </w:rPr>
              <w:t>听力</w:t>
            </w:r>
          </w:p>
        </w:tc>
        <w:tc>
          <w:tcPr>
            <w:tcW w:w="493" w:type="pct"/>
            <w:tcBorders>
              <w:bottom w:val="single" w:sz="4" w:space="0" w:color="auto"/>
            </w:tcBorders>
          </w:tcPr>
          <w:p w:rsidR="00000000" w:rsidRDefault="00457650">
            <w:pPr>
              <w:keepNext/>
              <w:keepLines/>
              <w:widowControl/>
              <w:tabs>
                <w:tab w:val="left" w:pos="630"/>
              </w:tabs>
              <w:spacing w:before="40" w:after="40" w:line="320" w:lineRule="exact"/>
              <w:jc w:val="center"/>
              <w:rPr>
                <w:rFonts w:eastAsia="KaiTi_GB2312" w:hint="eastAsia"/>
                <w:iCs/>
                <w:sz w:val="18"/>
              </w:rPr>
            </w:pPr>
            <w:r>
              <w:rPr>
                <w:rFonts w:eastAsia="KaiTi_GB2312" w:hint="eastAsia"/>
                <w:iCs/>
                <w:sz w:val="18"/>
              </w:rPr>
              <w:t>视力</w:t>
            </w:r>
          </w:p>
        </w:tc>
        <w:tc>
          <w:tcPr>
            <w:tcW w:w="493" w:type="pct"/>
            <w:tcBorders>
              <w:bottom w:val="single" w:sz="4" w:space="0" w:color="auto"/>
            </w:tcBorders>
          </w:tcPr>
          <w:p w:rsidR="00000000" w:rsidRDefault="00457650">
            <w:pPr>
              <w:keepNext/>
              <w:keepLines/>
              <w:widowControl/>
              <w:tabs>
                <w:tab w:val="left" w:pos="630"/>
              </w:tabs>
              <w:spacing w:before="40" w:after="40" w:line="320" w:lineRule="exact"/>
              <w:jc w:val="center"/>
              <w:rPr>
                <w:rFonts w:eastAsia="KaiTi_GB2312" w:hint="eastAsia"/>
                <w:iCs/>
                <w:sz w:val="18"/>
              </w:rPr>
            </w:pPr>
            <w:r>
              <w:rPr>
                <w:rFonts w:eastAsia="KaiTi_GB2312" w:hint="eastAsia"/>
                <w:iCs/>
                <w:sz w:val="18"/>
              </w:rPr>
              <w:t>运动神经</w:t>
            </w:r>
          </w:p>
        </w:tc>
        <w:tc>
          <w:tcPr>
            <w:tcW w:w="493" w:type="pct"/>
            <w:tcBorders>
              <w:bottom w:val="single" w:sz="4" w:space="0" w:color="auto"/>
            </w:tcBorders>
          </w:tcPr>
          <w:p w:rsidR="00000000" w:rsidRDefault="00457650">
            <w:pPr>
              <w:keepNext/>
              <w:keepLines/>
              <w:widowControl/>
              <w:tabs>
                <w:tab w:val="left" w:pos="630"/>
              </w:tabs>
              <w:spacing w:before="40" w:after="40" w:line="320" w:lineRule="exact"/>
              <w:jc w:val="center"/>
              <w:rPr>
                <w:rFonts w:eastAsia="KaiTi_GB2312" w:hint="eastAsia"/>
                <w:iCs/>
                <w:sz w:val="18"/>
              </w:rPr>
            </w:pPr>
            <w:r>
              <w:rPr>
                <w:rFonts w:eastAsia="KaiTi_GB2312" w:hint="eastAsia"/>
                <w:iCs/>
                <w:sz w:val="18"/>
              </w:rPr>
              <w:t>智力</w:t>
            </w:r>
          </w:p>
        </w:tc>
        <w:tc>
          <w:tcPr>
            <w:tcW w:w="495" w:type="pct"/>
            <w:tcBorders>
              <w:bottom w:val="single" w:sz="4" w:space="0" w:color="auto"/>
            </w:tcBorders>
            <w:vAlign w:val="center"/>
          </w:tcPr>
          <w:p w:rsidR="00000000" w:rsidRDefault="00457650">
            <w:pPr>
              <w:keepNext/>
              <w:keepLines/>
              <w:widowControl/>
              <w:tabs>
                <w:tab w:val="left" w:pos="630"/>
              </w:tabs>
              <w:spacing w:before="40" w:after="40" w:line="320" w:lineRule="exact"/>
              <w:jc w:val="center"/>
              <w:rPr>
                <w:rFonts w:eastAsia="KaiTi_GB2312"/>
                <w:iCs/>
                <w:sz w:val="18"/>
              </w:rPr>
            </w:pPr>
            <w:r>
              <w:rPr>
                <w:rFonts w:eastAsia="KaiTi_GB2312" w:hint="eastAsia"/>
                <w:iCs/>
                <w:sz w:val="18"/>
              </w:rPr>
              <w:t>孤独症</w:t>
            </w:r>
          </w:p>
        </w:tc>
      </w:tr>
      <w:tr w:rsidR="00000000">
        <w:tblPrEx>
          <w:tblCellMar>
            <w:top w:w="0" w:type="dxa"/>
            <w:bottom w:w="0" w:type="dxa"/>
          </w:tblCellMar>
        </w:tblPrEx>
        <w:tc>
          <w:tcPr>
            <w:tcW w:w="587" w:type="pct"/>
            <w:tcBorders>
              <w:top w:val="single" w:sz="4" w:space="0" w:color="auto"/>
            </w:tcBorders>
          </w:tcPr>
          <w:p w:rsidR="00000000" w:rsidRDefault="00457650">
            <w:pPr>
              <w:keepNext/>
              <w:keepLines/>
              <w:widowControl/>
              <w:tabs>
                <w:tab w:val="left" w:pos="630"/>
              </w:tabs>
              <w:spacing w:before="40" w:after="40" w:line="320" w:lineRule="exact"/>
              <w:rPr>
                <w:rFonts w:hint="eastAsia"/>
                <w:iCs/>
                <w:sz w:val="18"/>
              </w:rPr>
            </w:pPr>
            <w:r>
              <w:rPr>
                <w:rFonts w:hint="eastAsia"/>
                <w:iCs/>
                <w:sz w:val="18"/>
              </w:rPr>
              <w:t>USAER</w:t>
            </w:r>
          </w:p>
        </w:tc>
        <w:tc>
          <w:tcPr>
            <w:tcW w:w="648" w:type="pct"/>
            <w:tcBorders>
              <w:top w:val="single" w:sz="4" w:space="0" w:color="auto"/>
            </w:tcBorders>
          </w:tcPr>
          <w:p w:rsidR="00000000" w:rsidRDefault="00457650" w:rsidP="00457650">
            <w:pPr>
              <w:keepNext/>
              <w:keepLines/>
              <w:widowControl/>
              <w:tabs>
                <w:tab w:val="left" w:pos="630"/>
              </w:tabs>
              <w:spacing w:before="40" w:after="40" w:line="320" w:lineRule="exact"/>
              <w:ind w:rightChars="128" w:right="31680"/>
              <w:jc w:val="right"/>
              <w:rPr>
                <w:iCs/>
                <w:sz w:val="18"/>
              </w:rPr>
            </w:pPr>
            <w:r>
              <w:rPr>
                <w:iCs/>
                <w:sz w:val="18"/>
              </w:rPr>
              <w:t>319 843</w:t>
            </w:r>
          </w:p>
        </w:tc>
        <w:tc>
          <w:tcPr>
            <w:tcW w:w="648" w:type="pct"/>
            <w:tcBorders>
              <w:top w:val="single" w:sz="4" w:space="0" w:color="auto"/>
            </w:tcBorders>
          </w:tcPr>
          <w:p w:rsidR="00000000" w:rsidRDefault="00457650" w:rsidP="00457650">
            <w:pPr>
              <w:keepNext/>
              <w:keepLines/>
              <w:widowControl/>
              <w:tabs>
                <w:tab w:val="left" w:pos="630"/>
              </w:tabs>
              <w:spacing w:before="40" w:after="40" w:line="320" w:lineRule="exact"/>
              <w:ind w:rightChars="128" w:right="31680"/>
              <w:jc w:val="right"/>
              <w:rPr>
                <w:iCs/>
                <w:sz w:val="18"/>
              </w:rPr>
            </w:pPr>
            <w:r>
              <w:rPr>
                <w:iCs/>
                <w:sz w:val="18"/>
              </w:rPr>
              <w:t>287 859</w:t>
            </w:r>
          </w:p>
        </w:tc>
        <w:tc>
          <w:tcPr>
            <w:tcW w:w="649" w:type="pct"/>
            <w:tcBorders>
              <w:top w:val="single" w:sz="4" w:space="0" w:color="auto"/>
            </w:tcBorders>
          </w:tcPr>
          <w:p w:rsidR="00000000" w:rsidRDefault="00457650" w:rsidP="00457650">
            <w:pPr>
              <w:keepNext/>
              <w:keepLines/>
              <w:widowControl/>
              <w:tabs>
                <w:tab w:val="left" w:pos="630"/>
              </w:tabs>
              <w:spacing w:before="40" w:after="40" w:line="320" w:lineRule="exact"/>
              <w:ind w:rightChars="128" w:right="31680"/>
              <w:jc w:val="right"/>
              <w:rPr>
                <w:iCs/>
                <w:sz w:val="18"/>
              </w:rPr>
            </w:pPr>
            <w:r>
              <w:rPr>
                <w:iCs/>
                <w:sz w:val="18"/>
              </w:rPr>
              <w:t>31 984</w:t>
            </w:r>
          </w:p>
        </w:tc>
        <w:tc>
          <w:tcPr>
            <w:tcW w:w="493" w:type="pct"/>
            <w:tcBorders>
              <w:top w:val="single" w:sz="4" w:space="0" w:color="auto"/>
            </w:tcBorders>
          </w:tcPr>
          <w:p w:rsidR="00000000" w:rsidRDefault="00457650">
            <w:pPr>
              <w:pStyle w:val="Header"/>
              <w:keepNext/>
              <w:keepLines/>
              <w:widowControl/>
              <w:pBdr>
                <w:bottom w:val="none" w:sz="0" w:space="0" w:color="auto"/>
              </w:pBdr>
              <w:tabs>
                <w:tab w:val="clear" w:pos="4320"/>
                <w:tab w:val="clear" w:pos="8640"/>
                <w:tab w:val="left" w:pos="630"/>
              </w:tabs>
              <w:spacing w:before="40" w:after="40" w:line="320" w:lineRule="exact"/>
              <w:rPr>
                <w:iCs/>
              </w:rPr>
            </w:pPr>
            <w:r>
              <w:rPr>
                <w:iCs/>
              </w:rPr>
              <w:t>14%</w:t>
            </w:r>
          </w:p>
        </w:tc>
        <w:tc>
          <w:tcPr>
            <w:tcW w:w="493" w:type="pct"/>
            <w:tcBorders>
              <w:top w:val="single" w:sz="4" w:space="0" w:color="auto"/>
            </w:tcBorders>
          </w:tcPr>
          <w:p w:rsidR="00000000" w:rsidRDefault="00457650">
            <w:pPr>
              <w:keepNext/>
              <w:keepLines/>
              <w:widowControl/>
              <w:tabs>
                <w:tab w:val="left" w:pos="630"/>
              </w:tabs>
              <w:spacing w:before="40" w:after="40" w:line="320" w:lineRule="exact"/>
              <w:jc w:val="center"/>
              <w:rPr>
                <w:iCs/>
                <w:sz w:val="18"/>
              </w:rPr>
            </w:pPr>
            <w:r>
              <w:rPr>
                <w:iCs/>
                <w:sz w:val="18"/>
              </w:rPr>
              <w:t>7%</w:t>
            </w:r>
          </w:p>
        </w:tc>
        <w:tc>
          <w:tcPr>
            <w:tcW w:w="493" w:type="pct"/>
            <w:tcBorders>
              <w:top w:val="single" w:sz="4" w:space="0" w:color="auto"/>
            </w:tcBorders>
          </w:tcPr>
          <w:p w:rsidR="00000000" w:rsidRDefault="00457650">
            <w:pPr>
              <w:keepNext/>
              <w:keepLines/>
              <w:widowControl/>
              <w:tabs>
                <w:tab w:val="left" w:pos="630"/>
              </w:tabs>
              <w:spacing w:before="40" w:after="40" w:line="320" w:lineRule="exact"/>
              <w:jc w:val="center"/>
              <w:rPr>
                <w:iCs/>
                <w:sz w:val="18"/>
              </w:rPr>
            </w:pPr>
            <w:r>
              <w:rPr>
                <w:iCs/>
                <w:sz w:val="18"/>
              </w:rPr>
              <w:t>11%</w:t>
            </w:r>
          </w:p>
        </w:tc>
        <w:tc>
          <w:tcPr>
            <w:tcW w:w="493" w:type="pct"/>
            <w:tcBorders>
              <w:top w:val="single" w:sz="4" w:space="0" w:color="auto"/>
            </w:tcBorders>
          </w:tcPr>
          <w:p w:rsidR="00000000" w:rsidRDefault="00457650">
            <w:pPr>
              <w:keepNext/>
              <w:keepLines/>
              <w:widowControl/>
              <w:tabs>
                <w:tab w:val="left" w:pos="630"/>
              </w:tabs>
              <w:spacing w:before="40" w:after="40" w:line="320" w:lineRule="exact"/>
              <w:jc w:val="center"/>
              <w:rPr>
                <w:iCs/>
                <w:sz w:val="18"/>
              </w:rPr>
            </w:pPr>
            <w:r>
              <w:rPr>
                <w:iCs/>
                <w:sz w:val="18"/>
              </w:rPr>
              <w:t>51%</w:t>
            </w:r>
          </w:p>
        </w:tc>
        <w:tc>
          <w:tcPr>
            <w:tcW w:w="495" w:type="pct"/>
            <w:tcBorders>
              <w:top w:val="single" w:sz="4" w:space="0" w:color="auto"/>
            </w:tcBorders>
          </w:tcPr>
          <w:p w:rsidR="00000000" w:rsidRDefault="00457650">
            <w:pPr>
              <w:keepNext/>
              <w:keepLines/>
              <w:widowControl/>
              <w:tabs>
                <w:tab w:val="left" w:pos="630"/>
              </w:tabs>
              <w:spacing w:before="40" w:after="40" w:line="320" w:lineRule="exact"/>
              <w:jc w:val="center"/>
              <w:rPr>
                <w:iCs/>
                <w:sz w:val="18"/>
              </w:rPr>
            </w:pPr>
            <w:r>
              <w:rPr>
                <w:iCs/>
                <w:sz w:val="18"/>
              </w:rPr>
              <w:t>17%</w:t>
            </w:r>
          </w:p>
        </w:tc>
      </w:tr>
      <w:tr w:rsidR="00000000">
        <w:tblPrEx>
          <w:tblCellMar>
            <w:top w:w="0" w:type="dxa"/>
            <w:bottom w:w="0" w:type="dxa"/>
          </w:tblCellMar>
        </w:tblPrEx>
        <w:tc>
          <w:tcPr>
            <w:tcW w:w="587" w:type="pct"/>
          </w:tcPr>
          <w:p w:rsidR="00000000" w:rsidRDefault="00457650">
            <w:pPr>
              <w:widowControl/>
              <w:tabs>
                <w:tab w:val="left" w:pos="630"/>
              </w:tabs>
              <w:spacing w:before="40" w:after="40" w:line="320" w:lineRule="exact"/>
              <w:rPr>
                <w:rFonts w:hint="eastAsia"/>
                <w:iCs/>
                <w:sz w:val="18"/>
              </w:rPr>
            </w:pPr>
            <w:r>
              <w:rPr>
                <w:rFonts w:hint="eastAsia"/>
                <w:iCs/>
                <w:sz w:val="18"/>
              </w:rPr>
              <w:t>CAM</w:t>
            </w:r>
          </w:p>
        </w:tc>
        <w:tc>
          <w:tcPr>
            <w:tcW w:w="648" w:type="pct"/>
          </w:tcPr>
          <w:p w:rsidR="00000000" w:rsidRDefault="00457650" w:rsidP="00457650">
            <w:pPr>
              <w:widowControl/>
              <w:tabs>
                <w:tab w:val="left" w:pos="630"/>
              </w:tabs>
              <w:spacing w:before="40" w:after="40" w:line="320" w:lineRule="exact"/>
              <w:ind w:rightChars="128" w:right="31680"/>
              <w:jc w:val="right"/>
              <w:rPr>
                <w:iCs/>
                <w:sz w:val="18"/>
              </w:rPr>
            </w:pPr>
            <w:r>
              <w:rPr>
                <w:iCs/>
                <w:sz w:val="18"/>
              </w:rPr>
              <w:t>101 776</w:t>
            </w:r>
          </w:p>
        </w:tc>
        <w:tc>
          <w:tcPr>
            <w:tcW w:w="648" w:type="pct"/>
          </w:tcPr>
          <w:p w:rsidR="00000000" w:rsidRDefault="00457650" w:rsidP="00457650">
            <w:pPr>
              <w:widowControl/>
              <w:tabs>
                <w:tab w:val="left" w:pos="630"/>
              </w:tabs>
              <w:spacing w:before="40" w:after="40" w:line="320" w:lineRule="exact"/>
              <w:ind w:rightChars="128" w:right="31680"/>
              <w:jc w:val="right"/>
              <w:rPr>
                <w:iCs/>
                <w:sz w:val="18"/>
              </w:rPr>
            </w:pPr>
            <w:r>
              <w:rPr>
                <w:iCs/>
                <w:sz w:val="18"/>
              </w:rPr>
              <w:t>30 523</w:t>
            </w:r>
          </w:p>
        </w:tc>
        <w:tc>
          <w:tcPr>
            <w:tcW w:w="649" w:type="pct"/>
          </w:tcPr>
          <w:p w:rsidR="00000000" w:rsidRDefault="00457650" w:rsidP="00457650">
            <w:pPr>
              <w:widowControl/>
              <w:tabs>
                <w:tab w:val="left" w:pos="630"/>
              </w:tabs>
              <w:spacing w:before="40" w:after="40" w:line="320" w:lineRule="exact"/>
              <w:ind w:rightChars="128" w:right="31680"/>
              <w:jc w:val="right"/>
              <w:rPr>
                <w:iCs/>
                <w:sz w:val="18"/>
              </w:rPr>
            </w:pPr>
            <w:r>
              <w:rPr>
                <w:iCs/>
                <w:sz w:val="18"/>
              </w:rPr>
              <w:t>71 253</w:t>
            </w:r>
          </w:p>
        </w:tc>
        <w:tc>
          <w:tcPr>
            <w:tcW w:w="493" w:type="pct"/>
          </w:tcPr>
          <w:p w:rsidR="00000000" w:rsidRDefault="00457650">
            <w:pPr>
              <w:widowControl/>
              <w:tabs>
                <w:tab w:val="left" w:pos="630"/>
              </w:tabs>
              <w:spacing w:before="40" w:after="40" w:line="320" w:lineRule="exact"/>
              <w:jc w:val="center"/>
              <w:rPr>
                <w:iCs/>
                <w:sz w:val="18"/>
              </w:rPr>
            </w:pPr>
            <w:r>
              <w:rPr>
                <w:iCs/>
                <w:sz w:val="18"/>
              </w:rPr>
              <w:t>13%</w:t>
            </w:r>
          </w:p>
        </w:tc>
        <w:tc>
          <w:tcPr>
            <w:tcW w:w="493" w:type="pct"/>
          </w:tcPr>
          <w:p w:rsidR="00000000" w:rsidRDefault="00457650">
            <w:pPr>
              <w:widowControl/>
              <w:tabs>
                <w:tab w:val="left" w:pos="630"/>
              </w:tabs>
              <w:spacing w:before="40" w:after="40" w:line="320" w:lineRule="exact"/>
              <w:jc w:val="center"/>
              <w:rPr>
                <w:iCs/>
                <w:sz w:val="18"/>
              </w:rPr>
            </w:pPr>
            <w:r>
              <w:rPr>
                <w:iCs/>
                <w:sz w:val="18"/>
              </w:rPr>
              <w:t>2.7%</w:t>
            </w:r>
          </w:p>
        </w:tc>
        <w:tc>
          <w:tcPr>
            <w:tcW w:w="493" w:type="pct"/>
          </w:tcPr>
          <w:p w:rsidR="00000000" w:rsidRDefault="00457650">
            <w:pPr>
              <w:widowControl/>
              <w:tabs>
                <w:tab w:val="left" w:pos="630"/>
              </w:tabs>
              <w:spacing w:before="40" w:after="40" w:line="320" w:lineRule="exact"/>
              <w:jc w:val="center"/>
              <w:rPr>
                <w:iCs/>
                <w:sz w:val="18"/>
              </w:rPr>
            </w:pPr>
            <w:r>
              <w:rPr>
                <w:iCs/>
                <w:sz w:val="18"/>
              </w:rPr>
              <w:t>15%</w:t>
            </w:r>
          </w:p>
        </w:tc>
        <w:tc>
          <w:tcPr>
            <w:tcW w:w="493" w:type="pct"/>
          </w:tcPr>
          <w:p w:rsidR="00000000" w:rsidRDefault="00457650">
            <w:pPr>
              <w:widowControl/>
              <w:tabs>
                <w:tab w:val="left" w:pos="630"/>
              </w:tabs>
              <w:spacing w:before="40" w:after="40" w:line="320" w:lineRule="exact"/>
              <w:jc w:val="center"/>
              <w:rPr>
                <w:iCs/>
                <w:sz w:val="18"/>
              </w:rPr>
            </w:pPr>
            <w:r>
              <w:rPr>
                <w:iCs/>
                <w:sz w:val="18"/>
              </w:rPr>
              <w:t>69%</w:t>
            </w:r>
          </w:p>
        </w:tc>
        <w:tc>
          <w:tcPr>
            <w:tcW w:w="495" w:type="pct"/>
          </w:tcPr>
          <w:p w:rsidR="00000000" w:rsidRDefault="00457650">
            <w:pPr>
              <w:pStyle w:val="Header"/>
              <w:widowControl/>
              <w:pBdr>
                <w:bottom w:val="none" w:sz="0" w:space="0" w:color="auto"/>
              </w:pBdr>
              <w:tabs>
                <w:tab w:val="clear" w:pos="4320"/>
                <w:tab w:val="clear" w:pos="8640"/>
                <w:tab w:val="left" w:pos="630"/>
              </w:tabs>
              <w:spacing w:before="40" w:after="40" w:line="320" w:lineRule="exact"/>
              <w:rPr>
                <w:iCs/>
              </w:rPr>
            </w:pPr>
            <w:r>
              <w:rPr>
                <w:iCs/>
              </w:rPr>
              <w:t>0.4%</w:t>
            </w:r>
          </w:p>
        </w:tc>
      </w:tr>
      <w:tr w:rsidR="00000000">
        <w:tblPrEx>
          <w:tblCellMar>
            <w:top w:w="0" w:type="dxa"/>
            <w:bottom w:w="0" w:type="dxa"/>
          </w:tblCellMar>
        </w:tblPrEx>
        <w:tc>
          <w:tcPr>
            <w:tcW w:w="587" w:type="pct"/>
          </w:tcPr>
          <w:p w:rsidR="00000000" w:rsidRDefault="00457650">
            <w:pPr>
              <w:widowControl/>
              <w:tabs>
                <w:tab w:val="left" w:pos="630"/>
              </w:tabs>
              <w:spacing w:before="40" w:after="40" w:line="320" w:lineRule="exact"/>
              <w:rPr>
                <w:rFonts w:hint="eastAsia"/>
                <w:iCs/>
                <w:sz w:val="18"/>
              </w:rPr>
            </w:pPr>
            <w:r>
              <w:rPr>
                <w:rFonts w:hint="eastAsia"/>
                <w:iCs/>
                <w:sz w:val="18"/>
              </w:rPr>
              <w:t>CAPEP</w:t>
            </w:r>
          </w:p>
        </w:tc>
        <w:tc>
          <w:tcPr>
            <w:tcW w:w="648" w:type="pct"/>
          </w:tcPr>
          <w:p w:rsidR="00000000" w:rsidRDefault="00457650" w:rsidP="00457650">
            <w:pPr>
              <w:widowControl/>
              <w:tabs>
                <w:tab w:val="left" w:pos="630"/>
              </w:tabs>
              <w:spacing w:before="40" w:after="40" w:line="320" w:lineRule="exact"/>
              <w:ind w:rightChars="128" w:right="31680"/>
              <w:jc w:val="right"/>
              <w:rPr>
                <w:iCs/>
                <w:sz w:val="18"/>
              </w:rPr>
            </w:pPr>
            <w:r>
              <w:rPr>
                <w:iCs/>
                <w:sz w:val="18"/>
              </w:rPr>
              <w:t>99 500</w:t>
            </w:r>
          </w:p>
        </w:tc>
        <w:tc>
          <w:tcPr>
            <w:tcW w:w="648" w:type="pct"/>
          </w:tcPr>
          <w:p w:rsidR="00000000" w:rsidRDefault="00457650" w:rsidP="00457650">
            <w:pPr>
              <w:widowControl/>
              <w:tabs>
                <w:tab w:val="left" w:pos="630"/>
              </w:tabs>
              <w:spacing w:before="40" w:after="40" w:line="320" w:lineRule="exact"/>
              <w:ind w:rightChars="128" w:right="31680"/>
              <w:jc w:val="right"/>
              <w:rPr>
                <w:iCs/>
                <w:sz w:val="18"/>
              </w:rPr>
            </w:pPr>
            <w:r>
              <w:rPr>
                <w:iCs/>
                <w:sz w:val="18"/>
              </w:rPr>
              <w:t>92 535</w:t>
            </w:r>
          </w:p>
        </w:tc>
        <w:tc>
          <w:tcPr>
            <w:tcW w:w="649" w:type="pct"/>
          </w:tcPr>
          <w:p w:rsidR="00000000" w:rsidRDefault="00457650" w:rsidP="00457650">
            <w:pPr>
              <w:widowControl/>
              <w:tabs>
                <w:tab w:val="left" w:pos="630"/>
              </w:tabs>
              <w:spacing w:before="40" w:after="40" w:line="320" w:lineRule="exact"/>
              <w:ind w:rightChars="128" w:right="31680"/>
              <w:jc w:val="right"/>
              <w:rPr>
                <w:iCs/>
                <w:sz w:val="18"/>
              </w:rPr>
            </w:pPr>
            <w:r>
              <w:rPr>
                <w:iCs/>
                <w:sz w:val="18"/>
              </w:rPr>
              <w:t>6 965</w:t>
            </w:r>
          </w:p>
        </w:tc>
        <w:tc>
          <w:tcPr>
            <w:tcW w:w="493" w:type="pct"/>
          </w:tcPr>
          <w:p w:rsidR="00000000" w:rsidRDefault="00457650">
            <w:pPr>
              <w:widowControl/>
              <w:tabs>
                <w:tab w:val="left" w:pos="630"/>
              </w:tabs>
              <w:spacing w:before="40" w:after="40" w:line="320" w:lineRule="exact"/>
              <w:jc w:val="center"/>
              <w:rPr>
                <w:iCs/>
                <w:sz w:val="18"/>
              </w:rPr>
            </w:pPr>
            <w:r>
              <w:rPr>
                <w:iCs/>
                <w:sz w:val="18"/>
              </w:rPr>
              <w:t>16%</w:t>
            </w:r>
          </w:p>
        </w:tc>
        <w:tc>
          <w:tcPr>
            <w:tcW w:w="493" w:type="pct"/>
          </w:tcPr>
          <w:p w:rsidR="00000000" w:rsidRDefault="00457650">
            <w:pPr>
              <w:widowControl/>
              <w:tabs>
                <w:tab w:val="left" w:pos="630"/>
              </w:tabs>
              <w:spacing w:before="40" w:after="40" w:line="320" w:lineRule="exact"/>
              <w:jc w:val="center"/>
              <w:rPr>
                <w:iCs/>
                <w:sz w:val="18"/>
              </w:rPr>
            </w:pPr>
            <w:r>
              <w:rPr>
                <w:iCs/>
                <w:sz w:val="18"/>
              </w:rPr>
              <w:t>6%</w:t>
            </w:r>
          </w:p>
        </w:tc>
        <w:tc>
          <w:tcPr>
            <w:tcW w:w="493" w:type="pct"/>
          </w:tcPr>
          <w:p w:rsidR="00000000" w:rsidRDefault="00457650">
            <w:pPr>
              <w:widowControl/>
              <w:tabs>
                <w:tab w:val="left" w:pos="630"/>
              </w:tabs>
              <w:spacing w:before="40" w:after="40" w:line="320" w:lineRule="exact"/>
              <w:jc w:val="center"/>
              <w:rPr>
                <w:iCs/>
                <w:sz w:val="18"/>
              </w:rPr>
            </w:pPr>
            <w:r>
              <w:rPr>
                <w:iCs/>
                <w:sz w:val="18"/>
              </w:rPr>
              <w:t>31%</w:t>
            </w:r>
          </w:p>
        </w:tc>
        <w:tc>
          <w:tcPr>
            <w:tcW w:w="493" w:type="pct"/>
          </w:tcPr>
          <w:p w:rsidR="00000000" w:rsidRDefault="00457650">
            <w:pPr>
              <w:widowControl/>
              <w:tabs>
                <w:tab w:val="left" w:pos="630"/>
              </w:tabs>
              <w:spacing w:before="40" w:after="40" w:line="320" w:lineRule="exact"/>
              <w:jc w:val="center"/>
              <w:rPr>
                <w:iCs/>
                <w:sz w:val="18"/>
              </w:rPr>
            </w:pPr>
            <w:r>
              <w:rPr>
                <w:iCs/>
                <w:sz w:val="18"/>
              </w:rPr>
              <w:t>47%</w:t>
            </w:r>
          </w:p>
        </w:tc>
        <w:tc>
          <w:tcPr>
            <w:tcW w:w="495" w:type="pct"/>
          </w:tcPr>
          <w:p w:rsidR="00000000" w:rsidRDefault="00457650">
            <w:pPr>
              <w:widowControl/>
              <w:tabs>
                <w:tab w:val="left" w:pos="630"/>
              </w:tabs>
              <w:spacing w:before="40" w:after="40" w:line="320" w:lineRule="exact"/>
              <w:jc w:val="center"/>
              <w:rPr>
                <w:iCs/>
                <w:sz w:val="18"/>
              </w:rPr>
            </w:pPr>
            <w:r>
              <w:rPr>
                <w:iCs/>
                <w:sz w:val="18"/>
              </w:rPr>
              <w:t>-</w:t>
            </w:r>
          </w:p>
        </w:tc>
      </w:tr>
      <w:tr w:rsidR="00000000">
        <w:tblPrEx>
          <w:tblCellMar>
            <w:top w:w="0" w:type="dxa"/>
            <w:bottom w:w="0" w:type="dxa"/>
          </w:tblCellMar>
        </w:tblPrEx>
        <w:tc>
          <w:tcPr>
            <w:tcW w:w="587" w:type="pct"/>
          </w:tcPr>
          <w:p w:rsidR="00000000" w:rsidRDefault="00457650">
            <w:pPr>
              <w:widowControl/>
              <w:tabs>
                <w:tab w:val="left" w:pos="630"/>
              </w:tabs>
              <w:spacing w:before="40" w:after="40" w:line="320" w:lineRule="exact"/>
              <w:rPr>
                <w:rFonts w:hint="eastAsia"/>
                <w:iCs/>
                <w:sz w:val="18"/>
              </w:rPr>
            </w:pPr>
            <w:r>
              <w:rPr>
                <w:rFonts w:hint="eastAsia"/>
                <w:iCs/>
                <w:sz w:val="18"/>
              </w:rPr>
              <w:t>其他机构</w:t>
            </w:r>
          </w:p>
        </w:tc>
        <w:tc>
          <w:tcPr>
            <w:tcW w:w="648" w:type="pct"/>
          </w:tcPr>
          <w:p w:rsidR="00000000" w:rsidRDefault="00457650" w:rsidP="00457650">
            <w:pPr>
              <w:pStyle w:val="Header"/>
              <w:widowControl/>
              <w:pBdr>
                <w:bottom w:val="none" w:sz="0" w:space="0" w:color="auto"/>
              </w:pBdr>
              <w:tabs>
                <w:tab w:val="clear" w:pos="4320"/>
                <w:tab w:val="clear" w:pos="8640"/>
                <w:tab w:val="left" w:pos="630"/>
              </w:tabs>
              <w:spacing w:before="40" w:after="40" w:line="320" w:lineRule="exact"/>
              <w:ind w:rightChars="128" w:right="31680"/>
              <w:jc w:val="right"/>
              <w:rPr>
                <w:iCs/>
              </w:rPr>
            </w:pPr>
            <w:r>
              <w:rPr>
                <w:iCs/>
              </w:rPr>
              <w:t>4 113</w:t>
            </w:r>
          </w:p>
        </w:tc>
        <w:tc>
          <w:tcPr>
            <w:tcW w:w="648" w:type="pct"/>
          </w:tcPr>
          <w:p w:rsidR="00000000" w:rsidRDefault="00457650" w:rsidP="00457650">
            <w:pPr>
              <w:widowControl/>
              <w:tabs>
                <w:tab w:val="left" w:pos="630"/>
              </w:tabs>
              <w:spacing w:before="40" w:after="40" w:line="320" w:lineRule="exact"/>
              <w:ind w:rightChars="128" w:right="31680"/>
              <w:jc w:val="right"/>
              <w:rPr>
                <w:iCs/>
                <w:sz w:val="18"/>
              </w:rPr>
            </w:pPr>
            <w:r>
              <w:rPr>
                <w:iCs/>
                <w:sz w:val="18"/>
              </w:rPr>
              <w:t>2 585</w:t>
            </w:r>
          </w:p>
        </w:tc>
        <w:tc>
          <w:tcPr>
            <w:tcW w:w="649" w:type="pct"/>
          </w:tcPr>
          <w:p w:rsidR="00000000" w:rsidRDefault="00457650" w:rsidP="00457650">
            <w:pPr>
              <w:widowControl/>
              <w:tabs>
                <w:tab w:val="left" w:pos="630"/>
              </w:tabs>
              <w:spacing w:before="40" w:after="40" w:line="320" w:lineRule="exact"/>
              <w:ind w:rightChars="128" w:right="31680"/>
              <w:jc w:val="right"/>
              <w:rPr>
                <w:iCs/>
                <w:sz w:val="18"/>
              </w:rPr>
            </w:pPr>
            <w:r>
              <w:rPr>
                <w:iCs/>
                <w:sz w:val="18"/>
              </w:rPr>
              <w:t>1 528</w:t>
            </w:r>
          </w:p>
        </w:tc>
        <w:tc>
          <w:tcPr>
            <w:tcW w:w="493" w:type="pct"/>
          </w:tcPr>
          <w:p w:rsidR="00000000" w:rsidRDefault="00457650">
            <w:pPr>
              <w:widowControl/>
              <w:tabs>
                <w:tab w:val="left" w:pos="630"/>
              </w:tabs>
              <w:spacing w:before="40" w:after="40" w:line="320" w:lineRule="exact"/>
              <w:jc w:val="center"/>
              <w:rPr>
                <w:iCs/>
                <w:sz w:val="18"/>
              </w:rPr>
            </w:pPr>
            <w:r>
              <w:rPr>
                <w:iCs/>
                <w:sz w:val="18"/>
              </w:rPr>
              <w:t>-</w:t>
            </w:r>
          </w:p>
        </w:tc>
        <w:tc>
          <w:tcPr>
            <w:tcW w:w="493" w:type="pct"/>
          </w:tcPr>
          <w:p w:rsidR="00000000" w:rsidRDefault="00457650">
            <w:pPr>
              <w:widowControl/>
              <w:tabs>
                <w:tab w:val="left" w:pos="630"/>
              </w:tabs>
              <w:spacing w:before="40" w:after="40" w:line="320" w:lineRule="exact"/>
              <w:jc w:val="center"/>
              <w:rPr>
                <w:iCs/>
                <w:sz w:val="18"/>
              </w:rPr>
            </w:pPr>
            <w:r>
              <w:rPr>
                <w:iCs/>
                <w:sz w:val="18"/>
              </w:rPr>
              <w:t>-</w:t>
            </w:r>
          </w:p>
        </w:tc>
        <w:tc>
          <w:tcPr>
            <w:tcW w:w="493" w:type="pct"/>
          </w:tcPr>
          <w:p w:rsidR="00000000" w:rsidRDefault="00457650">
            <w:pPr>
              <w:widowControl/>
              <w:tabs>
                <w:tab w:val="left" w:pos="630"/>
              </w:tabs>
              <w:spacing w:before="40" w:after="40" w:line="320" w:lineRule="exact"/>
              <w:jc w:val="center"/>
              <w:rPr>
                <w:iCs/>
                <w:sz w:val="18"/>
              </w:rPr>
            </w:pPr>
            <w:r>
              <w:rPr>
                <w:iCs/>
                <w:sz w:val="18"/>
              </w:rPr>
              <w:t>-</w:t>
            </w:r>
          </w:p>
        </w:tc>
        <w:tc>
          <w:tcPr>
            <w:tcW w:w="493" w:type="pct"/>
          </w:tcPr>
          <w:p w:rsidR="00000000" w:rsidRDefault="00457650">
            <w:pPr>
              <w:widowControl/>
              <w:tabs>
                <w:tab w:val="left" w:pos="630"/>
              </w:tabs>
              <w:spacing w:before="40" w:after="40" w:line="320" w:lineRule="exact"/>
              <w:jc w:val="center"/>
              <w:rPr>
                <w:iCs/>
                <w:sz w:val="18"/>
              </w:rPr>
            </w:pPr>
            <w:r>
              <w:rPr>
                <w:iCs/>
                <w:sz w:val="18"/>
              </w:rPr>
              <w:t>-</w:t>
            </w:r>
          </w:p>
        </w:tc>
        <w:tc>
          <w:tcPr>
            <w:tcW w:w="495" w:type="pct"/>
          </w:tcPr>
          <w:p w:rsidR="00000000" w:rsidRDefault="00457650">
            <w:pPr>
              <w:widowControl/>
              <w:tabs>
                <w:tab w:val="left" w:pos="630"/>
              </w:tabs>
              <w:spacing w:before="40" w:after="40" w:line="320" w:lineRule="exact"/>
              <w:jc w:val="center"/>
              <w:rPr>
                <w:iCs/>
                <w:sz w:val="18"/>
              </w:rPr>
            </w:pPr>
            <w:r>
              <w:rPr>
                <w:iCs/>
                <w:sz w:val="18"/>
              </w:rPr>
              <w:t>-</w:t>
            </w:r>
          </w:p>
        </w:tc>
      </w:tr>
      <w:tr w:rsidR="00000000">
        <w:tblPrEx>
          <w:tblCellMar>
            <w:top w:w="0" w:type="dxa"/>
            <w:bottom w:w="0" w:type="dxa"/>
          </w:tblCellMar>
        </w:tblPrEx>
        <w:tc>
          <w:tcPr>
            <w:tcW w:w="587" w:type="pct"/>
            <w:tcBorders>
              <w:bottom w:val="single" w:sz="4" w:space="0" w:color="auto"/>
            </w:tcBorders>
          </w:tcPr>
          <w:p w:rsidR="00000000" w:rsidRDefault="00457650">
            <w:pPr>
              <w:widowControl/>
              <w:tabs>
                <w:tab w:val="left" w:pos="630"/>
              </w:tabs>
              <w:spacing w:before="40" w:after="40" w:line="320" w:lineRule="exact"/>
              <w:rPr>
                <w:rFonts w:hint="eastAsia"/>
                <w:iCs/>
                <w:sz w:val="18"/>
              </w:rPr>
            </w:pPr>
            <w:r>
              <w:rPr>
                <w:rFonts w:hint="eastAsia"/>
                <w:iCs/>
                <w:sz w:val="18"/>
              </w:rPr>
              <w:t>共计</w:t>
            </w:r>
          </w:p>
        </w:tc>
        <w:tc>
          <w:tcPr>
            <w:tcW w:w="648" w:type="pct"/>
            <w:tcBorders>
              <w:bottom w:val="single" w:sz="4" w:space="0" w:color="auto"/>
            </w:tcBorders>
          </w:tcPr>
          <w:p w:rsidR="00000000" w:rsidRDefault="00457650" w:rsidP="00457650">
            <w:pPr>
              <w:widowControl/>
              <w:tabs>
                <w:tab w:val="left" w:pos="630"/>
              </w:tabs>
              <w:spacing w:before="40" w:after="40" w:line="320" w:lineRule="exact"/>
              <w:ind w:rightChars="128" w:right="31680"/>
              <w:jc w:val="right"/>
              <w:rPr>
                <w:iCs/>
                <w:sz w:val="18"/>
              </w:rPr>
            </w:pPr>
            <w:r>
              <w:rPr>
                <w:iCs/>
                <w:sz w:val="18"/>
              </w:rPr>
              <w:t>525 23</w:t>
            </w:r>
            <w:r>
              <w:rPr>
                <w:iCs/>
                <w:sz w:val="18"/>
              </w:rPr>
              <w:t>2</w:t>
            </w:r>
          </w:p>
        </w:tc>
        <w:tc>
          <w:tcPr>
            <w:tcW w:w="648" w:type="pct"/>
            <w:tcBorders>
              <w:bottom w:val="single" w:sz="4" w:space="0" w:color="auto"/>
            </w:tcBorders>
          </w:tcPr>
          <w:p w:rsidR="00000000" w:rsidRDefault="00457650" w:rsidP="00457650">
            <w:pPr>
              <w:widowControl/>
              <w:tabs>
                <w:tab w:val="left" w:pos="630"/>
              </w:tabs>
              <w:spacing w:before="40" w:after="40" w:line="320" w:lineRule="exact"/>
              <w:ind w:rightChars="128" w:right="31680"/>
              <w:jc w:val="right"/>
              <w:rPr>
                <w:iCs/>
                <w:sz w:val="18"/>
              </w:rPr>
            </w:pPr>
            <w:r>
              <w:rPr>
                <w:iCs/>
                <w:sz w:val="18"/>
              </w:rPr>
              <w:t>413 502</w:t>
            </w:r>
          </w:p>
        </w:tc>
        <w:tc>
          <w:tcPr>
            <w:tcW w:w="649" w:type="pct"/>
            <w:tcBorders>
              <w:bottom w:val="single" w:sz="4" w:space="0" w:color="auto"/>
            </w:tcBorders>
          </w:tcPr>
          <w:p w:rsidR="00000000" w:rsidRDefault="00457650" w:rsidP="00457650">
            <w:pPr>
              <w:widowControl/>
              <w:tabs>
                <w:tab w:val="left" w:pos="630"/>
              </w:tabs>
              <w:spacing w:before="40" w:after="40" w:line="320" w:lineRule="exact"/>
              <w:ind w:rightChars="128" w:right="31680"/>
              <w:jc w:val="right"/>
              <w:rPr>
                <w:iCs/>
                <w:sz w:val="18"/>
              </w:rPr>
            </w:pPr>
            <w:r>
              <w:rPr>
                <w:iCs/>
                <w:sz w:val="18"/>
              </w:rPr>
              <w:t>111 730</w:t>
            </w:r>
          </w:p>
        </w:tc>
        <w:tc>
          <w:tcPr>
            <w:tcW w:w="493" w:type="pct"/>
            <w:tcBorders>
              <w:bottom w:val="single" w:sz="4" w:space="0" w:color="auto"/>
            </w:tcBorders>
          </w:tcPr>
          <w:p w:rsidR="00000000" w:rsidRDefault="00457650">
            <w:pPr>
              <w:widowControl/>
              <w:tabs>
                <w:tab w:val="left" w:pos="630"/>
              </w:tabs>
              <w:spacing w:before="40" w:after="40" w:line="320" w:lineRule="exact"/>
              <w:jc w:val="center"/>
              <w:rPr>
                <w:iCs/>
                <w:sz w:val="18"/>
              </w:rPr>
            </w:pPr>
            <w:r>
              <w:rPr>
                <w:iCs/>
                <w:sz w:val="18"/>
              </w:rPr>
              <w:t>-</w:t>
            </w:r>
          </w:p>
        </w:tc>
        <w:tc>
          <w:tcPr>
            <w:tcW w:w="493" w:type="pct"/>
            <w:tcBorders>
              <w:bottom w:val="single" w:sz="4" w:space="0" w:color="auto"/>
            </w:tcBorders>
          </w:tcPr>
          <w:p w:rsidR="00000000" w:rsidRDefault="00457650">
            <w:pPr>
              <w:widowControl/>
              <w:tabs>
                <w:tab w:val="left" w:pos="630"/>
              </w:tabs>
              <w:spacing w:before="40" w:after="40" w:line="320" w:lineRule="exact"/>
              <w:jc w:val="center"/>
              <w:rPr>
                <w:iCs/>
                <w:sz w:val="18"/>
              </w:rPr>
            </w:pPr>
            <w:r>
              <w:rPr>
                <w:iCs/>
                <w:sz w:val="18"/>
              </w:rPr>
              <w:t>-</w:t>
            </w:r>
          </w:p>
        </w:tc>
        <w:tc>
          <w:tcPr>
            <w:tcW w:w="493" w:type="pct"/>
            <w:tcBorders>
              <w:bottom w:val="single" w:sz="4" w:space="0" w:color="auto"/>
            </w:tcBorders>
          </w:tcPr>
          <w:p w:rsidR="00000000" w:rsidRDefault="00457650">
            <w:pPr>
              <w:widowControl/>
              <w:tabs>
                <w:tab w:val="left" w:pos="630"/>
              </w:tabs>
              <w:spacing w:before="40" w:after="40" w:line="320" w:lineRule="exact"/>
              <w:jc w:val="center"/>
              <w:rPr>
                <w:iCs/>
                <w:sz w:val="18"/>
              </w:rPr>
            </w:pPr>
            <w:r>
              <w:rPr>
                <w:iCs/>
                <w:sz w:val="18"/>
              </w:rPr>
              <w:t>-</w:t>
            </w:r>
          </w:p>
        </w:tc>
        <w:tc>
          <w:tcPr>
            <w:tcW w:w="493" w:type="pct"/>
            <w:tcBorders>
              <w:bottom w:val="single" w:sz="4" w:space="0" w:color="auto"/>
            </w:tcBorders>
          </w:tcPr>
          <w:p w:rsidR="00000000" w:rsidRDefault="00457650">
            <w:pPr>
              <w:widowControl/>
              <w:tabs>
                <w:tab w:val="left" w:pos="630"/>
              </w:tabs>
              <w:spacing w:before="40" w:after="40" w:line="320" w:lineRule="exact"/>
              <w:jc w:val="center"/>
              <w:rPr>
                <w:iCs/>
                <w:sz w:val="18"/>
              </w:rPr>
            </w:pPr>
            <w:r>
              <w:rPr>
                <w:iCs/>
                <w:sz w:val="18"/>
              </w:rPr>
              <w:t>-</w:t>
            </w:r>
          </w:p>
        </w:tc>
        <w:tc>
          <w:tcPr>
            <w:tcW w:w="495" w:type="pct"/>
            <w:tcBorders>
              <w:bottom w:val="single" w:sz="4" w:space="0" w:color="auto"/>
            </w:tcBorders>
          </w:tcPr>
          <w:p w:rsidR="00000000" w:rsidRDefault="00457650">
            <w:pPr>
              <w:widowControl/>
              <w:tabs>
                <w:tab w:val="left" w:pos="630"/>
              </w:tabs>
              <w:spacing w:before="40" w:after="40" w:line="320" w:lineRule="exact"/>
              <w:jc w:val="center"/>
              <w:rPr>
                <w:iCs/>
                <w:sz w:val="18"/>
              </w:rPr>
            </w:pPr>
            <w:r>
              <w:rPr>
                <w:iCs/>
                <w:sz w:val="18"/>
              </w:rPr>
              <w:t>-</w:t>
            </w:r>
          </w:p>
        </w:tc>
      </w:tr>
    </w:tbl>
    <w:p w:rsidR="00000000" w:rsidRDefault="00457650">
      <w:pPr>
        <w:widowControl/>
        <w:tabs>
          <w:tab w:val="left" w:pos="630"/>
        </w:tabs>
        <w:spacing w:line="360" w:lineRule="exact"/>
        <w:rPr>
          <w:rFonts w:hint="eastAsia"/>
          <w:iCs/>
          <w:sz w:val="18"/>
        </w:rPr>
      </w:pPr>
      <w:r>
        <w:rPr>
          <w:rFonts w:eastAsia="KaiTi_GB2312" w:hint="eastAsia"/>
          <w:iCs/>
          <w:sz w:val="18"/>
        </w:rPr>
        <w:t>资料来源</w:t>
      </w:r>
      <w:r>
        <w:rPr>
          <w:rFonts w:hint="eastAsia"/>
          <w:iCs/>
          <w:sz w:val="18"/>
        </w:rPr>
        <w:t>：公共教育部，</w:t>
      </w:r>
      <w:r>
        <w:rPr>
          <w:rFonts w:hint="eastAsia"/>
          <w:iCs/>
          <w:sz w:val="18"/>
        </w:rPr>
        <w:t xml:space="preserve"> </w:t>
      </w:r>
      <w:r>
        <w:rPr>
          <w:rFonts w:hint="eastAsia"/>
          <w:iCs/>
          <w:sz w:val="18"/>
        </w:rPr>
        <w:t>国际事务处，</w:t>
      </w:r>
      <w:r>
        <w:rPr>
          <w:rFonts w:hint="eastAsia"/>
          <w:iCs/>
          <w:sz w:val="18"/>
        </w:rPr>
        <w:t>2004</w:t>
      </w:r>
      <w:r>
        <w:rPr>
          <w:rFonts w:hint="eastAsia"/>
          <w:iCs/>
          <w:sz w:val="18"/>
        </w:rPr>
        <w:t>年。</w:t>
      </w:r>
    </w:p>
    <w:p w:rsidR="00000000" w:rsidRDefault="00457650">
      <w:pPr>
        <w:widowControl/>
        <w:tabs>
          <w:tab w:val="left" w:pos="630"/>
        </w:tabs>
        <w:spacing w:line="360" w:lineRule="exact"/>
        <w:rPr>
          <w:rFonts w:hint="eastAsia"/>
          <w:iCs/>
          <w:sz w:val="18"/>
        </w:rPr>
      </w:pPr>
      <w:r>
        <w:rPr>
          <w:rFonts w:hint="eastAsia"/>
          <w:iCs/>
          <w:sz w:val="18"/>
        </w:rPr>
        <w:t xml:space="preserve">USAER  </w:t>
      </w:r>
      <w:r>
        <w:rPr>
          <w:rFonts w:hint="eastAsia"/>
          <w:iCs/>
          <w:sz w:val="18"/>
        </w:rPr>
        <w:t>普通教育支助服务部。</w:t>
      </w:r>
    </w:p>
    <w:p w:rsidR="00000000" w:rsidRDefault="00457650">
      <w:pPr>
        <w:widowControl/>
        <w:tabs>
          <w:tab w:val="left" w:pos="630"/>
        </w:tabs>
        <w:spacing w:line="360" w:lineRule="exact"/>
        <w:rPr>
          <w:rFonts w:hint="eastAsia"/>
          <w:iCs/>
          <w:sz w:val="18"/>
        </w:rPr>
      </w:pPr>
      <w:r>
        <w:rPr>
          <w:rFonts w:hint="eastAsia"/>
          <w:iCs/>
          <w:sz w:val="18"/>
        </w:rPr>
        <w:t xml:space="preserve">CAM  </w:t>
      </w:r>
      <w:r>
        <w:rPr>
          <w:rFonts w:hint="eastAsia"/>
          <w:iCs/>
          <w:sz w:val="18"/>
        </w:rPr>
        <w:t>多重看护中心。</w:t>
      </w:r>
    </w:p>
    <w:p w:rsidR="00000000" w:rsidRDefault="00457650">
      <w:pPr>
        <w:widowControl/>
        <w:tabs>
          <w:tab w:val="left" w:pos="630"/>
        </w:tabs>
        <w:spacing w:after="240" w:line="360" w:lineRule="exact"/>
        <w:rPr>
          <w:rFonts w:hint="eastAsia"/>
          <w:iCs/>
          <w:sz w:val="18"/>
        </w:rPr>
      </w:pPr>
      <w:r>
        <w:rPr>
          <w:rFonts w:hint="eastAsia"/>
          <w:iCs/>
          <w:sz w:val="18"/>
        </w:rPr>
        <w:t xml:space="preserve">CAPEP  </w:t>
      </w:r>
      <w:r>
        <w:rPr>
          <w:rFonts w:hint="eastAsia"/>
          <w:iCs/>
          <w:sz w:val="18"/>
        </w:rPr>
        <w:t>学前教育心理教育支助中心。</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60</w:t>
      </w:r>
      <w:r>
        <w:rPr>
          <w:rFonts w:ascii="SimHei" w:eastAsia="SimHei" w:hint="eastAsia"/>
        </w:rPr>
        <w:t>段（</w:t>
      </w:r>
      <w:r>
        <w:rPr>
          <w:rFonts w:ascii="SimHei" w:eastAsia="SimHei" w:hint="eastAsia"/>
        </w:rPr>
        <w:t>c</w:t>
      </w:r>
      <w:r>
        <w:rPr>
          <w:rFonts w:ascii="SimHei" w:eastAsia="SimHei" w:hint="eastAsia"/>
        </w:rPr>
        <w:t>）</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补偿方案</w:t>
      </w:r>
    </w:p>
    <w:p w:rsidR="00000000" w:rsidRDefault="00457650">
      <w:pPr>
        <w:widowControl/>
        <w:tabs>
          <w:tab w:val="left" w:pos="630"/>
        </w:tabs>
        <w:spacing w:after="240" w:line="360" w:lineRule="exact"/>
        <w:rPr>
          <w:rFonts w:hint="eastAsia"/>
        </w:rPr>
      </w:pPr>
      <w:r>
        <w:rPr>
          <w:rFonts w:hint="eastAsia"/>
        </w:rPr>
        <w:t>699.</w:t>
      </w:r>
      <w:r>
        <w:rPr>
          <w:rFonts w:hint="eastAsia"/>
        </w:rPr>
        <w:tab/>
      </w:r>
      <w:r>
        <w:rPr>
          <w:rFonts w:hint="eastAsia"/>
        </w:rPr>
        <w:t>联邦政府关注到需要加强努力以消除在满足教育需要方面的不平等，增加农村和土著学校的儿童、偏远乡村地区儿童以及边缘城市地区儿童接受和继续接受教育的机会，联邦政府实施了补偿性政策，为联邦内各实体的政府提供具体的支持资源，重点是最落后的地区，开展适应地方问题和地方需要的</w:t>
      </w:r>
      <w:r>
        <w:rPr>
          <w:rFonts w:hint="eastAsia"/>
        </w:rPr>
        <w:t>全面灵活的活动，鼓励社会积极参与建立社会和学校的紧密联系。</w:t>
      </w:r>
    </w:p>
    <w:p w:rsidR="00000000" w:rsidRDefault="00457650">
      <w:pPr>
        <w:widowControl/>
        <w:tabs>
          <w:tab w:val="left" w:pos="630"/>
        </w:tabs>
        <w:spacing w:after="240" w:line="360" w:lineRule="exact"/>
        <w:rPr>
          <w:rFonts w:hint="eastAsia"/>
        </w:rPr>
      </w:pPr>
      <w:r>
        <w:rPr>
          <w:rFonts w:hint="eastAsia"/>
        </w:rPr>
        <w:t>700.</w:t>
      </w:r>
      <w:r>
        <w:rPr>
          <w:rFonts w:hint="eastAsia"/>
        </w:rPr>
        <w:tab/>
      </w:r>
      <w:r>
        <w:rPr>
          <w:rFonts w:hint="eastAsia"/>
        </w:rPr>
        <w:t>补偿活动目标旨在克服教育落后的结构因素；换言之，它们关注与目前教学、学校管理和教育机构管理做法的优缺点相关的习惯，其基础是两部分：第一是制度，与制度管理相关；第二是教育质量，前提是优质教育需要有效的管理。</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土著教育</w:t>
      </w:r>
    </w:p>
    <w:p w:rsidR="00000000" w:rsidRDefault="00457650">
      <w:pPr>
        <w:widowControl/>
        <w:tabs>
          <w:tab w:val="left" w:pos="630"/>
        </w:tabs>
        <w:spacing w:after="240" w:line="360" w:lineRule="exact"/>
        <w:rPr>
          <w:rFonts w:hint="eastAsia"/>
        </w:rPr>
      </w:pPr>
      <w:r>
        <w:rPr>
          <w:rFonts w:hint="eastAsia"/>
        </w:rPr>
        <w:t>701.</w:t>
      </w:r>
      <w:r>
        <w:rPr>
          <w:rFonts w:hint="eastAsia"/>
        </w:rPr>
        <w:tab/>
      </w:r>
      <w:r>
        <w:rPr>
          <w:rFonts w:hint="eastAsia"/>
        </w:rPr>
        <w:t>墨西哥政府采取教育行动进一步提高土著人群的生活水平并使他们从国家发展中受益，加强对人权的尊重和保护，特别是妇女和儿童的人权，并充分尊重各个种族的特殊文化和语言特点。</w:t>
      </w:r>
    </w:p>
    <w:p w:rsidR="00000000" w:rsidRDefault="00457650">
      <w:pPr>
        <w:widowControl/>
        <w:tabs>
          <w:tab w:val="left" w:pos="630"/>
        </w:tabs>
        <w:spacing w:after="240" w:line="360" w:lineRule="exact"/>
        <w:rPr>
          <w:rFonts w:hint="eastAsia"/>
        </w:rPr>
      </w:pPr>
      <w:r>
        <w:rPr>
          <w:rFonts w:hint="eastAsia"/>
        </w:rPr>
        <w:t>702.</w:t>
      </w:r>
      <w:r>
        <w:rPr>
          <w:rFonts w:hint="eastAsia"/>
        </w:rPr>
        <w:tab/>
      </w:r>
      <w:r>
        <w:rPr>
          <w:rFonts w:hint="eastAsia"/>
        </w:rPr>
        <w:t>就此而言，教育政策的目标是保证向土著儿</w:t>
      </w:r>
      <w:r>
        <w:rPr>
          <w:rFonts w:hint="eastAsia"/>
        </w:rPr>
        <w:t>童提供跨文化的双语教育。承认他们的文化和语言特点有助于公正持久地满足他们的教育和基本学习需要。</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社区教育</w:t>
      </w:r>
    </w:p>
    <w:p w:rsidR="00000000" w:rsidRDefault="00457650">
      <w:pPr>
        <w:keepNext/>
        <w:widowControl/>
        <w:tabs>
          <w:tab w:val="left" w:pos="630"/>
        </w:tabs>
        <w:spacing w:after="240" w:line="360" w:lineRule="exact"/>
        <w:rPr>
          <w:rFonts w:hint="eastAsia"/>
        </w:rPr>
      </w:pPr>
      <w:r>
        <w:rPr>
          <w:rFonts w:hint="eastAsia"/>
        </w:rPr>
        <w:t>703.</w:t>
      </w:r>
      <w:r>
        <w:rPr>
          <w:rFonts w:hint="eastAsia"/>
        </w:rPr>
        <w:tab/>
      </w:r>
      <w:r>
        <w:rPr>
          <w:rFonts w:hint="eastAsia"/>
        </w:rPr>
        <w:t>基本社区服务用来向生活在最偏远分散地区的儿童提供基础教育。</w:t>
      </w:r>
    </w:p>
    <w:p w:rsidR="00000000" w:rsidRDefault="00457650">
      <w:pPr>
        <w:widowControl/>
        <w:tabs>
          <w:tab w:val="left" w:pos="630"/>
        </w:tabs>
        <w:spacing w:after="240" w:line="360" w:lineRule="exact"/>
        <w:rPr>
          <w:rFonts w:hint="eastAsia"/>
        </w:rPr>
      </w:pPr>
      <w:r>
        <w:rPr>
          <w:rFonts w:hint="eastAsia"/>
        </w:rPr>
        <w:t>704.</w:t>
      </w:r>
      <w:r>
        <w:rPr>
          <w:rFonts w:hint="eastAsia"/>
        </w:rPr>
        <w:tab/>
      </w:r>
      <w:r>
        <w:rPr>
          <w:rFonts w:hint="eastAsia"/>
        </w:rPr>
        <w:t>有关条例规定少于</w:t>
      </w:r>
      <w:r>
        <w:rPr>
          <w:rFonts w:hint="eastAsia"/>
        </w:rPr>
        <w:t>500</w:t>
      </w:r>
      <w:r>
        <w:rPr>
          <w:rFonts w:hint="eastAsia"/>
        </w:rPr>
        <w:t>名居民的村庄必须建立社区服务，这是一项艰巨的任务，因为墨西哥有</w:t>
      </w:r>
      <w:r>
        <w:rPr>
          <w:rFonts w:hint="eastAsia"/>
        </w:rPr>
        <w:t>200 000</w:t>
      </w:r>
      <w:r>
        <w:rPr>
          <w:rFonts w:hint="eastAsia"/>
        </w:rPr>
        <w:t>多个小型社区，其中</w:t>
      </w:r>
      <w:r>
        <w:rPr>
          <w:rFonts w:hint="eastAsia"/>
        </w:rPr>
        <w:t>75%</w:t>
      </w:r>
      <w:r>
        <w:rPr>
          <w:rFonts w:hint="eastAsia"/>
        </w:rPr>
        <w:t>的人口少于</w:t>
      </w:r>
      <w:r>
        <w:rPr>
          <w:rFonts w:hint="eastAsia"/>
        </w:rPr>
        <w:t>100</w:t>
      </w:r>
      <w:r>
        <w:rPr>
          <w:rFonts w:hint="eastAsia"/>
        </w:rPr>
        <w:t>人。</w:t>
      </w:r>
    </w:p>
    <w:p w:rsidR="00000000" w:rsidRDefault="00457650">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hint="eastAsia"/>
        </w:rPr>
        <w:t>奖学金</w:t>
      </w:r>
    </w:p>
    <w:p w:rsidR="00000000" w:rsidRDefault="00457650">
      <w:pPr>
        <w:widowControl/>
        <w:tabs>
          <w:tab w:val="left" w:pos="630"/>
        </w:tabs>
        <w:spacing w:after="240" w:line="360" w:lineRule="exact"/>
        <w:rPr>
          <w:rFonts w:hint="eastAsia"/>
        </w:rPr>
      </w:pPr>
      <w:r>
        <w:rPr>
          <w:rFonts w:hint="eastAsia"/>
        </w:rPr>
        <w:t>705.</w:t>
      </w:r>
      <w:r>
        <w:rPr>
          <w:rFonts w:hint="eastAsia"/>
        </w:rPr>
        <w:tab/>
      </w:r>
      <w:r>
        <w:rPr>
          <w:rFonts w:hint="eastAsia"/>
        </w:rPr>
        <w:t>为了消除影响到最弱势群体的教育不公平，例如，因缺少资源而不能继续上学的青少年和青年，墨西哥政府提供奖学金以加强针对这一群体的方案和支助。</w:t>
      </w:r>
    </w:p>
    <w:p w:rsidR="00000000" w:rsidRDefault="00457650">
      <w:pPr>
        <w:widowControl/>
        <w:tabs>
          <w:tab w:val="left" w:pos="630"/>
        </w:tabs>
        <w:spacing w:after="240" w:line="360" w:lineRule="exact"/>
        <w:rPr>
          <w:rFonts w:hint="eastAsia"/>
        </w:rPr>
      </w:pPr>
      <w:r>
        <w:rPr>
          <w:rFonts w:hint="eastAsia"/>
        </w:rPr>
        <w:t>706.</w:t>
      </w:r>
      <w:r>
        <w:rPr>
          <w:rFonts w:hint="eastAsia"/>
        </w:rPr>
        <w:tab/>
      </w:r>
      <w:r>
        <w:rPr>
          <w:rFonts w:hint="eastAsia"/>
        </w:rPr>
        <w:t>在</w:t>
      </w:r>
      <w:r>
        <w:rPr>
          <w:rFonts w:hint="eastAsia"/>
        </w:rPr>
        <w:t>2003</w:t>
      </w:r>
      <w:r>
        <w:t>-</w:t>
      </w:r>
      <w:r>
        <w:rPr>
          <w:rFonts w:hint="eastAsia"/>
        </w:rPr>
        <w:t>2004</w:t>
      </w:r>
      <w:r>
        <w:rPr>
          <w:rFonts w:hint="eastAsia"/>
        </w:rPr>
        <w:t>学年，总共向需要接受教育的儿童和青年发放了</w:t>
      </w:r>
      <w:r>
        <w:rPr>
          <w:rFonts w:hint="eastAsia"/>
        </w:rPr>
        <w:t>520</w:t>
      </w:r>
      <w:r>
        <w:rPr>
          <w:rFonts w:hint="eastAsia"/>
        </w:rPr>
        <w:t>万份奖学金，范围从初等教育到研究生教育。</w:t>
      </w:r>
      <w:r>
        <w:rPr>
          <w:rFonts w:hint="eastAsia"/>
        </w:rPr>
        <w:t xml:space="preserve"> </w:t>
      </w:r>
      <w:r>
        <w:rPr>
          <w:rFonts w:hint="eastAsia"/>
        </w:rPr>
        <w:t>“人的发展机会方案受到特殊重视”，该方案向接受基础教育和中等教育的儿童和青年发放了</w:t>
      </w:r>
      <w:r>
        <w:rPr>
          <w:rFonts w:hint="eastAsia"/>
        </w:rPr>
        <w:t>460</w:t>
      </w:r>
      <w:r>
        <w:rPr>
          <w:rFonts w:hint="eastAsia"/>
        </w:rPr>
        <w:t>万份奖学金。</w:t>
      </w:r>
    </w:p>
    <w:p w:rsidR="00000000" w:rsidRDefault="00457650">
      <w:pPr>
        <w:widowControl/>
        <w:tabs>
          <w:tab w:val="left" w:pos="630"/>
        </w:tabs>
        <w:spacing w:after="240" w:line="360" w:lineRule="exact"/>
        <w:rPr>
          <w:rFonts w:hint="eastAsia"/>
        </w:rPr>
      </w:pPr>
      <w:r>
        <w:rPr>
          <w:rFonts w:hint="eastAsia"/>
        </w:rPr>
        <w:t>707.</w:t>
      </w:r>
      <w:r>
        <w:rPr>
          <w:rFonts w:hint="eastAsia"/>
        </w:rPr>
        <w:tab/>
      </w:r>
      <w:r>
        <w:rPr>
          <w:rFonts w:hint="eastAsia"/>
        </w:rPr>
        <w:t>上述不同活动向弱势群体中的儿童和青年提供了更多接受教育的机会。</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60</w:t>
      </w:r>
      <w:r>
        <w:rPr>
          <w:rFonts w:ascii="SimHei" w:eastAsia="SimHei" w:hint="eastAsia"/>
        </w:rPr>
        <w:t>段（</w:t>
      </w:r>
      <w:r>
        <w:rPr>
          <w:rFonts w:ascii="SimHei" w:eastAsia="SimHei" w:hint="eastAsia"/>
        </w:rPr>
        <w:t>d</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708.</w:t>
      </w:r>
      <w:r>
        <w:rPr>
          <w:rFonts w:hint="eastAsia"/>
        </w:rPr>
        <w:tab/>
      </w:r>
      <w:r>
        <w:rPr>
          <w:rFonts w:hint="eastAsia"/>
        </w:rPr>
        <w:t>旨在鼓励进行双语跨文化教育的主要活动具有理论和实践特点，包括准备教育材料，鼓励双语教师参加基础和职业培训，制定教育计划，促进在教育过程中使用和教授土著语言。</w:t>
      </w:r>
    </w:p>
    <w:p w:rsidR="00000000" w:rsidRDefault="00457650">
      <w:pPr>
        <w:widowControl/>
        <w:tabs>
          <w:tab w:val="left" w:pos="630"/>
        </w:tabs>
        <w:spacing w:after="240" w:line="360" w:lineRule="exact"/>
        <w:rPr>
          <w:rFonts w:hint="eastAsia"/>
        </w:rPr>
      </w:pPr>
      <w:r>
        <w:rPr>
          <w:rFonts w:hint="eastAsia"/>
        </w:rPr>
        <w:t>709.</w:t>
      </w:r>
      <w:r>
        <w:rPr>
          <w:rFonts w:hint="eastAsia"/>
        </w:rPr>
        <w:tab/>
      </w:r>
      <w:r>
        <w:rPr>
          <w:rFonts w:hint="eastAsia"/>
        </w:rPr>
        <w:t>教育材料鼓励那些满足土著儿童学习需要的教育实</w:t>
      </w:r>
      <w:r>
        <w:rPr>
          <w:rFonts w:hint="eastAsia"/>
        </w:rPr>
        <w:t>践，通过双语跨文化方法满足他们的基本学习需要。</w:t>
      </w:r>
    </w:p>
    <w:p w:rsidR="00000000" w:rsidRDefault="00457650">
      <w:pPr>
        <w:widowControl/>
        <w:tabs>
          <w:tab w:val="left" w:pos="630"/>
        </w:tabs>
        <w:spacing w:after="240" w:line="360" w:lineRule="exact"/>
        <w:rPr>
          <w:rFonts w:hint="eastAsia"/>
        </w:rPr>
      </w:pPr>
      <w:r>
        <w:rPr>
          <w:rFonts w:hint="eastAsia"/>
        </w:rPr>
        <w:t>710.</w:t>
      </w:r>
      <w:r>
        <w:rPr>
          <w:rFonts w:hint="eastAsia"/>
        </w:rPr>
        <w:tab/>
      </w:r>
      <w:r>
        <w:rPr>
          <w:rFonts w:hint="eastAsia"/>
        </w:rPr>
        <w:t>双语教师的基础专业培训是一个完整、系统和持续的过程，它的实践形式包括循序渐进地对教师进行连续的初始培训，为在职教师举办进修课程，提高学术和专业水平，以此加强教师在工作场所的培训，鼓励教职员工间的合作，创造教师和校长间的教育交流条件，采取双语跨文化的方式。</w:t>
      </w:r>
    </w:p>
    <w:p w:rsidR="00000000" w:rsidRDefault="00457650">
      <w:pPr>
        <w:widowControl/>
        <w:tabs>
          <w:tab w:val="left" w:pos="630"/>
        </w:tabs>
        <w:spacing w:after="240" w:line="360" w:lineRule="exact"/>
        <w:rPr>
          <w:rFonts w:hint="eastAsia"/>
        </w:rPr>
      </w:pPr>
      <w:r>
        <w:rPr>
          <w:rFonts w:hint="eastAsia"/>
        </w:rPr>
        <w:t>711.</w:t>
      </w:r>
      <w:r>
        <w:rPr>
          <w:rFonts w:hint="eastAsia"/>
        </w:rPr>
        <w:tab/>
      </w:r>
      <w:r>
        <w:rPr>
          <w:rFonts w:hint="eastAsia"/>
        </w:rPr>
        <w:t>鼓励发展土著语言需要研究、确定方法，培训和准备教育材料，保证学生学会利用土著语言和西班牙语识字。</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61</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712.</w:t>
      </w:r>
      <w:r>
        <w:rPr>
          <w:rFonts w:hint="eastAsia"/>
        </w:rPr>
        <w:tab/>
      </w:r>
      <w:r>
        <w:rPr>
          <w:rFonts w:hint="eastAsia"/>
        </w:rPr>
        <w:t>在基础教育领域，教师的工资各不相同，根据他们的工作地区、是否登记为职业</w:t>
      </w:r>
      <w:r>
        <w:rPr>
          <w:rFonts w:hint="eastAsia"/>
        </w:rPr>
        <w:t>教师、其职业状况、各种资历补贴和饭票的不同而变化。</w:t>
      </w:r>
    </w:p>
    <w:p w:rsidR="00000000" w:rsidRDefault="00457650">
      <w:pPr>
        <w:widowControl/>
        <w:tabs>
          <w:tab w:val="left" w:pos="630"/>
        </w:tabs>
        <w:spacing w:after="240" w:line="360" w:lineRule="exact"/>
        <w:rPr>
          <w:rFonts w:hint="eastAsia"/>
        </w:rPr>
      </w:pPr>
      <w:r>
        <w:rPr>
          <w:rFonts w:hint="eastAsia"/>
        </w:rPr>
        <w:t>713.</w:t>
      </w:r>
      <w:r>
        <w:rPr>
          <w:rFonts w:hint="eastAsia"/>
        </w:rPr>
        <w:tab/>
      </w:r>
      <w:r>
        <w:rPr>
          <w:rFonts w:hint="eastAsia"/>
        </w:rPr>
        <w:t>在高中等教育领域，公共机构众多，工资各不相同，根据是否属于联邦系统、是否被分散或从属州立大学，这些机构都制定了各自的标准。对于高等教育，其情况也相似。</w:t>
      </w:r>
    </w:p>
    <w:p w:rsidR="00000000" w:rsidRDefault="00457650">
      <w:pPr>
        <w:widowControl/>
        <w:tabs>
          <w:tab w:val="left" w:pos="630"/>
        </w:tabs>
        <w:spacing w:after="240" w:line="360" w:lineRule="exact"/>
        <w:rPr>
          <w:rFonts w:hint="eastAsia"/>
        </w:rPr>
      </w:pPr>
      <w:r>
        <w:rPr>
          <w:rFonts w:hint="eastAsia"/>
        </w:rPr>
        <w:t>714.</w:t>
      </w:r>
      <w:r>
        <w:rPr>
          <w:rFonts w:hint="eastAsia"/>
        </w:rPr>
        <w:tab/>
      </w:r>
      <w:r>
        <w:rPr>
          <w:rFonts w:hint="eastAsia"/>
        </w:rPr>
        <w:t>其他公务员的工资也各不相同，根据他们是否在州政府或联邦政府或其他机构工作，这些机构的工资等级也不同。</w:t>
      </w:r>
    </w:p>
    <w:p w:rsidR="00000000" w:rsidRDefault="00457650">
      <w:pPr>
        <w:widowControl/>
        <w:tabs>
          <w:tab w:val="left" w:pos="630"/>
        </w:tabs>
        <w:spacing w:after="240" w:line="360" w:lineRule="exact"/>
        <w:rPr>
          <w:rFonts w:hint="eastAsia"/>
        </w:rPr>
      </w:pPr>
      <w:r>
        <w:rPr>
          <w:rFonts w:hint="eastAsia"/>
        </w:rPr>
        <w:t>715.</w:t>
      </w:r>
      <w:r>
        <w:rPr>
          <w:rFonts w:hint="eastAsia"/>
        </w:rPr>
        <w:tab/>
      </w:r>
      <w:r>
        <w:rPr>
          <w:rFonts w:hint="eastAsia"/>
        </w:rPr>
        <w:t>因此，对教师和其他公务员工资上涨方式进行全面比较是不可能的。</w:t>
      </w:r>
    </w:p>
    <w:p w:rsidR="00000000" w:rsidRDefault="00457650">
      <w:pPr>
        <w:widowControl/>
        <w:tabs>
          <w:tab w:val="left" w:pos="630"/>
        </w:tabs>
        <w:spacing w:after="240" w:line="360" w:lineRule="exact"/>
        <w:rPr>
          <w:rFonts w:hint="eastAsia"/>
        </w:rPr>
      </w:pPr>
      <w:r>
        <w:rPr>
          <w:rFonts w:hint="eastAsia"/>
        </w:rPr>
        <w:t>716.</w:t>
      </w:r>
      <w:r>
        <w:rPr>
          <w:rFonts w:hint="eastAsia"/>
        </w:rPr>
        <w:tab/>
      </w:r>
      <w:r>
        <w:rPr>
          <w:rFonts w:hint="eastAsia"/>
        </w:rPr>
        <w:t>同样，为提高教师生活水平所采取的措施依赖各个单位的经济资源和具体条件，依赖州政府和联邦政府。</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62</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717.</w:t>
      </w:r>
      <w:r>
        <w:rPr>
          <w:rFonts w:hint="eastAsia"/>
        </w:rPr>
        <w:tab/>
      </w:r>
      <w:r>
        <w:rPr>
          <w:rFonts w:hint="eastAsia"/>
        </w:rPr>
        <w:t>非政府建立或管理的学校比例占</w:t>
      </w:r>
      <w:r>
        <w:rPr>
          <w:rFonts w:hint="eastAsia"/>
        </w:rPr>
        <w:t>12.6%</w:t>
      </w:r>
      <w:r>
        <w:rPr>
          <w:rFonts w:hint="eastAsia"/>
        </w:rPr>
        <w:t>。</w:t>
      </w:r>
    </w:p>
    <w:p w:rsidR="00000000" w:rsidRDefault="00457650">
      <w:pPr>
        <w:widowControl/>
        <w:tabs>
          <w:tab w:val="left" w:pos="630"/>
        </w:tabs>
        <w:spacing w:after="240" w:line="360" w:lineRule="exact"/>
        <w:rPr>
          <w:rFonts w:hint="eastAsia"/>
        </w:rPr>
      </w:pPr>
      <w:r>
        <w:rPr>
          <w:rFonts w:hint="eastAsia"/>
        </w:rPr>
        <w:t>718.</w:t>
      </w:r>
      <w:r>
        <w:rPr>
          <w:rFonts w:hint="eastAsia"/>
        </w:rPr>
        <w:tab/>
      </w:r>
      <w:r>
        <w:rPr>
          <w:rFonts w:hint="eastAsia"/>
        </w:rPr>
        <w:t>如果个人希望建立私人学校，他们实现其愿望没有困难，但必须遵守已制定的规章规定。对于入学，高中等教育和高等教育的学生一般须在第一学年入学之前举行选拔考试。</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63</w:t>
      </w:r>
      <w:r>
        <w:rPr>
          <w:rFonts w:ascii="SimHei" w:eastAsia="SimHei" w:hint="eastAsia"/>
        </w:rPr>
        <w:t>段</w:t>
      </w:r>
    </w:p>
    <w:p w:rsidR="00000000" w:rsidRDefault="00457650">
      <w:pPr>
        <w:keepNext/>
        <w:widowControl/>
        <w:tabs>
          <w:tab w:val="left" w:pos="630"/>
        </w:tabs>
        <w:spacing w:after="240" w:line="360" w:lineRule="exact"/>
        <w:rPr>
          <w:rFonts w:hint="eastAsia"/>
        </w:rPr>
      </w:pPr>
      <w:r>
        <w:rPr>
          <w:rFonts w:hint="eastAsia"/>
        </w:rPr>
        <w:t>719.</w:t>
      </w:r>
      <w:r>
        <w:rPr>
          <w:rFonts w:hint="eastAsia"/>
        </w:rPr>
        <w:tab/>
      </w:r>
      <w:r>
        <w:rPr>
          <w:rFonts w:hint="eastAsia"/>
        </w:rPr>
        <w:t>在报告期间，墨西哥的国家政策没有对第</w:t>
      </w:r>
      <w:r>
        <w:rPr>
          <w:rFonts w:hint="eastAsia"/>
        </w:rPr>
        <w:t>13</w:t>
      </w:r>
      <w:r>
        <w:rPr>
          <w:rFonts w:hint="eastAsia"/>
        </w:rPr>
        <w:t>条所规定的权利产生负面影响的变化。</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64</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720.</w:t>
      </w:r>
      <w:r>
        <w:rPr>
          <w:rFonts w:hint="eastAsia"/>
        </w:rPr>
        <w:tab/>
      </w:r>
      <w:r>
        <w:rPr>
          <w:rFonts w:hint="eastAsia"/>
        </w:rPr>
        <w:t>世界银行为旨在实现平等和促进技术教育和培训现代化的方案提供了资金支持。</w:t>
      </w:r>
    </w:p>
    <w:p w:rsidR="00000000" w:rsidRDefault="00457650">
      <w:pPr>
        <w:widowControl/>
        <w:tabs>
          <w:tab w:val="left" w:pos="630"/>
        </w:tabs>
        <w:spacing w:after="240" w:line="360" w:lineRule="exact"/>
        <w:jc w:val="center"/>
        <w:rPr>
          <w:rFonts w:ascii="SimHei" w:eastAsia="SimHei" w:hint="eastAsia"/>
          <w:sz w:val="24"/>
        </w:rPr>
      </w:pPr>
      <w:r>
        <w:rPr>
          <w:rFonts w:ascii="SimHei" w:eastAsia="SimHei" w:hint="eastAsia"/>
          <w:sz w:val="24"/>
        </w:rPr>
        <w:t xml:space="preserve">I.  </w:t>
      </w:r>
      <w:r>
        <w:rPr>
          <w:rFonts w:ascii="SimHei" w:eastAsia="SimHei" w:hint="eastAsia"/>
          <w:sz w:val="24"/>
        </w:rPr>
        <w:t>第</w:t>
      </w:r>
      <w:r>
        <w:rPr>
          <w:rFonts w:ascii="SimHei" w:eastAsia="SimHei" w:hint="eastAsia"/>
          <w:sz w:val="24"/>
        </w:rPr>
        <w:t>14</w:t>
      </w:r>
      <w:r>
        <w:rPr>
          <w:rFonts w:ascii="SimHei" w:eastAsia="SimHei" w:hint="eastAsia"/>
          <w:sz w:val="24"/>
        </w:rPr>
        <w:t>条</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65</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721.</w:t>
      </w:r>
      <w:r>
        <w:rPr>
          <w:rFonts w:hint="eastAsia"/>
        </w:rPr>
        <w:tab/>
      </w:r>
      <w:r>
        <w:rPr>
          <w:rFonts w:hint="eastAsia"/>
        </w:rPr>
        <w:t>《宪法》第</w:t>
      </w:r>
      <w:r>
        <w:rPr>
          <w:rFonts w:hint="eastAsia"/>
        </w:rPr>
        <w:t>3</w:t>
      </w:r>
      <w:r>
        <w:rPr>
          <w:rFonts w:hint="eastAsia"/>
        </w:rPr>
        <w:t>条规定学前教育、初等教育和中等教育是义务性教育。它还规定国</w:t>
      </w:r>
      <w:r>
        <w:rPr>
          <w:rFonts w:hint="eastAsia"/>
        </w:rPr>
        <w:t>家提供教育应该是非宗教性的免费教育。</w:t>
      </w:r>
    </w:p>
    <w:p w:rsidR="00000000" w:rsidRDefault="00457650">
      <w:pPr>
        <w:widowControl/>
        <w:tabs>
          <w:tab w:val="left" w:pos="630"/>
        </w:tabs>
        <w:spacing w:after="240" w:line="360" w:lineRule="exact"/>
        <w:jc w:val="center"/>
        <w:rPr>
          <w:rFonts w:ascii="SimHei" w:eastAsia="SimHei" w:hint="eastAsia"/>
          <w:sz w:val="24"/>
        </w:rPr>
      </w:pPr>
      <w:r>
        <w:rPr>
          <w:rFonts w:ascii="SimHei" w:eastAsia="SimHei" w:hint="eastAsia"/>
          <w:sz w:val="24"/>
        </w:rPr>
        <w:t xml:space="preserve">J.  </w:t>
      </w:r>
      <w:r>
        <w:rPr>
          <w:rFonts w:ascii="SimHei" w:eastAsia="SimHei" w:hint="eastAsia"/>
          <w:sz w:val="24"/>
        </w:rPr>
        <w:t>第</w:t>
      </w:r>
      <w:r>
        <w:rPr>
          <w:rFonts w:ascii="SimHei" w:eastAsia="SimHei" w:hint="eastAsia"/>
          <w:sz w:val="24"/>
        </w:rPr>
        <w:t>15</w:t>
      </w:r>
      <w:r>
        <w:rPr>
          <w:rFonts w:ascii="SimHei" w:eastAsia="SimHei" w:hint="eastAsia"/>
          <w:sz w:val="24"/>
        </w:rPr>
        <w:t>条</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66</w:t>
      </w:r>
      <w:r>
        <w:rPr>
          <w:rFonts w:ascii="SimHei" w:eastAsia="SimHei" w:hint="eastAsia"/>
        </w:rPr>
        <w:t>段</w:t>
      </w:r>
    </w:p>
    <w:p w:rsidR="00000000" w:rsidRDefault="00457650">
      <w:pPr>
        <w:widowControl/>
        <w:tabs>
          <w:tab w:val="left" w:pos="630"/>
        </w:tabs>
        <w:spacing w:after="240" w:line="360" w:lineRule="exact"/>
        <w:rPr>
          <w:rFonts w:hint="eastAsia"/>
        </w:rPr>
      </w:pPr>
      <w:r>
        <w:rPr>
          <w:rFonts w:hint="eastAsia"/>
        </w:rPr>
        <w:t>722.</w:t>
      </w:r>
      <w:r>
        <w:rPr>
          <w:rFonts w:hint="eastAsia"/>
        </w:rPr>
        <w:tab/>
        <w:t>2001</w:t>
      </w:r>
      <w:r>
        <w:t>-</w:t>
      </w:r>
      <w:r>
        <w:rPr>
          <w:rFonts w:hint="eastAsia"/>
        </w:rPr>
        <w:t>2006</w:t>
      </w:r>
      <w:r>
        <w:rPr>
          <w:rFonts w:hint="eastAsia"/>
        </w:rPr>
        <w:t>年国家文化方案是落实同期国家发展规划各项战略的文件，它旨在协助文化部门促进人性化的社会发展，承认社会的多样性和敏感性，确保在文化领域为人们提供更多的机会和服务，并尊重表达和创作自由，这些是其永恒的核心结构内容。其主要工作领域是研究和保护文化遗产；大众和土著文化；遗产，发展和旅游；鼓励艺术创作；艺术文化领域的教育研究；文化表达；阅读和书籍；声像媒体；文化联系和国际合作。</w:t>
      </w:r>
    </w:p>
    <w:p w:rsidR="00000000" w:rsidRDefault="00457650">
      <w:pPr>
        <w:widowControl/>
        <w:tabs>
          <w:tab w:val="left" w:pos="630"/>
        </w:tabs>
        <w:spacing w:after="240" w:line="360" w:lineRule="exact"/>
        <w:rPr>
          <w:rFonts w:hint="eastAsia"/>
        </w:rPr>
      </w:pPr>
      <w:r>
        <w:rPr>
          <w:rFonts w:hint="eastAsia"/>
        </w:rPr>
        <w:t>723.</w:t>
      </w:r>
      <w:r>
        <w:rPr>
          <w:rFonts w:hint="eastAsia"/>
        </w:rPr>
        <w:tab/>
      </w:r>
      <w:r>
        <w:rPr>
          <w:rFonts w:hint="eastAsia"/>
        </w:rPr>
        <w:t>除国家文化计划外，下列法律文件构成了</w:t>
      </w:r>
      <w:r>
        <w:rPr>
          <w:rFonts w:hint="eastAsia"/>
        </w:rPr>
        <w:t>保护和保存墨西哥文化遗产、保证每个人都参与墨西哥文化生活的法律框架：《联邦考古、艺术和文化古迹法》；《设立国家艺术院法》；《国家人类学和历史研究所组织法》；《图书馆一般法》；《一般国家财产法》；《联邦广播电视法》和《联邦电影摄影法》。</w:t>
      </w:r>
    </w:p>
    <w:p w:rsidR="00000000" w:rsidRDefault="00457650">
      <w:pPr>
        <w:widowControl/>
        <w:tabs>
          <w:tab w:val="left" w:pos="630"/>
        </w:tabs>
        <w:spacing w:after="240" w:line="360" w:lineRule="exact"/>
        <w:rPr>
          <w:rFonts w:hint="eastAsia"/>
        </w:rPr>
      </w:pPr>
      <w:r>
        <w:rPr>
          <w:rFonts w:hint="eastAsia"/>
        </w:rPr>
        <w:t>724.</w:t>
      </w:r>
      <w:r>
        <w:rPr>
          <w:rFonts w:hint="eastAsia"/>
        </w:rPr>
        <w:tab/>
      </w:r>
      <w:r>
        <w:rPr>
          <w:rFonts w:hint="eastAsia"/>
        </w:rPr>
        <w:t>为此，墨西哥政府还设立了下列机构来支持国家电影工业的创造、促进和传播：墨西哥电影摄影学会，高水平电影制作基金和电影投资和促进基金。</w:t>
      </w:r>
    </w:p>
    <w:p w:rsidR="00000000" w:rsidRDefault="00457650">
      <w:pPr>
        <w:widowControl/>
        <w:tabs>
          <w:tab w:val="left" w:pos="630"/>
        </w:tabs>
        <w:spacing w:after="240" w:line="360" w:lineRule="exact"/>
        <w:rPr>
          <w:rFonts w:hint="eastAsia"/>
        </w:rPr>
      </w:pPr>
      <w:r>
        <w:rPr>
          <w:rFonts w:hint="eastAsia"/>
        </w:rPr>
        <w:t>725.</w:t>
      </w:r>
      <w:r>
        <w:rPr>
          <w:rFonts w:hint="eastAsia"/>
        </w:rPr>
        <w:tab/>
      </w:r>
      <w:r>
        <w:rPr>
          <w:rFonts w:hint="eastAsia"/>
        </w:rPr>
        <w:t>墨西哥电影摄影学会成立于</w:t>
      </w:r>
      <w:r>
        <w:rPr>
          <w:rFonts w:hint="eastAsia"/>
        </w:rPr>
        <w:t>1983</w:t>
      </w:r>
      <w:r>
        <w:rPr>
          <w:rFonts w:hint="eastAsia"/>
        </w:rPr>
        <w:t>年，用以保证涉及电影摄影活动的各个隶属联邦执行机构的单位工作一体化。它目前是负责促进国家电影</w:t>
      </w:r>
      <w:r>
        <w:rPr>
          <w:rFonts w:hint="eastAsia"/>
        </w:rPr>
        <w:t>工业发展的政府单位，重点关注电影制作和墨西哥艺术电影的制作发行，提议、制定和调整适合当前形势的方案和战略。</w:t>
      </w:r>
    </w:p>
    <w:p w:rsidR="00000000" w:rsidRDefault="00457650">
      <w:pPr>
        <w:widowControl/>
        <w:tabs>
          <w:tab w:val="left" w:pos="630"/>
        </w:tabs>
        <w:spacing w:after="240" w:line="360" w:lineRule="exact"/>
        <w:rPr>
          <w:rFonts w:hint="eastAsia"/>
        </w:rPr>
      </w:pPr>
      <w:r>
        <w:rPr>
          <w:rFonts w:hint="eastAsia"/>
        </w:rPr>
        <w:t>726.</w:t>
      </w:r>
      <w:r>
        <w:rPr>
          <w:rFonts w:hint="eastAsia"/>
        </w:rPr>
        <w:tab/>
      </w:r>
      <w:r>
        <w:rPr>
          <w:rFonts w:hint="eastAsia"/>
        </w:rPr>
        <w:t>“高水平电影制作基金”是根据总统的建议于</w:t>
      </w:r>
      <w:r>
        <w:rPr>
          <w:rFonts w:hint="eastAsia"/>
        </w:rPr>
        <w:t>1997</w:t>
      </w:r>
      <w:r>
        <w:rPr>
          <w:rFonts w:hint="eastAsia"/>
        </w:rPr>
        <w:t>年</w:t>
      </w:r>
      <w:r>
        <w:rPr>
          <w:rFonts w:hint="eastAsia"/>
        </w:rPr>
        <w:t>12</w:t>
      </w:r>
      <w:r>
        <w:rPr>
          <w:rFonts w:hint="eastAsia"/>
        </w:rPr>
        <w:t>月设立的，目的是恢复高水平的电影业（原创作品，剧本建议和实验电影）。</w:t>
      </w:r>
      <w:r>
        <w:rPr>
          <w:rFonts w:hint="eastAsia"/>
        </w:rPr>
        <w:t>1992</w:t>
      </w:r>
      <w:r>
        <w:rPr>
          <w:rFonts w:hint="eastAsia"/>
        </w:rPr>
        <w:t>年</w:t>
      </w:r>
      <w:r>
        <w:rPr>
          <w:rFonts w:hint="eastAsia"/>
        </w:rPr>
        <w:t>12</w:t>
      </w:r>
      <w:r>
        <w:rPr>
          <w:rFonts w:hint="eastAsia"/>
        </w:rPr>
        <w:t>月</w:t>
      </w:r>
      <w:r>
        <w:rPr>
          <w:rFonts w:hint="eastAsia"/>
        </w:rPr>
        <w:t>29</w:t>
      </w:r>
      <w:r>
        <w:rPr>
          <w:rFonts w:hint="eastAsia"/>
        </w:rPr>
        <w:t>日，下议院批准在《联邦政府公报》上公布《联邦电影摄影法》，其目的是促进电影的制作、发行、销售和放映，同时挽救和保护电影业。</w:t>
      </w:r>
    </w:p>
    <w:p w:rsidR="00000000" w:rsidRDefault="00457650">
      <w:pPr>
        <w:widowControl/>
        <w:tabs>
          <w:tab w:val="left" w:pos="630"/>
        </w:tabs>
        <w:spacing w:after="240" w:line="360" w:lineRule="exact"/>
        <w:rPr>
          <w:rFonts w:hint="eastAsia"/>
        </w:rPr>
      </w:pPr>
      <w:r>
        <w:rPr>
          <w:rFonts w:hint="eastAsia"/>
        </w:rPr>
        <w:t>727.</w:t>
      </w:r>
      <w:r>
        <w:rPr>
          <w:rFonts w:hint="eastAsia"/>
        </w:rPr>
        <w:tab/>
      </w:r>
      <w:r>
        <w:rPr>
          <w:rFonts w:hint="eastAsia"/>
        </w:rPr>
        <w:t>但是，该法并没有解决电影业面临的所有问题。在该部门的参与下，经过一系列会议和协议，</w:t>
      </w:r>
      <w:r>
        <w:rPr>
          <w:rFonts w:hint="eastAsia"/>
        </w:rPr>
        <w:t>1999</w:t>
      </w:r>
      <w:r>
        <w:rPr>
          <w:rFonts w:hint="eastAsia"/>
        </w:rPr>
        <w:t>年</w:t>
      </w:r>
      <w:r>
        <w:rPr>
          <w:rFonts w:hint="eastAsia"/>
        </w:rPr>
        <w:t>1</w:t>
      </w:r>
      <w:r>
        <w:rPr>
          <w:rFonts w:hint="eastAsia"/>
        </w:rPr>
        <w:t>月</w:t>
      </w:r>
      <w:r>
        <w:rPr>
          <w:rFonts w:hint="eastAsia"/>
        </w:rPr>
        <w:t>5</w:t>
      </w:r>
      <w:r>
        <w:rPr>
          <w:rFonts w:hint="eastAsia"/>
        </w:rPr>
        <w:t>日公布了目前正在实行</w:t>
      </w:r>
      <w:r>
        <w:rPr>
          <w:rFonts w:hint="eastAsia"/>
        </w:rPr>
        <w:t>的经修改的《联邦电影摄影法》。</w:t>
      </w:r>
      <w:r>
        <w:rPr>
          <w:rFonts w:hint="eastAsia"/>
        </w:rPr>
        <w:t>2001</w:t>
      </w:r>
      <w:r>
        <w:rPr>
          <w:rFonts w:hint="eastAsia"/>
        </w:rPr>
        <w:t>年</w:t>
      </w:r>
      <w:r>
        <w:rPr>
          <w:rFonts w:hint="eastAsia"/>
        </w:rPr>
        <w:t>3</w:t>
      </w:r>
      <w:r>
        <w:rPr>
          <w:rFonts w:hint="eastAsia"/>
        </w:rPr>
        <w:t>月</w:t>
      </w:r>
      <w:r>
        <w:rPr>
          <w:rFonts w:hint="eastAsia"/>
        </w:rPr>
        <w:t>29</w:t>
      </w:r>
      <w:r>
        <w:rPr>
          <w:rFonts w:hint="eastAsia"/>
        </w:rPr>
        <w:t>日在《联邦政府公报》公布了《联邦电影摄影法条例》，这促使设立了电影投资和促进基金，它的宗旨是促进高水平的商业电影。</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66</w:t>
      </w:r>
      <w:r>
        <w:rPr>
          <w:rFonts w:ascii="SimHei" w:eastAsia="SimHei" w:hint="eastAsia"/>
        </w:rPr>
        <w:t>段（</w:t>
      </w:r>
      <w:r>
        <w:rPr>
          <w:rFonts w:ascii="SimHei" w:eastAsia="SimHei" w:hint="eastAsia"/>
        </w:rPr>
        <w:t>a</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728.</w:t>
      </w:r>
      <w:r>
        <w:rPr>
          <w:rFonts w:hint="eastAsia"/>
        </w:rPr>
        <w:tab/>
      </w:r>
      <w:r>
        <w:rPr>
          <w:rFonts w:hint="eastAsia"/>
        </w:rPr>
        <w:t>根据墨西哥联邦政府</w:t>
      </w:r>
      <w:r>
        <w:rPr>
          <w:rFonts w:hint="eastAsia"/>
        </w:rPr>
        <w:t>2003</w:t>
      </w:r>
      <w:r>
        <w:rPr>
          <w:rFonts w:hint="eastAsia"/>
        </w:rPr>
        <w:t>年预算开支，</w:t>
      </w:r>
      <w:r>
        <w:rPr>
          <w:rFonts w:hint="eastAsia"/>
        </w:rPr>
        <w:t>2003</w:t>
      </w:r>
      <w:r>
        <w:rPr>
          <w:rFonts w:hint="eastAsia"/>
        </w:rPr>
        <w:t>年第一个财务周期分配给国家文化和艺术委员会的预算总额为</w:t>
      </w:r>
      <w:r>
        <w:rPr>
          <w:rFonts w:hint="eastAsia"/>
        </w:rPr>
        <w:t>5 799 848 630</w:t>
      </w:r>
      <w:r>
        <w:rPr>
          <w:rFonts w:hint="eastAsia"/>
        </w:rPr>
        <w:t>比索。</w:t>
      </w:r>
    </w:p>
    <w:p w:rsidR="00000000" w:rsidRDefault="00457650">
      <w:pPr>
        <w:widowControl/>
        <w:tabs>
          <w:tab w:val="left" w:pos="630"/>
        </w:tabs>
        <w:spacing w:after="240" w:line="360" w:lineRule="exact"/>
        <w:rPr>
          <w:rFonts w:hint="eastAsia"/>
        </w:rPr>
      </w:pPr>
      <w:r>
        <w:rPr>
          <w:rFonts w:hint="eastAsia"/>
        </w:rPr>
        <w:t>729.</w:t>
      </w:r>
      <w:r>
        <w:rPr>
          <w:rFonts w:hint="eastAsia"/>
        </w:rPr>
        <w:tab/>
      </w:r>
      <w:r>
        <w:rPr>
          <w:rFonts w:hint="eastAsia"/>
        </w:rPr>
        <w:t>以下各段介绍国家文化和艺术委员会各机构的经济来源和支出方式。</w:t>
      </w:r>
    </w:p>
    <w:p w:rsidR="00000000" w:rsidRDefault="00457650">
      <w:pPr>
        <w:widowControl/>
        <w:tabs>
          <w:tab w:val="left" w:pos="630"/>
        </w:tabs>
        <w:spacing w:after="240" w:line="360" w:lineRule="exact"/>
        <w:rPr>
          <w:rFonts w:hint="eastAsia"/>
        </w:rPr>
      </w:pPr>
      <w:r>
        <w:rPr>
          <w:rFonts w:hint="eastAsia"/>
        </w:rPr>
        <w:t>730.</w:t>
      </w:r>
      <w:r>
        <w:rPr>
          <w:rFonts w:hint="eastAsia"/>
        </w:rPr>
        <w:tab/>
      </w:r>
      <w:r>
        <w:rPr>
          <w:rFonts w:hint="eastAsia"/>
        </w:rPr>
        <w:t>国家文化和艺术基金是“国家文化和艺术委员会”在财政方面的左膀右臂，它在</w:t>
      </w:r>
      <w:r>
        <w:rPr>
          <w:rFonts w:hint="eastAsia"/>
        </w:rPr>
        <w:t>1998</w:t>
      </w:r>
      <w:r>
        <w:rPr>
          <w:rFonts w:hint="eastAsia"/>
        </w:rPr>
        <w:t>年至</w:t>
      </w:r>
      <w:r>
        <w:rPr>
          <w:rFonts w:hint="eastAsia"/>
        </w:rPr>
        <w:t>2003</w:t>
      </w:r>
      <w:r>
        <w:rPr>
          <w:rFonts w:hint="eastAsia"/>
        </w:rPr>
        <w:t>年为鼓励墨西哥的</w:t>
      </w:r>
      <w:r>
        <w:rPr>
          <w:rFonts w:hint="eastAsia"/>
        </w:rPr>
        <w:t>艺术创造和文化发展提供了高达</w:t>
      </w:r>
      <w:r>
        <w:rPr>
          <w:rFonts w:hint="eastAsia"/>
        </w:rPr>
        <w:t>8</w:t>
      </w:r>
      <w:r>
        <w:t>.433</w:t>
      </w:r>
      <w:r>
        <w:rPr>
          <w:rFonts w:hint="eastAsia"/>
        </w:rPr>
        <w:t>亿比索（约合</w:t>
      </w:r>
      <w:r>
        <w:rPr>
          <w:rFonts w:hint="eastAsia"/>
        </w:rPr>
        <w:t>8 500</w:t>
      </w:r>
      <w:r>
        <w:rPr>
          <w:rFonts w:hint="eastAsia"/>
        </w:rPr>
        <w:t>万美元）的资金。这些资金用来满足文化需要和落实墨西哥艺术文化界的建议。</w:t>
      </w:r>
    </w:p>
    <w:p w:rsidR="00000000" w:rsidRDefault="00457650">
      <w:pPr>
        <w:widowControl/>
        <w:tabs>
          <w:tab w:val="left" w:pos="630"/>
        </w:tabs>
        <w:spacing w:after="240" w:line="360" w:lineRule="exact"/>
        <w:rPr>
          <w:rFonts w:hint="eastAsia"/>
        </w:rPr>
      </w:pPr>
      <w:r>
        <w:rPr>
          <w:rFonts w:hint="eastAsia"/>
        </w:rPr>
        <w:t>731.</w:t>
      </w:r>
      <w:r>
        <w:rPr>
          <w:rFonts w:hint="eastAsia"/>
        </w:rPr>
        <w:tab/>
      </w:r>
      <w:r>
        <w:rPr>
          <w:rFonts w:hint="eastAsia"/>
        </w:rPr>
        <w:t>在这方面，墨西哥通过文化和艺术基金提供的支持，在充分尊重表达和创作自由的框架内，发挥高水平文化艺术作品的功效，提升社会对发展的理解。</w:t>
      </w:r>
    </w:p>
    <w:p w:rsidR="00000000" w:rsidRDefault="00457650">
      <w:pPr>
        <w:keepNext/>
        <w:keepLines/>
        <w:widowControl/>
        <w:tabs>
          <w:tab w:val="left" w:pos="630"/>
        </w:tabs>
        <w:spacing w:after="240" w:line="360" w:lineRule="exact"/>
        <w:rPr>
          <w:rFonts w:hint="eastAsia"/>
        </w:rPr>
      </w:pPr>
      <w:r>
        <w:rPr>
          <w:rFonts w:hint="eastAsia"/>
        </w:rPr>
        <w:t>732.</w:t>
      </w:r>
      <w:r>
        <w:rPr>
          <w:rFonts w:hint="eastAsia"/>
        </w:rPr>
        <w:tab/>
      </w:r>
      <w:r>
        <w:rPr>
          <w:rFonts w:hint="eastAsia"/>
        </w:rPr>
        <w:t>与此同时，国家人类学和历史研究所为促进文化发展和大众参与文化生活编制了如下具体预算：</w:t>
      </w:r>
    </w:p>
    <w:tbl>
      <w:tblPr>
        <w:tblW w:w="5000" w:type="pct"/>
        <w:tblCellMar>
          <w:left w:w="0" w:type="dxa"/>
          <w:right w:w="0" w:type="dxa"/>
        </w:tblCellMar>
        <w:tblLook w:val="01E0" w:firstRow="1" w:lastRow="1" w:firstColumn="1" w:lastColumn="1" w:noHBand="0" w:noVBand="0"/>
      </w:tblPr>
      <w:tblGrid>
        <w:gridCol w:w="1644"/>
        <w:gridCol w:w="1644"/>
        <w:gridCol w:w="1645"/>
        <w:gridCol w:w="1644"/>
        <w:gridCol w:w="1644"/>
        <w:gridCol w:w="1645"/>
      </w:tblGrid>
      <w:tr w:rsidR="00000000">
        <w:tblPrEx>
          <w:tblCellMar>
            <w:top w:w="0" w:type="dxa"/>
            <w:bottom w:w="0" w:type="dxa"/>
          </w:tblCellMar>
        </w:tblPrEx>
        <w:tc>
          <w:tcPr>
            <w:tcW w:w="9866" w:type="dxa"/>
            <w:gridSpan w:val="6"/>
            <w:tcBorders>
              <w:bottom w:val="single" w:sz="4" w:space="0" w:color="auto"/>
            </w:tcBorders>
          </w:tcPr>
          <w:p w:rsidR="00000000" w:rsidRDefault="00457650">
            <w:pPr>
              <w:pStyle w:val="a3"/>
              <w:keepNext/>
              <w:keepLines/>
              <w:widowControl/>
              <w:tabs>
                <w:tab w:val="left" w:pos="630"/>
              </w:tabs>
              <w:adjustRightInd w:val="0"/>
              <w:spacing w:after="120" w:line="320" w:lineRule="exact"/>
              <w:jc w:val="center"/>
              <w:textAlignment w:val="baseline"/>
              <w:rPr>
                <w:rFonts w:eastAsia="SimHei" w:hint="eastAsia"/>
                <w:kern w:val="0"/>
                <w:sz w:val="21"/>
                <w:szCs w:val="20"/>
                <w:lang w:val="fr-CH"/>
              </w:rPr>
            </w:pPr>
            <w:r>
              <w:rPr>
                <w:rFonts w:eastAsia="SimHei" w:hint="eastAsia"/>
                <w:kern w:val="0"/>
                <w:sz w:val="21"/>
                <w:szCs w:val="20"/>
              </w:rPr>
              <w:t>预算分配：千比索</w:t>
            </w:r>
          </w:p>
        </w:tc>
      </w:tr>
      <w:tr w:rsidR="00000000">
        <w:tblPrEx>
          <w:tblCellMar>
            <w:top w:w="0" w:type="dxa"/>
            <w:bottom w:w="0" w:type="dxa"/>
          </w:tblCellMar>
        </w:tblPrEx>
        <w:tc>
          <w:tcPr>
            <w:tcW w:w="1644" w:type="dxa"/>
            <w:tcBorders>
              <w:top w:val="single" w:sz="4" w:space="0" w:color="auto"/>
              <w:bottom w:val="single" w:sz="4" w:space="0" w:color="auto"/>
            </w:tcBorders>
          </w:tcPr>
          <w:p w:rsidR="00000000" w:rsidRDefault="00457650">
            <w:pPr>
              <w:keepNext/>
              <w:keepLines/>
              <w:widowControl/>
              <w:tabs>
                <w:tab w:val="left" w:pos="630"/>
              </w:tabs>
              <w:spacing w:before="60" w:after="120" w:line="320" w:lineRule="exact"/>
              <w:jc w:val="center"/>
              <w:rPr>
                <w:rFonts w:ascii="KaiTi_GB2312" w:eastAsia="KaiTi_GB2312" w:hint="eastAsia"/>
                <w:sz w:val="18"/>
              </w:rPr>
            </w:pPr>
            <w:r>
              <w:rPr>
                <w:rFonts w:ascii="KaiTi_GB2312" w:eastAsia="KaiTi_GB2312"/>
                <w:sz w:val="18"/>
              </w:rPr>
              <w:t>1998</w:t>
            </w:r>
            <w:r>
              <w:rPr>
                <w:rFonts w:ascii="KaiTi_GB2312" w:eastAsia="KaiTi_GB2312" w:hint="eastAsia"/>
                <w:sz w:val="18"/>
              </w:rPr>
              <w:t>年</w:t>
            </w:r>
          </w:p>
        </w:tc>
        <w:tc>
          <w:tcPr>
            <w:tcW w:w="1644" w:type="dxa"/>
            <w:tcBorders>
              <w:top w:val="single" w:sz="4" w:space="0" w:color="auto"/>
              <w:bottom w:val="single" w:sz="4" w:space="0" w:color="auto"/>
            </w:tcBorders>
          </w:tcPr>
          <w:p w:rsidR="00000000" w:rsidRDefault="00457650">
            <w:pPr>
              <w:keepNext/>
              <w:keepLines/>
              <w:widowControl/>
              <w:tabs>
                <w:tab w:val="left" w:pos="630"/>
              </w:tabs>
              <w:spacing w:before="60" w:after="120" w:line="320" w:lineRule="exact"/>
              <w:jc w:val="center"/>
              <w:rPr>
                <w:rFonts w:ascii="KaiTi_GB2312" w:eastAsia="KaiTi_GB2312" w:hint="eastAsia"/>
                <w:sz w:val="18"/>
              </w:rPr>
            </w:pPr>
            <w:r>
              <w:rPr>
                <w:rFonts w:ascii="KaiTi_GB2312" w:eastAsia="KaiTi_GB2312"/>
                <w:sz w:val="18"/>
              </w:rPr>
              <w:t>1999</w:t>
            </w:r>
            <w:r>
              <w:rPr>
                <w:rFonts w:ascii="KaiTi_GB2312" w:eastAsia="KaiTi_GB2312" w:hint="eastAsia"/>
                <w:sz w:val="18"/>
              </w:rPr>
              <w:t>年</w:t>
            </w:r>
          </w:p>
        </w:tc>
        <w:tc>
          <w:tcPr>
            <w:tcW w:w="1645" w:type="dxa"/>
            <w:tcBorders>
              <w:top w:val="single" w:sz="4" w:space="0" w:color="auto"/>
              <w:bottom w:val="single" w:sz="4" w:space="0" w:color="auto"/>
            </w:tcBorders>
          </w:tcPr>
          <w:p w:rsidR="00000000" w:rsidRDefault="00457650">
            <w:pPr>
              <w:keepNext/>
              <w:keepLines/>
              <w:widowControl/>
              <w:tabs>
                <w:tab w:val="left" w:pos="630"/>
              </w:tabs>
              <w:spacing w:before="60" w:after="120" w:line="320" w:lineRule="exact"/>
              <w:jc w:val="center"/>
              <w:rPr>
                <w:rFonts w:ascii="KaiTi_GB2312" w:eastAsia="KaiTi_GB2312" w:hint="eastAsia"/>
                <w:sz w:val="18"/>
              </w:rPr>
            </w:pPr>
            <w:r>
              <w:rPr>
                <w:rFonts w:ascii="KaiTi_GB2312" w:eastAsia="KaiTi_GB2312"/>
                <w:sz w:val="18"/>
              </w:rPr>
              <w:t>2000</w:t>
            </w:r>
            <w:r>
              <w:rPr>
                <w:rFonts w:ascii="KaiTi_GB2312" w:eastAsia="KaiTi_GB2312" w:hint="eastAsia"/>
                <w:sz w:val="18"/>
              </w:rPr>
              <w:t>年</w:t>
            </w:r>
          </w:p>
        </w:tc>
        <w:tc>
          <w:tcPr>
            <w:tcW w:w="1644" w:type="dxa"/>
            <w:tcBorders>
              <w:top w:val="single" w:sz="4" w:space="0" w:color="auto"/>
              <w:bottom w:val="single" w:sz="4" w:space="0" w:color="auto"/>
            </w:tcBorders>
          </w:tcPr>
          <w:p w:rsidR="00000000" w:rsidRDefault="00457650">
            <w:pPr>
              <w:keepNext/>
              <w:keepLines/>
              <w:widowControl/>
              <w:tabs>
                <w:tab w:val="left" w:pos="630"/>
              </w:tabs>
              <w:spacing w:before="60" w:after="120" w:line="320" w:lineRule="exact"/>
              <w:jc w:val="center"/>
              <w:rPr>
                <w:rFonts w:ascii="KaiTi_GB2312" w:eastAsia="KaiTi_GB2312" w:hint="eastAsia"/>
                <w:sz w:val="18"/>
              </w:rPr>
            </w:pPr>
            <w:r>
              <w:rPr>
                <w:rFonts w:ascii="KaiTi_GB2312" w:eastAsia="KaiTi_GB2312"/>
                <w:sz w:val="18"/>
              </w:rPr>
              <w:t>2001</w:t>
            </w:r>
            <w:r>
              <w:rPr>
                <w:rFonts w:ascii="KaiTi_GB2312" w:eastAsia="KaiTi_GB2312" w:hint="eastAsia"/>
                <w:sz w:val="18"/>
              </w:rPr>
              <w:t>年</w:t>
            </w:r>
          </w:p>
        </w:tc>
        <w:tc>
          <w:tcPr>
            <w:tcW w:w="1644" w:type="dxa"/>
            <w:tcBorders>
              <w:top w:val="single" w:sz="4" w:space="0" w:color="auto"/>
              <w:bottom w:val="single" w:sz="4" w:space="0" w:color="auto"/>
            </w:tcBorders>
          </w:tcPr>
          <w:p w:rsidR="00000000" w:rsidRDefault="00457650">
            <w:pPr>
              <w:keepNext/>
              <w:keepLines/>
              <w:widowControl/>
              <w:tabs>
                <w:tab w:val="left" w:pos="630"/>
              </w:tabs>
              <w:spacing w:before="60" w:after="120" w:line="320" w:lineRule="exact"/>
              <w:jc w:val="center"/>
              <w:rPr>
                <w:rFonts w:ascii="KaiTi_GB2312" w:eastAsia="KaiTi_GB2312" w:hint="eastAsia"/>
                <w:sz w:val="18"/>
              </w:rPr>
            </w:pPr>
            <w:r>
              <w:rPr>
                <w:rFonts w:ascii="KaiTi_GB2312" w:eastAsia="KaiTi_GB2312"/>
                <w:sz w:val="18"/>
              </w:rPr>
              <w:t>2002</w:t>
            </w:r>
            <w:r>
              <w:rPr>
                <w:rFonts w:ascii="KaiTi_GB2312" w:eastAsia="KaiTi_GB2312" w:hint="eastAsia"/>
                <w:sz w:val="18"/>
              </w:rPr>
              <w:t>年</w:t>
            </w:r>
          </w:p>
        </w:tc>
        <w:tc>
          <w:tcPr>
            <w:tcW w:w="1645" w:type="dxa"/>
            <w:tcBorders>
              <w:top w:val="single" w:sz="4" w:space="0" w:color="auto"/>
              <w:bottom w:val="single" w:sz="4" w:space="0" w:color="auto"/>
            </w:tcBorders>
          </w:tcPr>
          <w:p w:rsidR="00000000" w:rsidRDefault="00457650">
            <w:pPr>
              <w:keepNext/>
              <w:keepLines/>
              <w:widowControl/>
              <w:tabs>
                <w:tab w:val="left" w:pos="630"/>
              </w:tabs>
              <w:spacing w:before="60" w:after="120" w:line="320" w:lineRule="exact"/>
              <w:jc w:val="center"/>
              <w:rPr>
                <w:rFonts w:ascii="KaiTi_GB2312" w:eastAsia="KaiTi_GB2312" w:hint="eastAsia"/>
                <w:sz w:val="18"/>
              </w:rPr>
            </w:pPr>
            <w:r>
              <w:rPr>
                <w:rFonts w:ascii="KaiTi_GB2312" w:eastAsia="KaiTi_GB2312"/>
                <w:sz w:val="18"/>
              </w:rPr>
              <w:t>2003</w:t>
            </w:r>
            <w:r>
              <w:rPr>
                <w:rFonts w:ascii="KaiTi_GB2312" w:eastAsia="KaiTi_GB2312" w:hint="eastAsia"/>
                <w:sz w:val="18"/>
              </w:rPr>
              <w:t>年</w:t>
            </w:r>
          </w:p>
        </w:tc>
      </w:tr>
      <w:tr w:rsidR="00000000">
        <w:tblPrEx>
          <w:tblCellMar>
            <w:top w:w="0" w:type="dxa"/>
            <w:bottom w:w="0" w:type="dxa"/>
          </w:tblCellMar>
        </w:tblPrEx>
        <w:tc>
          <w:tcPr>
            <w:tcW w:w="1644" w:type="dxa"/>
            <w:tcBorders>
              <w:top w:val="single" w:sz="4" w:space="0" w:color="auto"/>
              <w:bottom w:val="single" w:sz="4" w:space="0" w:color="auto"/>
            </w:tcBorders>
          </w:tcPr>
          <w:p w:rsidR="00000000" w:rsidRDefault="00457650">
            <w:pPr>
              <w:widowControl/>
              <w:tabs>
                <w:tab w:val="left" w:pos="630"/>
              </w:tabs>
              <w:spacing w:before="60" w:after="120" w:line="320" w:lineRule="exact"/>
              <w:jc w:val="center"/>
              <w:rPr>
                <w:sz w:val="18"/>
              </w:rPr>
            </w:pPr>
            <w:r>
              <w:rPr>
                <w:sz w:val="18"/>
              </w:rPr>
              <w:t>814 545.0</w:t>
            </w:r>
          </w:p>
        </w:tc>
        <w:tc>
          <w:tcPr>
            <w:tcW w:w="1644" w:type="dxa"/>
            <w:tcBorders>
              <w:top w:val="single" w:sz="4" w:space="0" w:color="auto"/>
              <w:bottom w:val="single" w:sz="4" w:space="0" w:color="auto"/>
            </w:tcBorders>
          </w:tcPr>
          <w:p w:rsidR="00000000" w:rsidRDefault="00457650">
            <w:pPr>
              <w:widowControl/>
              <w:tabs>
                <w:tab w:val="left" w:pos="630"/>
              </w:tabs>
              <w:spacing w:before="60" w:after="120" w:line="320" w:lineRule="exact"/>
              <w:jc w:val="center"/>
              <w:rPr>
                <w:sz w:val="18"/>
              </w:rPr>
            </w:pPr>
            <w:r>
              <w:rPr>
                <w:sz w:val="18"/>
              </w:rPr>
              <w:t>1 382 396.2</w:t>
            </w:r>
          </w:p>
        </w:tc>
        <w:tc>
          <w:tcPr>
            <w:tcW w:w="1645" w:type="dxa"/>
            <w:tcBorders>
              <w:top w:val="single" w:sz="4" w:space="0" w:color="auto"/>
              <w:bottom w:val="single" w:sz="4" w:space="0" w:color="auto"/>
            </w:tcBorders>
          </w:tcPr>
          <w:p w:rsidR="00000000" w:rsidRDefault="00457650">
            <w:pPr>
              <w:widowControl/>
              <w:tabs>
                <w:tab w:val="left" w:pos="630"/>
              </w:tabs>
              <w:spacing w:before="60" w:after="120" w:line="320" w:lineRule="exact"/>
              <w:jc w:val="center"/>
              <w:rPr>
                <w:sz w:val="18"/>
              </w:rPr>
            </w:pPr>
            <w:r>
              <w:rPr>
                <w:sz w:val="18"/>
              </w:rPr>
              <w:t>1</w:t>
            </w:r>
            <w:r>
              <w:rPr>
                <w:sz w:val="18"/>
              </w:rPr>
              <w:t xml:space="preserve"> 459 723.7</w:t>
            </w:r>
          </w:p>
        </w:tc>
        <w:tc>
          <w:tcPr>
            <w:tcW w:w="1644" w:type="dxa"/>
            <w:tcBorders>
              <w:top w:val="single" w:sz="4" w:space="0" w:color="auto"/>
              <w:bottom w:val="single" w:sz="4" w:space="0" w:color="auto"/>
            </w:tcBorders>
          </w:tcPr>
          <w:p w:rsidR="00000000" w:rsidRDefault="00457650">
            <w:pPr>
              <w:widowControl/>
              <w:tabs>
                <w:tab w:val="left" w:pos="630"/>
              </w:tabs>
              <w:spacing w:before="60" w:after="120" w:line="320" w:lineRule="exact"/>
              <w:jc w:val="center"/>
              <w:rPr>
                <w:sz w:val="18"/>
              </w:rPr>
            </w:pPr>
            <w:r>
              <w:rPr>
                <w:sz w:val="18"/>
              </w:rPr>
              <w:t>1 450 832.3</w:t>
            </w:r>
          </w:p>
        </w:tc>
        <w:tc>
          <w:tcPr>
            <w:tcW w:w="1644" w:type="dxa"/>
            <w:tcBorders>
              <w:top w:val="single" w:sz="4" w:space="0" w:color="auto"/>
              <w:bottom w:val="single" w:sz="4" w:space="0" w:color="auto"/>
            </w:tcBorders>
          </w:tcPr>
          <w:p w:rsidR="00000000" w:rsidRDefault="00457650">
            <w:pPr>
              <w:widowControl/>
              <w:tabs>
                <w:tab w:val="left" w:pos="630"/>
              </w:tabs>
              <w:spacing w:before="60" w:after="120" w:line="320" w:lineRule="exact"/>
              <w:jc w:val="center"/>
              <w:rPr>
                <w:sz w:val="18"/>
              </w:rPr>
            </w:pPr>
            <w:r>
              <w:rPr>
                <w:sz w:val="18"/>
              </w:rPr>
              <w:t>1 825 450.7</w:t>
            </w:r>
          </w:p>
        </w:tc>
        <w:tc>
          <w:tcPr>
            <w:tcW w:w="1645" w:type="dxa"/>
            <w:tcBorders>
              <w:top w:val="single" w:sz="4" w:space="0" w:color="auto"/>
              <w:bottom w:val="single" w:sz="4" w:space="0" w:color="auto"/>
            </w:tcBorders>
          </w:tcPr>
          <w:p w:rsidR="00000000" w:rsidRDefault="00457650">
            <w:pPr>
              <w:pStyle w:val="Header"/>
              <w:widowControl/>
              <w:pBdr>
                <w:bottom w:val="none" w:sz="0" w:space="0" w:color="auto"/>
              </w:pBdr>
              <w:tabs>
                <w:tab w:val="clear" w:pos="4320"/>
                <w:tab w:val="clear" w:pos="8640"/>
                <w:tab w:val="left" w:pos="630"/>
              </w:tabs>
              <w:spacing w:before="60" w:after="120" w:line="320" w:lineRule="exact"/>
            </w:pPr>
            <w:r>
              <w:t>2 017 997.5</w:t>
            </w:r>
          </w:p>
        </w:tc>
      </w:tr>
    </w:tbl>
    <w:p w:rsidR="00000000" w:rsidRDefault="00457650">
      <w:pPr>
        <w:widowControl/>
        <w:tabs>
          <w:tab w:val="left" w:pos="630"/>
        </w:tabs>
        <w:spacing w:after="240" w:line="360" w:lineRule="exact"/>
        <w:rPr>
          <w:rFonts w:hint="eastAsia"/>
          <w:iCs/>
          <w:sz w:val="18"/>
        </w:rPr>
      </w:pPr>
      <w:r>
        <w:rPr>
          <w:rFonts w:eastAsia="KaiTi_GB2312" w:hint="eastAsia"/>
          <w:iCs/>
          <w:sz w:val="18"/>
        </w:rPr>
        <w:t>资料来源</w:t>
      </w:r>
      <w:r>
        <w:rPr>
          <w:rFonts w:hint="eastAsia"/>
          <w:iCs/>
          <w:sz w:val="18"/>
        </w:rPr>
        <w:t>：国家文化和艺术委员会。</w:t>
      </w:r>
    </w:p>
    <w:p w:rsidR="00000000" w:rsidRDefault="00457650">
      <w:pPr>
        <w:widowControl/>
        <w:tabs>
          <w:tab w:val="left" w:pos="630"/>
        </w:tabs>
        <w:spacing w:after="240" w:line="380" w:lineRule="exact"/>
        <w:rPr>
          <w:rFonts w:hint="eastAsia"/>
        </w:rPr>
      </w:pPr>
      <w:r>
        <w:rPr>
          <w:rFonts w:hint="eastAsia"/>
        </w:rPr>
        <w:t>733.</w:t>
      </w:r>
      <w:r>
        <w:rPr>
          <w:rFonts w:hint="eastAsia"/>
        </w:rPr>
        <w:tab/>
      </w:r>
      <w:r>
        <w:rPr>
          <w:rFonts w:hint="eastAsia"/>
        </w:rPr>
        <w:t>文化联系和公民参与局负责通过联邦、州和市政府的合作项目推动墨西哥共和国各州与联邦政府的文化联系，还有在其计划和协调安排下的有组织社会参与。它负责管理全国</w:t>
      </w:r>
      <w:r>
        <w:rPr>
          <w:rFonts w:hint="eastAsia"/>
        </w:rPr>
        <w:t>31</w:t>
      </w:r>
      <w:r>
        <w:rPr>
          <w:rFonts w:hint="eastAsia"/>
        </w:rPr>
        <w:t>个州文化和艺术基金，借此在本国向艺术家提供开展传播各种文化项目的资金，并且由其当地社区的艺术家和知识分子进行评估和评价。在</w:t>
      </w:r>
      <w:r>
        <w:rPr>
          <w:rFonts w:hint="eastAsia"/>
        </w:rPr>
        <w:t>2003</w:t>
      </w:r>
      <w:r>
        <w:rPr>
          <w:rFonts w:hint="eastAsia"/>
        </w:rPr>
        <w:t>年期间，有</w:t>
      </w:r>
      <w:r>
        <w:rPr>
          <w:rFonts w:hint="eastAsia"/>
        </w:rPr>
        <w:t>1 399</w:t>
      </w:r>
      <w:r>
        <w:rPr>
          <w:rFonts w:hint="eastAsia"/>
        </w:rPr>
        <w:t>个项目得到了正面评价。</w:t>
      </w:r>
    </w:p>
    <w:p w:rsidR="00000000" w:rsidRDefault="00457650">
      <w:pPr>
        <w:widowControl/>
        <w:tabs>
          <w:tab w:val="left" w:pos="630"/>
        </w:tabs>
        <w:spacing w:after="240" w:line="380" w:lineRule="exact"/>
        <w:rPr>
          <w:rFonts w:hint="eastAsia"/>
        </w:rPr>
      </w:pPr>
      <w:r>
        <w:rPr>
          <w:rFonts w:hint="eastAsia"/>
        </w:rPr>
        <w:t>734.</w:t>
      </w:r>
      <w:r>
        <w:rPr>
          <w:rFonts w:hint="eastAsia"/>
        </w:rPr>
        <w:tab/>
      </w:r>
      <w:r>
        <w:rPr>
          <w:rFonts w:hint="eastAsia"/>
        </w:rPr>
        <w:t>大众和土著文化局长期以来一直通过</w:t>
      </w:r>
      <w:r>
        <w:rPr>
          <w:rFonts w:hint="eastAsia"/>
        </w:rPr>
        <w:t>由墨西哥不同部门所参与的涉及大众和流行文化的各种项目申请分配文化发展资金。已经建立</w:t>
      </w:r>
      <w:r>
        <w:rPr>
          <w:rFonts w:hint="eastAsia"/>
        </w:rPr>
        <w:t>26</w:t>
      </w:r>
      <w:r>
        <w:rPr>
          <w:rFonts w:hint="eastAsia"/>
        </w:rPr>
        <w:t>年之久的大众和土著文化局在全国各州均有负责管理项目的地区代表办公室，如土著文化一体化发展项目，该项目鼓励艺术和文学创作以及针对土著人的历史和民族研究。</w:t>
      </w:r>
    </w:p>
    <w:p w:rsidR="00000000" w:rsidRDefault="00457650">
      <w:pPr>
        <w:widowControl/>
        <w:tabs>
          <w:tab w:val="left" w:pos="630"/>
        </w:tabs>
        <w:spacing w:after="240" w:line="380" w:lineRule="exact"/>
        <w:rPr>
          <w:rFonts w:hint="eastAsia"/>
        </w:rPr>
      </w:pPr>
      <w:r>
        <w:rPr>
          <w:rFonts w:hint="eastAsia"/>
        </w:rPr>
        <w:t>735.</w:t>
      </w:r>
      <w:r>
        <w:rPr>
          <w:rFonts w:hint="eastAsia"/>
        </w:rPr>
        <w:tab/>
      </w:r>
      <w:r>
        <w:rPr>
          <w:rFonts w:hint="eastAsia"/>
        </w:rPr>
        <w:t>国家大众艺术项目为男女工匠和艺术家提供培训和技术援助活动，同时还开展保护墨西哥传统知识和工艺，以及实物、图像和象形艺术的活动。同样，城市和社区文化支持项目也旨在支持国家机构代表墨西哥土著和大众文化开展工作，向它们提出项目发展建议，并为它们提供补充经济资源对项目进行</w:t>
      </w:r>
      <w:r>
        <w:rPr>
          <w:rFonts w:hint="eastAsia"/>
        </w:rPr>
        <w:t>资助。</w:t>
      </w:r>
    </w:p>
    <w:p w:rsidR="00000000" w:rsidRDefault="00457650">
      <w:pPr>
        <w:widowControl/>
        <w:tabs>
          <w:tab w:val="left" w:pos="630"/>
        </w:tabs>
        <w:spacing w:after="240" w:line="380" w:lineRule="exact"/>
        <w:rPr>
          <w:rFonts w:hint="eastAsia"/>
        </w:rPr>
      </w:pPr>
      <w:r>
        <w:rPr>
          <w:rFonts w:hint="eastAsia"/>
        </w:rPr>
        <w:t>736.</w:t>
      </w:r>
      <w:r>
        <w:rPr>
          <w:rFonts w:hint="eastAsia"/>
        </w:rPr>
        <w:tab/>
      </w:r>
      <w:r>
        <w:rPr>
          <w:rFonts w:hint="eastAsia"/>
        </w:rPr>
        <w:t>关于电影业，高水平电影制作基金收到来自联邦政府的初期单笔捐款</w:t>
      </w:r>
      <w:r>
        <w:rPr>
          <w:rFonts w:hint="eastAsia"/>
        </w:rPr>
        <w:t>13 500</w:t>
      </w:r>
      <w:r>
        <w:rPr>
          <w:rFonts w:hint="eastAsia"/>
        </w:rPr>
        <w:t>万比索，用以在</w:t>
      </w:r>
      <w:r>
        <w:rPr>
          <w:rFonts w:hint="eastAsia"/>
        </w:rPr>
        <w:t>1998</w:t>
      </w:r>
      <w:r>
        <w:rPr>
          <w:rFonts w:hint="eastAsia"/>
        </w:rPr>
        <w:t>年</w:t>
      </w:r>
      <w:r>
        <w:rPr>
          <w:rFonts w:hint="eastAsia"/>
        </w:rPr>
        <w:t>1</w:t>
      </w:r>
      <w:r>
        <w:rPr>
          <w:rFonts w:hint="eastAsia"/>
        </w:rPr>
        <w:t>月开始运行。自其创始到</w:t>
      </w:r>
      <w:r>
        <w:rPr>
          <w:rFonts w:hint="eastAsia"/>
        </w:rPr>
        <w:t>2003</w:t>
      </w:r>
      <w:r>
        <w:rPr>
          <w:rFonts w:hint="eastAsia"/>
        </w:rPr>
        <w:t>年，它扶持了</w:t>
      </w:r>
      <w:r>
        <w:rPr>
          <w:rFonts w:hint="eastAsia"/>
        </w:rPr>
        <w:t>47</w:t>
      </w:r>
      <w:r>
        <w:rPr>
          <w:rFonts w:hint="eastAsia"/>
        </w:rPr>
        <w:t>部长篇电影的制作（全国总制作量的</w:t>
      </w:r>
      <w:r>
        <w:rPr>
          <w:rFonts w:hint="eastAsia"/>
        </w:rPr>
        <w:t>50%</w:t>
      </w:r>
      <w:r>
        <w:rPr>
          <w:rFonts w:hint="eastAsia"/>
        </w:rPr>
        <w:t>），其中</w:t>
      </w:r>
      <w:r>
        <w:rPr>
          <w:rFonts w:hint="eastAsia"/>
        </w:rPr>
        <w:t>40%</w:t>
      </w:r>
      <w:r>
        <w:rPr>
          <w:rFonts w:hint="eastAsia"/>
        </w:rPr>
        <w:t>进行了播映，它们参加电影节和影展获得了高度评价，获得了</w:t>
      </w:r>
      <w:r>
        <w:rPr>
          <w:rFonts w:hint="eastAsia"/>
        </w:rPr>
        <w:t>86</w:t>
      </w:r>
      <w:r>
        <w:rPr>
          <w:rFonts w:hint="eastAsia"/>
        </w:rPr>
        <w:t>项国际大奖和</w:t>
      </w:r>
      <w:r>
        <w:rPr>
          <w:rFonts w:hint="eastAsia"/>
        </w:rPr>
        <w:t>137</w:t>
      </w:r>
      <w:r>
        <w:rPr>
          <w:rFonts w:hint="eastAsia"/>
        </w:rPr>
        <w:t>项全国大奖。</w:t>
      </w:r>
    </w:p>
    <w:p w:rsidR="00000000" w:rsidRDefault="00457650">
      <w:pPr>
        <w:widowControl/>
        <w:tabs>
          <w:tab w:val="left" w:pos="630"/>
        </w:tabs>
        <w:spacing w:after="240" w:line="380" w:lineRule="exact"/>
        <w:rPr>
          <w:rFonts w:hint="eastAsia"/>
        </w:rPr>
      </w:pPr>
      <w:r>
        <w:rPr>
          <w:rFonts w:hint="eastAsia"/>
        </w:rPr>
        <w:t>737.</w:t>
      </w:r>
      <w:r>
        <w:rPr>
          <w:rFonts w:hint="eastAsia"/>
        </w:rPr>
        <w:tab/>
      </w:r>
      <w:r>
        <w:rPr>
          <w:rFonts w:hint="eastAsia"/>
        </w:rPr>
        <w:t>电影投资和促进基金在</w:t>
      </w:r>
      <w:r>
        <w:rPr>
          <w:rFonts w:hint="eastAsia"/>
        </w:rPr>
        <w:t>2001</w:t>
      </w:r>
      <w:r>
        <w:rPr>
          <w:rFonts w:hint="eastAsia"/>
        </w:rPr>
        <w:t>年收到联邦政府捐款</w:t>
      </w:r>
      <w:r>
        <w:rPr>
          <w:rFonts w:hint="eastAsia"/>
        </w:rPr>
        <w:t>7 000</w:t>
      </w:r>
      <w:r>
        <w:rPr>
          <w:rFonts w:hint="eastAsia"/>
        </w:rPr>
        <w:t>万比索，</w:t>
      </w:r>
      <w:r>
        <w:rPr>
          <w:rFonts w:hint="eastAsia"/>
        </w:rPr>
        <w:t>2003</w:t>
      </w:r>
      <w:r>
        <w:rPr>
          <w:rFonts w:hint="eastAsia"/>
        </w:rPr>
        <w:t>年又收到</w:t>
      </w:r>
      <w:r>
        <w:rPr>
          <w:rFonts w:hint="eastAsia"/>
        </w:rPr>
        <w:t>7 000</w:t>
      </w:r>
      <w:r>
        <w:rPr>
          <w:rFonts w:hint="eastAsia"/>
        </w:rPr>
        <w:t>万比索捐款。自其创始到</w:t>
      </w:r>
      <w:r>
        <w:rPr>
          <w:rFonts w:hint="eastAsia"/>
        </w:rPr>
        <w:t>2003</w:t>
      </w:r>
      <w:r>
        <w:rPr>
          <w:rFonts w:hint="eastAsia"/>
        </w:rPr>
        <w:t>年，该基金为</w:t>
      </w:r>
      <w:r>
        <w:rPr>
          <w:rFonts w:hint="eastAsia"/>
        </w:rPr>
        <w:t>16</w:t>
      </w:r>
      <w:r>
        <w:rPr>
          <w:rFonts w:hint="eastAsia"/>
        </w:rPr>
        <w:t>部长篇电影的制作提供了资金，这使其实质性地参与了全国电影的制作</w:t>
      </w:r>
      <w:r>
        <w:rPr>
          <w:rFonts w:hint="eastAsia"/>
        </w:rPr>
        <w:t>，其中四部电影被放映。根据《联邦电影摄影法》第</w:t>
      </w:r>
      <w:r>
        <w:rPr>
          <w:rFonts w:hint="eastAsia"/>
        </w:rPr>
        <w:t>34</w:t>
      </w:r>
      <w:r>
        <w:rPr>
          <w:rFonts w:hint="eastAsia"/>
        </w:rPr>
        <w:t>条第</w:t>
      </w:r>
      <w:r>
        <w:rPr>
          <w:rFonts w:hint="eastAsia"/>
        </w:rPr>
        <w:t>2</w:t>
      </w:r>
      <w:r>
        <w:rPr>
          <w:rFonts w:hint="eastAsia"/>
        </w:rPr>
        <w:t>款，财政部有义务在每年的联邦预算开支中拨出专款提供给该基金。“</w:t>
      </w:r>
      <w:r>
        <w:rPr>
          <w:rFonts w:hint="eastAsia"/>
        </w:rPr>
        <w:t>2001</w:t>
      </w:r>
      <w:r>
        <w:t>-</w:t>
      </w:r>
      <w:r>
        <w:rPr>
          <w:rFonts w:hint="eastAsia"/>
        </w:rPr>
        <w:t>2006</w:t>
      </w:r>
      <w:r>
        <w:rPr>
          <w:rFonts w:hint="eastAsia"/>
        </w:rPr>
        <w:t>年国家文化计划是落实同期国家发展规划各项战略并确保文化部门从人性化角度促进社会发展的文件，其中承认社会的多样性、开放性并确保在文化领域为人们提供各种机会和服务，尊重言论和创作自由，这是其结构的永恒中心。其主要工作领域是研究和保护文化遗产；大众和土著文化；遗产，发展和旅游；鼓励艺术创作；艺术文化领域的教育研究；文化传播；阅读和书籍；声像媒体；文化联系和公民参与以及国际合作。</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66</w:t>
      </w:r>
      <w:r>
        <w:rPr>
          <w:rFonts w:ascii="SimHei" w:eastAsia="SimHei" w:hint="eastAsia"/>
        </w:rPr>
        <w:t>段（</w:t>
      </w:r>
      <w:r>
        <w:rPr>
          <w:rFonts w:ascii="SimHei" w:eastAsia="SimHei" w:hint="eastAsia"/>
        </w:rPr>
        <w:t>b</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738.</w:t>
      </w:r>
      <w:r>
        <w:rPr>
          <w:rFonts w:hint="eastAsia"/>
        </w:rPr>
        <w:tab/>
      </w:r>
      <w:r>
        <w:rPr>
          <w:rFonts w:hint="eastAsia"/>
        </w:rPr>
        <w:t>国家文化和艺术委员会，通过国家文化和艺术基金，开展了许多能促进国家文化基础设施发展和推动基层参与文化领域的活动。这些项目如下：</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“剧院社区表演”。在这方面，自</w:t>
      </w:r>
      <w:r>
        <w:rPr>
          <w:rFonts w:hint="eastAsia"/>
        </w:rPr>
        <w:t>1998</w:t>
      </w:r>
      <w:r>
        <w:rPr>
          <w:rFonts w:hint="eastAsia"/>
        </w:rPr>
        <w:t>年到</w:t>
      </w:r>
      <w:r>
        <w:rPr>
          <w:rFonts w:hint="eastAsia"/>
        </w:rPr>
        <w:t>2003</w:t>
      </w:r>
      <w:r>
        <w:rPr>
          <w:rFonts w:hint="eastAsia"/>
        </w:rPr>
        <w:t>年期间，共表演了</w:t>
      </w:r>
      <w:r>
        <w:rPr>
          <w:rFonts w:hint="eastAsia"/>
        </w:rPr>
        <w:t>10 000</w:t>
      </w:r>
      <w:r>
        <w:rPr>
          <w:rFonts w:hint="eastAsia"/>
        </w:rPr>
        <w:t>多场演出，制作首演了</w:t>
      </w:r>
      <w:r>
        <w:rPr>
          <w:rFonts w:hint="eastAsia"/>
        </w:rPr>
        <w:t>1 200</w:t>
      </w:r>
      <w:r>
        <w:rPr>
          <w:rFonts w:hint="eastAsia"/>
        </w:rPr>
        <w:t>多部作品，服务了</w:t>
      </w:r>
      <w:r>
        <w:rPr>
          <w:rFonts w:hint="eastAsia"/>
        </w:rPr>
        <w:t>200</w:t>
      </w:r>
      <w:r>
        <w:rPr>
          <w:rFonts w:hint="eastAsia"/>
        </w:rPr>
        <w:t>万人。</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支持专业舞台艺术团体是国家文化和艺术基金的最新倡议，它于</w:t>
      </w:r>
      <w:r>
        <w:rPr>
          <w:rFonts w:hint="eastAsia"/>
        </w:rPr>
        <w:t>2003</w:t>
      </w:r>
      <w:r>
        <w:rPr>
          <w:rFonts w:hint="eastAsia"/>
        </w:rPr>
        <w:t>年</w:t>
      </w:r>
      <w:r>
        <w:rPr>
          <w:rFonts w:hint="eastAsia"/>
        </w:rPr>
        <w:t>10</w:t>
      </w:r>
      <w:r>
        <w:rPr>
          <w:rFonts w:hint="eastAsia"/>
        </w:rPr>
        <w:t>月首次公开提出。该项目旨在至少为全国</w:t>
      </w:r>
      <w:r>
        <w:rPr>
          <w:rFonts w:hint="eastAsia"/>
        </w:rPr>
        <w:t>30</w:t>
      </w:r>
      <w:r>
        <w:rPr>
          <w:rFonts w:hint="eastAsia"/>
        </w:rPr>
        <w:t>个艺术团体各提供</w:t>
      </w:r>
      <w:r>
        <w:rPr>
          <w:rFonts w:hint="eastAsia"/>
        </w:rPr>
        <w:t>100</w:t>
      </w:r>
      <w:r>
        <w:rPr>
          <w:rFonts w:hint="eastAsia"/>
        </w:rPr>
        <w:t>万比索的资助。</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“公共图书馆数字化服务项目”。该项目旨在帮助提高低收入人群的生活质量，向</w:t>
      </w:r>
      <w:r>
        <w:rPr>
          <w:rFonts w:hint="eastAsia"/>
        </w:rPr>
        <w:t>他们提供信息通信技术（计算机、网址、打印机、因特网等等）。国家文化和艺术基金作为国家文化和艺术委员会的融资机构，管理“比尔和梅林达·</w:t>
      </w:r>
      <w:r>
        <w:rPr>
          <w:rFonts w:hint="eastAsia"/>
        </w:rPr>
        <w:t xml:space="preserve"> </w:t>
      </w:r>
      <w:r>
        <w:rPr>
          <w:rFonts w:hint="eastAsia"/>
        </w:rPr>
        <w:t>盖茨基金会”的捐款，用来采购设备，运营该项目，该项目由国家文化和艺术委员会图书馆管理局连同许多联邦政府机构制定。</w:t>
      </w:r>
      <w:r>
        <w:rPr>
          <w:rFonts w:hint="eastAsia"/>
        </w:rPr>
        <w:t>2003</w:t>
      </w:r>
      <w:r>
        <w:rPr>
          <w:rFonts w:hint="eastAsia"/>
        </w:rPr>
        <w:t>年，为</w:t>
      </w:r>
      <w:r>
        <w:rPr>
          <w:rFonts w:hint="eastAsia"/>
        </w:rPr>
        <w:t>657</w:t>
      </w:r>
      <w:r>
        <w:rPr>
          <w:rFonts w:hint="eastAsia"/>
        </w:rPr>
        <w:t>个公共图书馆购买了计算机设备。</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建设墨西哥“何</w:t>
      </w:r>
      <w:r>
        <w:t>塞</w:t>
      </w:r>
      <w:r>
        <w:rPr>
          <w:rFonts w:hint="eastAsia"/>
        </w:rPr>
        <w:t>·</w:t>
      </w:r>
      <w:r>
        <w:t>华斯康西罗</w:t>
      </w:r>
      <w:r>
        <w:rPr>
          <w:rFonts w:hint="eastAsia"/>
        </w:rPr>
        <w:t>”图书馆。该项目通过国际竞争实施，</w:t>
      </w:r>
      <w:r>
        <w:rPr>
          <w:rFonts w:hint="eastAsia"/>
        </w:rPr>
        <w:t>592</w:t>
      </w:r>
      <w:r>
        <w:rPr>
          <w:rFonts w:hint="eastAsia"/>
        </w:rPr>
        <w:t>份参赛方案来自</w:t>
      </w:r>
      <w:r>
        <w:rPr>
          <w:rFonts w:hint="eastAsia"/>
        </w:rPr>
        <w:t>32</w:t>
      </w:r>
      <w:r>
        <w:rPr>
          <w:rFonts w:hint="eastAsia"/>
        </w:rPr>
        <w:t>个国家。</w:t>
      </w:r>
      <w:r>
        <w:rPr>
          <w:rFonts w:hint="eastAsia"/>
        </w:rPr>
        <w:t>2002</w:t>
      </w:r>
      <w:r>
        <w:rPr>
          <w:rFonts w:hint="eastAsia"/>
        </w:rPr>
        <w:t>年</w:t>
      </w:r>
      <w:r>
        <w:rPr>
          <w:rFonts w:hint="eastAsia"/>
        </w:rPr>
        <w:t>10</w:t>
      </w:r>
      <w:r>
        <w:rPr>
          <w:rFonts w:hint="eastAsia"/>
        </w:rPr>
        <w:t>月</w:t>
      </w:r>
      <w:r>
        <w:rPr>
          <w:rFonts w:hint="eastAsia"/>
        </w:rPr>
        <w:t>3</w:t>
      </w:r>
      <w:r>
        <w:rPr>
          <w:rFonts w:hint="eastAsia"/>
        </w:rPr>
        <w:t>日，国际评委会宣布一个墨西哥建筑师团体提交的初步方案获胜。</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扶持艺术和工艺设计项目。国家文化和艺术基金</w:t>
      </w:r>
      <w:r>
        <w:rPr>
          <w:rFonts w:hint="eastAsia"/>
        </w:rPr>
        <w:t>与大众和土著文化局共同开展该项目扶持艺术和工艺的发展，向投身于创造生产墨西哥艺术和工艺品的社区团体提供支持和培训。</w:t>
      </w:r>
    </w:p>
    <w:p w:rsidR="00000000" w:rsidRDefault="00457650">
      <w:pPr>
        <w:widowControl/>
        <w:tabs>
          <w:tab w:val="left" w:pos="630"/>
        </w:tabs>
        <w:spacing w:after="240" w:line="360" w:lineRule="exact"/>
        <w:rPr>
          <w:rFonts w:hint="eastAsia"/>
        </w:rPr>
      </w:pPr>
      <w:r>
        <w:rPr>
          <w:rFonts w:hint="eastAsia"/>
        </w:rPr>
        <w:t>739.</w:t>
      </w:r>
      <w:r>
        <w:rPr>
          <w:rFonts w:hint="eastAsia"/>
        </w:rPr>
        <w:tab/>
      </w:r>
      <w:r>
        <w:rPr>
          <w:rFonts w:hint="eastAsia"/>
        </w:rPr>
        <w:t>国家文化和艺术委员会下设各机构拥有以下基础设施：</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国家人类学和历史研究所有</w:t>
      </w:r>
      <w:r>
        <w:rPr>
          <w:rFonts w:hint="eastAsia"/>
        </w:rPr>
        <w:t>112</w:t>
      </w:r>
      <w:r>
        <w:rPr>
          <w:rFonts w:hint="eastAsia"/>
        </w:rPr>
        <w:t>个博物馆、</w:t>
      </w:r>
      <w:r>
        <w:rPr>
          <w:rFonts w:hint="eastAsia"/>
        </w:rPr>
        <w:t>173</w:t>
      </w:r>
      <w:r>
        <w:rPr>
          <w:rFonts w:hint="eastAsia"/>
        </w:rPr>
        <w:t>个考古遗址、</w:t>
      </w:r>
      <w:r>
        <w:rPr>
          <w:rFonts w:hint="eastAsia"/>
        </w:rPr>
        <w:t>79</w:t>
      </w:r>
      <w:r>
        <w:rPr>
          <w:rFonts w:hint="eastAsia"/>
        </w:rPr>
        <w:t>个固定历史纪念碑、</w:t>
      </w:r>
      <w:r>
        <w:rPr>
          <w:rFonts w:hint="eastAsia"/>
        </w:rPr>
        <w:t>51</w:t>
      </w:r>
      <w:r>
        <w:rPr>
          <w:rFonts w:hint="eastAsia"/>
        </w:rPr>
        <w:t>个图书馆和</w:t>
      </w:r>
      <w:r>
        <w:rPr>
          <w:rFonts w:hint="eastAsia"/>
        </w:rPr>
        <w:t>12</w:t>
      </w:r>
      <w:r>
        <w:rPr>
          <w:rFonts w:hint="eastAsia"/>
        </w:rPr>
        <w:t>个图像图书馆向公众开放。</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国家艺术院有</w:t>
      </w:r>
      <w:r>
        <w:rPr>
          <w:rFonts w:hint="eastAsia"/>
        </w:rPr>
        <w:t>15</w:t>
      </w:r>
      <w:r>
        <w:rPr>
          <w:rFonts w:hint="eastAsia"/>
        </w:rPr>
        <w:t>个博物馆。在艺术教育领域，它拥有</w:t>
      </w:r>
      <w:r>
        <w:rPr>
          <w:rFonts w:hint="eastAsia"/>
        </w:rPr>
        <w:t>29</w:t>
      </w:r>
      <w:r>
        <w:rPr>
          <w:rFonts w:hint="eastAsia"/>
        </w:rPr>
        <w:t>所学校，从基础教育到高等教育。艺术方面的研究、文献和信息以四个国家中心为基础展开，专门涉及音乐、舞蹈、戏剧和造型艺术。</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国家艺术中心包括五个教育机构：戏剧艺术学</w:t>
      </w:r>
      <w:r>
        <w:rPr>
          <w:rFonts w:hint="eastAsia"/>
        </w:rPr>
        <w:t>校、电影摄影培训中心、国家古典和当代舞蹈学校、国家音乐学校和“拉埃斯梅拉达”国家绘画、雕塑和雕刻学校，同时还有四个关于戏剧、造型艺术、音乐和舞蹈的研究中心，另外还有艺术和多媒体中心图书馆以及许多画廊、剧院、展厅、展览论坛、电影院、来自墨西哥和其他国家的其他艺术和文化活动。</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希腊文化中心有两个剧院和两个多用途场地：希腊剧院是著名演员和导演举行大型表演的地方。它能容纳</w:t>
      </w:r>
      <w:r>
        <w:rPr>
          <w:rFonts w:hint="eastAsia"/>
        </w:rPr>
        <w:t>460</w:t>
      </w:r>
      <w:r>
        <w:rPr>
          <w:rFonts w:hint="eastAsia"/>
        </w:rPr>
        <w:t>人，适合为广大公众举行演出。“小剧院”是举行各种戏剧表演的地方，其中大多是寻求创建自己风格的年轻艺术家和艺术团体。它能容纳</w:t>
      </w:r>
      <w:r>
        <w:rPr>
          <w:rFonts w:hint="eastAsia"/>
        </w:rPr>
        <w:t>80</w:t>
      </w:r>
      <w:r>
        <w:rPr>
          <w:rFonts w:hint="eastAsia"/>
        </w:rPr>
        <w:t>到</w:t>
      </w:r>
      <w:r>
        <w:rPr>
          <w:rFonts w:hint="eastAsia"/>
        </w:rPr>
        <w:t>100</w:t>
      </w:r>
      <w:r>
        <w:rPr>
          <w:rFonts w:hint="eastAsia"/>
        </w:rPr>
        <w:t>名观众</w:t>
      </w:r>
      <w:r>
        <w:rPr>
          <w:rFonts w:hint="eastAsia"/>
        </w:rPr>
        <w:t>。“哥特会堂”是一座</w:t>
      </w:r>
      <w:r>
        <w:rPr>
          <w:rFonts w:hint="eastAsia"/>
        </w:rPr>
        <w:t>16</w:t>
      </w:r>
      <w:r>
        <w:rPr>
          <w:rFonts w:hint="eastAsia"/>
        </w:rPr>
        <w:t>世纪的西班牙哥特式建筑，拥有</w:t>
      </w:r>
      <w:r>
        <w:rPr>
          <w:rFonts w:hint="eastAsia"/>
        </w:rPr>
        <w:t>200</w:t>
      </w:r>
      <w:r>
        <w:rPr>
          <w:rFonts w:hint="eastAsia"/>
        </w:rPr>
        <w:t>个座位，主要用于举办古典音乐会、图书发布会和其他不破坏建筑物状况的活动。“回廊”是一片露天空地，用于举行儿童作品、音乐会和古典戏剧，有</w:t>
      </w:r>
      <w:r>
        <w:rPr>
          <w:rFonts w:hint="eastAsia"/>
        </w:rPr>
        <w:t>200</w:t>
      </w:r>
      <w:r>
        <w:rPr>
          <w:rFonts w:hint="eastAsia"/>
        </w:rPr>
        <w:t>个座位。在这里每周平均上演</w:t>
      </w:r>
      <w:r>
        <w:rPr>
          <w:rFonts w:hint="eastAsia"/>
        </w:rPr>
        <w:t>15</w:t>
      </w:r>
      <w:r>
        <w:rPr>
          <w:rFonts w:hint="eastAsia"/>
        </w:rPr>
        <w:t>部作品；每年举行</w:t>
      </w:r>
      <w:r>
        <w:rPr>
          <w:rFonts w:hint="eastAsia"/>
        </w:rPr>
        <w:t>50</w:t>
      </w:r>
      <w:r>
        <w:rPr>
          <w:rFonts w:hint="eastAsia"/>
        </w:rPr>
        <w:t>多种不同的表演和</w:t>
      </w:r>
      <w:r>
        <w:rPr>
          <w:rFonts w:hint="eastAsia"/>
        </w:rPr>
        <w:t>700</w:t>
      </w:r>
      <w:r>
        <w:rPr>
          <w:rFonts w:hint="eastAsia"/>
        </w:rPr>
        <w:t>多场仪式；每年观看这些演出的观众达</w:t>
      </w:r>
      <w:r>
        <w:rPr>
          <w:rFonts w:hint="eastAsia"/>
        </w:rPr>
        <w:t>80 000</w:t>
      </w:r>
      <w:r>
        <w:rPr>
          <w:rFonts w:hint="eastAsia"/>
        </w:rPr>
        <w:t>人。</w:t>
      </w:r>
    </w:p>
    <w:p w:rsidR="00000000" w:rsidRDefault="00457650">
      <w:pPr>
        <w:widowControl/>
        <w:tabs>
          <w:tab w:val="left" w:pos="630"/>
        </w:tabs>
        <w:spacing w:after="240" w:line="360" w:lineRule="exact"/>
        <w:rPr>
          <w:rFonts w:hint="eastAsia"/>
        </w:rPr>
      </w:pPr>
      <w:r>
        <w:rPr>
          <w:rFonts w:hint="eastAsia"/>
        </w:rPr>
        <w:t>740.</w:t>
      </w:r>
      <w:r>
        <w:rPr>
          <w:rFonts w:hint="eastAsia"/>
        </w:rPr>
        <w:tab/>
      </w:r>
      <w:r>
        <w:rPr>
          <w:rFonts w:hint="eastAsia"/>
        </w:rPr>
        <w:t>关于电影院，墨西哥有私人商业影院</w:t>
      </w:r>
      <w:r>
        <w:rPr>
          <w:rFonts w:hint="eastAsia"/>
        </w:rPr>
        <w:t>3 054</w:t>
      </w:r>
      <w:r>
        <w:rPr>
          <w:rFonts w:hint="eastAsia"/>
        </w:rPr>
        <w:t>个。另外，在大多数高度教育机构和文化中心都有放映文化电影的场所，其中包括国家电影图书馆和</w:t>
      </w:r>
      <w:r>
        <w:rPr>
          <w:rFonts w:hint="eastAsia"/>
        </w:rPr>
        <w:t>UNAM</w:t>
      </w:r>
      <w:r>
        <w:rPr>
          <w:rFonts w:hint="eastAsia"/>
        </w:rPr>
        <w:t>电影图书馆。</w:t>
      </w:r>
    </w:p>
    <w:p w:rsidR="00000000" w:rsidRDefault="00457650">
      <w:pPr>
        <w:widowControl/>
        <w:tabs>
          <w:tab w:val="left" w:pos="630"/>
        </w:tabs>
        <w:spacing w:after="240" w:line="360" w:lineRule="exact"/>
        <w:rPr>
          <w:rFonts w:hint="eastAsia"/>
        </w:rPr>
      </w:pPr>
      <w:r>
        <w:rPr>
          <w:rFonts w:hint="eastAsia"/>
        </w:rPr>
        <w:t>741.</w:t>
      </w:r>
      <w:r>
        <w:rPr>
          <w:rFonts w:hint="eastAsia"/>
        </w:rPr>
        <w:tab/>
      </w:r>
      <w:r>
        <w:rPr>
          <w:rFonts w:hint="eastAsia"/>
        </w:rPr>
        <w:t>同时，图书馆管理局</w:t>
      </w:r>
      <w:r>
        <w:rPr>
          <w:rFonts w:hint="eastAsia"/>
        </w:rPr>
        <w:t>负责协调国家公共图书馆网络，该网络由分布在墨西哥全国各地的</w:t>
      </w:r>
      <w:r>
        <w:rPr>
          <w:rFonts w:hint="eastAsia"/>
        </w:rPr>
        <w:t>6 412</w:t>
      </w:r>
      <w:r>
        <w:rPr>
          <w:rFonts w:hint="eastAsia"/>
        </w:rPr>
        <w:t>个图书馆组成，联邦、州和市政府参与了这些图书馆的运营。它们总共藏书接近</w:t>
      </w:r>
      <w:r>
        <w:rPr>
          <w:rFonts w:hint="eastAsia"/>
        </w:rPr>
        <w:t>3 200</w:t>
      </w:r>
      <w:r>
        <w:rPr>
          <w:rFonts w:hint="eastAsia"/>
        </w:rPr>
        <w:t>万册，每年的查询率约为</w:t>
      </w:r>
      <w:r>
        <w:rPr>
          <w:rFonts w:hint="eastAsia"/>
        </w:rPr>
        <w:t>8</w:t>
      </w:r>
      <w:r>
        <w:rPr>
          <w:rFonts w:hint="eastAsia"/>
        </w:rPr>
        <w:t>亿次。公共图书馆包括基本作品、参考作品、期刊和儿童读物。为公众提供免费服务：网上借阅、带走借阅、参考查阅和指导，同时有些图书馆最近可以开通了因特网服务。</w:t>
      </w:r>
    </w:p>
    <w:p w:rsidR="00000000" w:rsidRDefault="00457650">
      <w:pPr>
        <w:widowControl/>
        <w:tabs>
          <w:tab w:val="left" w:pos="630"/>
        </w:tabs>
        <w:spacing w:after="240" w:line="360" w:lineRule="exact"/>
        <w:rPr>
          <w:rFonts w:hint="eastAsia"/>
        </w:rPr>
      </w:pPr>
      <w:r>
        <w:rPr>
          <w:rFonts w:hint="eastAsia"/>
        </w:rPr>
        <w:t>742.</w:t>
      </w:r>
      <w:r>
        <w:rPr>
          <w:rFonts w:hint="eastAsia"/>
        </w:rPr>
        <w:tab/>
      </w:r>
      <w:r>
        <w:rPr>
          <w:rFonts w:hint="eastAsia"/>
        </w:rPr>
        <w:t>出版局的主要宗旨是协助在墨西哥形成读书风气。为此，它向国家公共图书馆网络提供目录材料并组织阅览室，目前有</w:t>
      </w:r>
      <w:r>
        <w:rPr>
          <w:rFonts w:hint="eastAsia"/>
        </w:rPr>
        <w:t>3 800</w:t>
      </w:r>
      <w:r>
        <w:rPr>
          <w:rFonts w:hint="eastAsia"/>
        </w:rPr>
        <w:t>多个阅览室分布在墨西哥和美国一些墨西哥人口聚集的州。</w:t>
      </w:r>
      <w:r>
        <w:rPr>
          <w:rFonts w:hint="eastAsia"/>
        </w:rPr>
        <w:t>EDUCA</w:t>
      </w:r>
      <w:r>
        <w:rPr>
          <w:rFonts w:hint="eastAsia"/>
        </w:rPr>
        <w:t>L</w:t>
      </w:r>
      <w:r>
        <w:rPr>
          <w:rFonts w:hint="eastAsia"/>
        </w:rPr>
        <w:t>是负责发行销售国家文化和艺术委员会各领域出版物和文化产品的单位，同时还销售联邦政府、州和市政府及其他公共部门出版的作品。它在墨西哥城有</w:t>
      </w:r>
      <w:r>
        <w:rPr>
          <w:rFonts w:hint="eastAsia"/>
        </w:rPr>
        <w:t>19</w:t>
      </w:r>
      <w:r>
        <w:rPr>
          <w:rFonts w:hint="eastAsia"/>
        </w:rPr>
        <w:t>个书店，在内地有</w:t>
      </w:r>
      <w:r>
        <w:rPr>
          <w:rFonts w:hint="eastAsia"/>
        </w:rPr>
        <w:t>37</w:t>
      </w:r>
      <w:r>
        <w:rPr>
          <w:rFonts w:hint="eastAsia"/>
        </w:rPr>
        <w:t>个。</w:t>
      </w:r>
    </w:p>
    <w:p w:rsidR="00000000" w:rsidRDefault="00457650">
      <w:pPr>
        <w:widowControl/>
        <w:tabs>
          <w:tab w:val="left" w:pos="630"/>
        </w:tabs>
        <w:spacing w:after="240" w:line="360" w:lineRule="exact"/>
        <w:rPr>
          <w:rFonts w:hint="eastAsia"/>
        </w:rPr>
      </w:pPr>
      <w:r>
        <w:rPr>
          <w:rFonts w:hint="eastAsia"/>
        </w:rPr>
        <w:t>743.</w:t>
      </w:r>
      <w:r>
        <w:rPr>
          <w:rFonts w:hint="eastAsia"/>
        </w:rPr>
        <w:tab/>
      </w:r>
      <w:r>
        <w:rPr>
          <w:rFonts w:hint="eastAsia"/>
        </w:rPr>
        <w:t>土著大众文化局负责位于墨西哥城的大众文化国家博物馆。由于参观者流量巨大，它</w:t>
      </w:r>
      <w:r>
        <w:rPr>
          <w:rFonts w:hint="eastAsia"/>
        </w:rPr>
        <w:t>23</w:t>
      </w:r>
      <w:r>
        <w:rPr>
          <w:rFonts w:hint="eastAsia"/>
        </w:rPr>
        <w:t>年来所落脚的陈旧房屋基础设施正逐渐破损，不可修复：在周末，如果举行展览，它能吸引</w:t>
      </w:r>
      <w:r>
        <w:rPr>
          <w:rFonts w:hint="eastAsia"/>
        </w:rPr>
        <w:t>5 000</w:t>
      </w:r>
      <w:r>
        <w:rPr>
          <w:rFonts w:hint="eastAsia"/>
        </w:rPr>
        <w:t>至</w:t>
      </w:r>
      <w:r>
        <w:rPr>
          <w:rFonts w:hint="eastAsia"/>
        </w:rPr>
        <w:t>25 000</w:t>
      </w:r>
      <w:r>
        <w:rPr>
          <w:rFonts w:hint="eastAsia"/>
        </w:rPr>
        <w:t>名观众，其中不包括长年为学生提供的指导参观。扩展大厅和基础设施至关重要，这样才有利于免费展览大众文化。信息和记录中心有</w:t>
      </w:r>
      <w:r>
        <w:rPr>
          <w:rFonts w:hint="eastAsia"/>
        </w:rPr>
        <w:t>160 000</w:t>
      </w:r>
      <w:r>
        <w:rPr>
          <w:rFonts w:hint="eastAsia"/>
        </w:rPr>
        <w:t>个条目，增加了对这里所</w:t>
      </w:r>
      <w:r>
        <w:rPr>
          <w:rFonts w:hint="eastAsia"/>
        </w:rPr>
        <w:t>举办的各种展览活动的注意力。同时，自</w:t>
      </w:r>
      <w:r>
        <w:rPr>
          <w:rFonts w:hint="eastAsia"/>
        </w:rPr>
        <w:t>2001</w:t>
      </w:r>
      <w:r>
        <w:rPr>
          <w:rFonts w:hint="eastAsia"/>
        </w:rPr>
        <w:t>年起，土著大众文化局开始合作参加在墨西哥城建立大众艺术博物馆。</w:t>
      </w:r>
    </w:p>
    <w:p w:rsidR="00000000" w:rsidRDefault="00457650">
      <w:pPr>
        <w:widowControl/>
        <w:tabs>
          <w:tab w:val="left" w:pos="630"/>
        </w:tabs>
        <w:spacing w:after="240" w:line="360" w:lineRule="exact"/>
        <w:rPr>
          <w:rFonts w:hint="eastAsia"/>
        </w:rPr>
      </w:pPr>
      <w:r>
        <w:rPr>
          <w:rFonts w:hint="eastAsia"/>
        </w:rPr>
        <w:t>744.</w:t>
      </w:r>
      <w:r>
        <w:rPr>
          <w:rFonts w:hint="eastAsia"/>
        </w:rPr>
        <w:tab/>
      </w:r>
      <w:r>
        <w:rPr>
          <w:rFonts w:hint="eastAsia"/>
        </w:rPr>
        <w:t>文化联系和公民责任局管理各州的文化基础设施支持项目，该项目资助对州和市所拥有的文化设施的修复和最佳利用。另外，各州的创造性艺术家项目还推动参加“国家创造性艺术家”项目的知名人士与艺术界和各组织文化推广人之间的接触。建立国家艺术和文化节网的宗旨是加强合作联系，推动艺术表现的发展。值得一提的是培训和提高文化推广人和经理人系统，它通过研讨会、课程、讨论会和有证书课程帮助墨西哥的文化促进领域实现职业</w:t>
      </w:r>
      <w:r>
        <w:rPr>
          <w:rFonts w:hint="eastAsia"/>
        </w:rPr>
        <w:t>化。</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66</w:t>
      </w:r>
      <w:r>
        <w:rPr>
          <w:rFonts w:ascii="SimHei" w:eastAsia="SimHei" w:hint="eastAsia"/>
        </w:rPr>
        <w:t>段（</w:t>
      </w:r>
      <w:r>
        <w:rPr>
          <w:rFonts w:ascii="SimHei" w:eastAsia="SimHei" w:hint="eastAsia"/>
        </w:rPr>
        <w:t>c</w:t>
      </w:r>
      <w:r>
        <w:rPr>
          <w:rFonts w:ascii="SimHei" w:eastAsia="SimHei" w:hint="eastAsia"/>
        </w:rPr>
        <w:t>）</w:t>
      </w:r>
    </w:p>
    <w:p w:rsidR="00000000" w:rsidRDefault="00457650">
      <w:pPr>
        <w:keepNext/>
        <w:keepLines/>
        <w:widowControl/>
        <w:tabs>
          <w:tab w:val="left" w:pos="630"/>
        </w:tabs>
        <w:spacing w:after="240" w:line="360" w:lineRule="exact"/>
        <w:rPr>
          <w:rFonts w:hint="eastAsia"/>
        </w:rPr>
      </w:pPr>
      <w:r>
        <w:rPr>
          <w:rFonts w:hint="eastAsia"/>
        </w:rPr>
        <w:t>745.</w:t>
      </w:r>
      <w:r>
        <w:rPr>
          <w:rFonts w:hint="eastAsia"/>
        </w:rPr>
        <w:tab/>
      </w:r>
      <w:r>
        <w:rPr>
          <w:rFonts w:hint="eastAsia"/>
        </w:rPr>
        <w:t>在此期间，国家人类学和历史研究所共举办了下述</w:t>
      </w:r>
      <w:r>
        <w:rPr>
          <w:rFonts w:hint="eastAsia"/>
        </w:rPr>
        <w:t>3 857</w:t>
      </w:r>
      <w:r>
        <w:rPr>
          <w:rFonts w:hint="eastAsia"/>
        </w:rPr>
        <w:t>场国内和国际展览：</w:t>
      </w:r>
    </w:p>
    <w:tbl>
      <w:tblPr>
        <w:tblW w:w="5000" w:type="pct"/>
        <w:jc w:val="center"/>
        <w:tblCellMar>
          <w:left w:w="0" w:type="dxa"/>
          <w:right w:w="0" w:type="dxa"/>
        </w:tblCellMar>
        <w:tblLook w:val="01E0" w:firstRow="1" w:lastRow="1" w:firstColumn="1" w:lastColumn="1" w:noHBand="0" w:noVBand="0"/>
      </w:tblPr>
      <w:tblGrid>
        <w:gridCol w:w="1643"/>
        <w:gridCol w:w="1643"/>
        <w:gridCol w:w="1644"/>
        <w:gridCol w:w="1644"/>
        <w:gridCol w:w="1646"/>
        <w:gridCol w:w="1646"/>
      </w:tblGrid>
      <w:tr w:rsidR="00000000">
        <w:tblPrEx>
          <w:tblCellMar>
            <w:top w:w="0" w:type="dxa"/>
            <w:bottom w:w="0" w:type="dxa"/>
          </w:tblCellMar>
        </w:tblPrEx>
        <w:trPr>
          <w:jc w:val="center"/>
        </w:trPr>
        <w:tc>
          <w:tcPr>
            <w:tcW w:w="5000" w:type="pct"/>
            <w:gridSpan w:val="6"/>
            <w:tcBorders>
              <w:bottom w:val="single" w:sz="4" w:space="0" w:color="auto"/>
            </w:tcBorders>
          </w:tcPr>
          <w:p w:rsidR="00000000" w:rsidRDefault="00457650">
            <w:pPr>
              <w:pStyle w:val="a3"/>
              <w:keepNext/>
              <w:keepLines/>
              <w:widowControl/>
              <w:tabs>
                <w:tab w:val="left" w:pos="630"/>
              </w:tabs>
              <w:adjustRightInd w:val="0"/>
              <w:spacing w:after="120" w:line="320" w:lineRule="exact"/>
              <w:jc w:val="center"/>
              <w:textAlignment w:val="baseline"/>
              <w:rPr>
                <w:rFonts w:eastAsia="SimHei" w:hint="eastAsia"/>
                <w:kern w:val="0"/>
                <w:sz w:val="21"/>
                <w:szCs w:val="20"/>
                <w:lang w:val="fr-CH"/>
              </w:rPr>
            </w:pPr>
            <w:r>
              <w:rPr>
                <w:rFonts w:eastAsia="SimHei" w:hint="eastAsia"/>
                <w:kern w:val="0"/>
                <w:sz w:val="21"/>
                <w:szCs w:val="20"/>
              </w:rPr>
              <w:t>举办的展览</w:t>
            </w:r>
          </w:p>
        </w:tc>
      </w:tr>
      <w:tr w:rsidR="00000000">
        <w:tblPrEx>
          <w:tblCellMar>
            <w:top w:w="0" w:type="dxa"/>
            <w:bottom w:w="0" w:type="dxa"/>
          </w:tblCellMar>
        </w:tblPrEx>
        <w:trPr>
          <w:jc w:val="center"/>
        </w:trPr>
        <w:tc>
          <w:tcPr>
            <w:tcW w:w="833" w:type="pct"/>
            <w:tcBorders>
              <w:top w:val="single" w:sz="4" w:space="0" w:color="auto"/>
              <w:bottom w:val="single" w:sz="4" w:space="0" w:color="auto"/>
            </w:tcBorders>
          </w:tcPr>
          <w:p w:rsidR="00000000" w:rsidRDefault="00457650">
            <w:pPr>
              <w:keepNext/>
              <w:keepLines/>
              <w:widowControl/>
              <w:tabs>
                <w:tab w:val="left" w:pos="630"/>
              </w:tabs>
              <w:spacing w:after="120" w:line="320" w:lineRule="exact"/>
              <w:jc w:val="center"/>
              <w:rPr>
                <w:rFonts w:ascii="KaiTi_GB2312" w:eastAsia="KaiTi_GB2312" w:hint="eastAsia"/>
                <w:bCs/>
                <w:sz w:val="18"/>
              </w:rPr>
            </w:pPr>
            <w:r>
              <w:rPr>
                <w:rFonts w:ascii="KaiTi_GB2312" w:eastAsia="KaiTi_GB2312"/>
                <w:bCs/>
                <w:sz w:val="18"/>
              </w:rPr>
              <w:t>1998</w:t>
            </w:r>
            <w:r>
              <w:rPr>
                <w:rFonts w:ascii="KaiTi_GB2312" w:eastAsia="KaiTi_GB2312" w:hint="eastAsia"/>
                <w:bCs/>
                <w:sz w:val="18"/>
              </w:rPr>
              <w:t>年</w:t>
            </w:r>
          </w:p>
        </w:tc>
        <w:tc>
          <w:tcPr>
            <w:tcW w:w="833" w:type="pct"/>
            <w:tcBorders>
              <w:top w:val="single" w:sz="4" w:space="0" w:color="auto"/>
              <w:bottom w:val="single" w:sz="4" w:space="0" w:color="auto"/>
            </w:tcBorders>
          </w:tcPr>
          <w:p w:rsidR="00000000" w:rsidRDefault="00457650">
            <w:pPr>
              <w:keepNext/>
              <w:keepLines/>
              <w:widowControl/>
              <w:tabs>
                <w:tab w:val="left" w:pos="630"/>
              </w:tabs>
              <w:spacing w:after="120" w:line="320" w:lineRule="exact"/>
              <w:jc w:val="center"/>
              <w:rPr>
                <w:rFonts w:ascii="KaiTi_GB2312" w:eastAsia="KaiTi_GB2312" w:hint="eastAsia"/>
                <w:bCs/>
                <w:sz w:val="18"/>
              </w:rPr>
            </w:pPr>
            <w:r>
              <w:rPr>
                <w:rFonts w:ascii="KaiTi_GB2312" w:eastAsia="KaiTi_GB2312"/>
                <w:bCs/>
                <w:sz w:val="18"/>
              </w:rPr>
              <w:t>1999</w:t>
            </w:r>
            <w:r>
              <w:rPr>
                <w:rFonts w:ascii="KaiTi_GB2312" w:eastAsia="KaiTi_GB2312" w:hint="eastAsia"/>
                <w:bCs/>
                <w:sz w:val="18"/>
              </w:rPr>
              <w:t>年</w:t>
            </w:r>
          </w:p>
        </w:tc>
        <w:tc>
          <w:tcPr>
            <w:tcW w:w="833" w:type="pct"/>
            <w:tcBorders>
              <w:top w:val="single" w:sz="4" w:space="0" w:color="auto"/>
              <w:bottom w:val="single" w:sz="4" w:space="0" w:color="auto"/>
            </w:tcBorders>
          </w:tcPr>
          <w:p w:rsidR="00000000" w:rsidRDefault="00457650">
            <w:pPr>
              <w:keepNext/>
              <w:keepLines/>
              <w:widowControl/>
              <w:tabs>
                <w:tab w:val="left" w:pos="630"/>
              </w:tabs>
              <w:spacing w:after="120" w:line="320" w:lineRule="exact"/>
              <w:jc w:val="center"/>
              <w:rPr>
                <w:rFonts w:ascii="KaiTi_GB2312" w:eastAsia="KaiTi_GB2312" w:hint="eastAsia"/>
                <w:bCs/>
                <w:sz w:val="18"/>
              </w:rPr>
            </w:pPr>
            <w:r>
              <w:rPr>
                <w:rFonts w:ascii="KaiTi_GB2312" w:eastAsia="KaiTi_GB2312"/>
                <w:bCs/>
                <w:sz w:val="18"/>
              </w:rPr>
              <w:t>2000</w:t>
            </w:r>
            <w:r>
              <w:rPr>
                <w:rFonts w:ascii="KaiTi_GB2312" w:eastAsia="KaiTi_GB2312" w:hint="eastAsia"/>
                <w:bCs/>
                <w:sz w:val="18"/>
              </w:rPr>
              <w:t>年</w:t>
            </w:r>
          </w:p>
        </w:tc>
        <w:tc>
          <w:tcPr>
            <w:tcW w:w="833" w:type="pct"/>
            <w:tcBorders>
              <w:top w:val="single" w:sz="4" w:space="0" w:color="auto"/>
              <w:bottom w:val="single" w:sz="4" w:space="0" w:color="auto"/>
            </w:tcBorders>
          </w:tcPr>
          <w:p w:rsidR="00000000" w:rsidRDefault="00457650">
            <w:pPr>
              <w:keepNext/>
              <w:keepLines/>
              <w:widowControl/>
              <w:tabs>
                <w:tab w:val="left" w:pos="630"/>
              </w:tabs>
              <w:spacing w:after="120" w:line="320" w:lineRule="exact"/>
              <w:jc w:val="center"/>
              <w:rPr>
                <w:rFonts w:ascii="KaiTi_GB2312" w:eastAsia="KaiTi_GB2312" w:hint="eastAsia"/>
                <w:bCs/>
                <w:sz w:val="18"/>
              </w:rPr>
            </w:pPr>
            <w:r>
              <w:rPr>
                <w:rFonts w:ascii="KaiTi_GB2312" w:eastAsia="KaiTi_GB2312"/>
                <w:bCs/>
                <w:sz w:val="18"/>
              </w:rPr>
              <w:t>2001</w:t>
            </w:r>
            <w:r>
              <w:rPr>
                <w:rFonts w:ascii="KaiTi_GB2312" w:eastAsia="KaiTi_GB2312" w:hint="eastAsia"/>
                <w:bCs/>
                <w:sz w:val="18"/>
              </w:rPr>
              <w:t>年</w:t>
            </w:r>
          </w:p>
        </w:tc>
        <w:tc>
          <w:tcPr>
            <w:tcW w:w="834" w:type="pct"/>
            <w:tcBorders>
              <w:top w:val="single" w:sz="4" w:space="0" w:color="auto"/>
              <w:bottom w:val="single" w:sz="4" w:space="0" w:color="auto"/>
            </w:tcBorders>
          </w:tcPr>
          <w:p w:rsidR="00000000" w:rsidRDefault="00457650">
            <w:pPr>
              <w:keepNext/>
              <w:keepLines/>
              <w:widowControl/>
              <w:tabs>
                <w:tab w:val="left" w:pos="630"/>
              </w:tabs>
              <w:spacing w:after="120" w:line="320" w:lineRule="exact"/>
              <w:jc w:val="center"/>
              <w:rPr>
                <w:rFonts w:ascii="KaiTi_GB2312" w:eastAsia="KaiTi_GB2312" w:hint="eastAsia"/>
                <w:bCs/>
                <w:sz w:val="18"/>
              </w:rPr>
            </w:pPr>
            <w:r>
              <w:rPr>
                <w:rFonts w:ascii="KaiTi_GB2312" w:eastAsia="KaiTi_GB2312"/>
                <w:bCs/>
                <w:sz w:val="18"/>
              </w:rPr>
              <w:t>2002</w:t>
            </w:r>
            <w:r>
              <w:rPr>
                <w:rFonts w:ascii="KaiTi_GB2312" w:eastAsia="KaiTi_GB2312" w:hint="eastAsia"/>
                <w:bCs/>
                <w:sz w:val="18"/>
              </w:rPr>
              <w:t>年</w:t>
            </w:r>
          </w:p>
        </w:tc>
        <w:tc>
          <w:tcPr>
            <w:tcW w:w="834" w:type="pct"/>
            <w:tcBorders>
              <w:top w:val="single" w:sz="4" w:space="0" w:color="auto"/>
              <w:bottom w:val="single" w:sz="4" w:space="0" w:color="auto"/>
            </w:tcBorders>
          </w:tcPr>
          <w:p w:rsidR="00000000" w:rsidRDefault="00457650">
            <w:pPr>
              <w:keepNext/>
              <w:keepLines/>
              <w:widowControl/>
              <w:tabs>
                <w:tab w:val="left" w:pos="630"/>
              </w:tabs>
              <w:spacing w:after="120" w:line="320" w:lineRule="exact"/>
              <w:jc w:val="center"/>
              <w:rPr>
                <w:rFonts w:ascii="KaiTi_GB2312" w:eastAsia="KaiTi_GB2312" w:hint="eastAsia"/>
                <w:bCs/>
                <w:sz w:val="18"/>
              </w:rPr>
            </w:pPr>
            <w:r>
              <w:rPr>
                <w:rFonts w:ascii="KaiTi_GB2312" w:eastAsia="KaiTi_GB2312"/>
                <w:bCs/>
                <w:sz w:val="18"/>
              </w:rPr>
              <w:t>2003</w:t>
            </w:r>
            <w:r>
              <w:rPr>
                <w:rFonts w:ascii="KaiTi_GB2312" w:eastAsia="KaiTi_GB2312" w:hint="eastAsia"/>
                <w:bCs/>
                <w:sz w:val="18"/>
              </w:rPr>
              <w:t>年</w:t>
            </w:r>
          </w:p>
        </w:tc>
      </w:tr>
      <w:tr w:rsidR="00000000">
        <w:tblPrEx>
          <w:tblCellMar>
            <w:top w:w="0" w:type="dxa"/>
            <w:bottom w:w="0" w:type="dxa"/>
          </w:tblCellMar>
        </w:tblPrEx>
        <w:trPr>
          <w:jc w:val="center"/>
        </w:trPr>
        <w:tc>
          <w:tcPr>
            <w:tcW w:w="833" w:type="pct"/>
            <w:tcBorders>
              <w:top w:val="single" w:sz="4" w:space="0" w:color="auto"/>
              <w:bottom w:val="single" w:sz="4" w:space="0" w:color="auto"/>
            </w:tcBorders>
          </w:tcPr>
          <w:p w:rsidR="00000000" w:rsidRDefault="00457650">
            <w:pPr>
              <w:keepNext/>
              <w:keepLines/>
              <w:widowControl/>
              <w:tabs>
                <w:tab w:val="left" w:pos="630"/>
              </w:tabs>
              <w:spacing w:after="120" w:line="320" w:lineRule="exact"/>
              <w:jc w:val="center"/>
              <w:rPr>
                <w:sz w:val="18"/>
              </w:rPr>
            </w:pPr>
            <w:r>
              <w:rPr>
                <w:sz w:val="18"/>
              </w:rPr>
              <w:t>827</w:t>
            </w:r>
          </w:p>
        </w:tc>
        <w:tc>
          <w:tcPr>
            <w:tcW w:w="833" w:type="pct"/>
            <w:tcBorders>
              <w:top w:val="single" w:sz="4" w:space="0" w:color="auto"/>
              <w:bottom w:val="single" w:sz="4" w:space="0" w:color="auto"/>
            </w:tcBorders>
          </w:tcPr>
          <w:p w:rsidR="00000000" w:rsidRDefault="00457650">
            <w:pPr>
              <w:keepNext/>
              <w:keepLines/>
              <w:widowControl/>
              <w:tabs>
                <w:tab w:val="left" w:pos="630"/>
              </w:tabs>
              <w:spacing w:after="120" w:line="320" w:lineRule="exact"/>
              <w:jc w:val="center"/>
              <w:rPr>
                <w:sz w:val="18"/>
              </w:rPr>
            </w:pPr>
            <w:r>
              <w:rPr>
                <w:sz w:val="18"/>
              </w:rPr>
              <w:t>723</w:t>
            </w:r>
          </w:p>
        </w:tc>
        <w:tc>
          <w:tcPr>
            <w:tcW w:w="833" w:type="pct"/>
            <w:tcBorders>
              <w:top w:val="single" w:sz="4" w:space="0" w:color="auto"/>
              <w:bottom w:val="single" w:sz="4" w:space="0" w:color="auto"/>
            </w:tcBorders>
          </w:tcPr>
          <w:p w:rsidR="00000000" w:rsidRDefault="00457650">
            <w:pPr>
              <w:keepNext/>
              <w:keepLines/>
              <w:widowControl/>
              <w:tabs>
                <w:tab w:val="left" w:pos="630"/>
              </w:tabs>
              <w:spacing w:after="120" w:line="320" w:lineRule="exact"/>
              <w:jc w:val="center"/>
              <w:rPr>
                <w:sz w:val="18"/>
              </w:rPr>
            </w:pPr>
            <w:r>
              <w:rPr>
                <w:sz w:val="18"/>
              </w:rPr>
              <w:t>722</w:t>
            </w:r>
          </w:p>
        </w:tc>
        <w:tc>
          <w:tcPr>
            <w:tcW w:w="833" w:type="pct"/>
            <w:tcBorders>
              <w:top w:val="single" w:sz="4" w:space="0" w:color="auto"/>
              <w:bottom w:val="single" w:sz="4" w:space="0" w:color="auto"/>
            </w:tcBorders>
          </w:tcPr>
          <w:p w:rsidR="00000000" w:rsidRDefault="00457650">
            <w:pPr>
              <w:keepNext/>
              <w:keepLines/>
              <w:widowControl/>
              <w:tabs>
                <w:tab w:val="left" w:pos="630"/>
              </w:tabs>
              <w:spacing w:after="120" w:line="320" w:lineRule="exact"/>
              <w:jc w:val="center"/>
              <w:rPr>
                <w:sz w:val="18"/>
              </w:rPr>
            </w:pPr>
            <w:r>
              <w:rPr>
                <w:sz w:val="18"/>
              </w:rPr>
              <w:t>604</w:t>
            </w:r>
          </w:p>
        </w:tc>
        <w:tc>
          <w:tcPr>
            <w:tcW w:w="834" w:type="pct"/>
            <w:tcBorders>
              <w:top w:val="single" w:sz="4" w:space="0" w:color="auto"/>
              <w:bottom w:val="single" w:sz="4" w:space="0" w:color="auto"/>
            </w:tcBorders>
          </w:tcPr>
          <w:p w:rsidR="00000000" w:rsidRDefault="00457650">
            <w:pPr>
              <w:keepNext/>
              <w:keepLines/>
              <w:widowControl/>
              <w:tabs>
                <w:tab w:val="left" w:pos="630"/>
              </w:tabs>
              <w:spacing w:after="120" w:line="320" w:lineRule="exact"/>
              <w:jc w:val="center"/>
              <w:rPr>
                <w:sz w:val="18"/>
              </w:rPr>
            </w:pPr>
            <w:r>
              <w:rPr>
                <w:sz w:val="18"/>
              </w:rPr>
              <w:t>627</w:t>
            </w:r>
          </w:p>
        </w:tc>
        <w:tc>
          <w:tcPr>
            <w:tcW w:w="834" w:type="pct"/>
            <w:tcBorders>
              <w:top w:val="single" w:sz="4" w:space="0" w:color="auto"/>
              <w:bottom w:val="single" w:sz="4" w:space="0" w:color="auto"/>
            </w:tcBorders>
          </w:tcPr>
          <w:p w:rsidR="00000000" w:rsidRDefault="00457650">
            <w:pPr>
              <w:keepNext/>
              <w:keepLines/>
              <w:widowControl/>
              <w:tabs>
                <w:tab w:val="left" w:pos="630"/>
              </w:tabs>
              <w:spacing w:after="120" w:line="320" w:lineRule="exact"/>
              <w:jc w:val="center"/>
              <w:rPr>
                <w:sz w:val="18"/>
              </w:rPr>
            </w:pPr>
            <w:r>
              <w:rPr>
                <w:sz w:val="18"/>
              </w:rPr>
              <w:t>354</w:t>
            </w:r>
          </w:p>
        </w:tc>
      </w:tr>
    </w:tbl>
    <w:p w:rsidR="00000000" w:rsidRDefault="00457650">
      <w:pPr>
        <w:widowControl/>
        <w:tabs>
          <w:tab w:val="left" w:pos="630"/>
        </w:tabs>
        <w:spacing w:after="240" w:line="360" w:lineRule="exact"/>
        <w:rPr>
          <w:rFonts w:hint="eastAsia"/>
          <w:iCs/>
          <w:sz w:val="18"/>
        </w:rPr>
      </w:pPr>
      <w:r>
        <w:rPr>
          <w:rFonts w:eastAsia="KaiTi_GB2312" w:hint="eastAsia"/>
          <w:iCs/>
          <w:sz w:val="18"/>
        </w:rPr>
        <w:t>资料来源</w:t>
      </w:r>
      <w:r>
        <w:rPr>
          <w:rFonts w:hint="eastAsia"/>
          <w:iCs/>
          <w:sz w:val="18"/>
        </w:rPr>
        <w:t>：国家文化和艺术委员会。</w:t>
      </w:r>
    </w:p>
    <w:p w:rsidR="00000000" w:rsidRDefault="00457650">
      <w:pPr>
        <w:widowControl/>
        <w:tabs>
          <w:tab w:val="left" w:pos="630"/>
        </w:tabs>
        <w:spacing w:after="240" w:line="360" w:lineRule="exact"/>
        <w:rPr>
          <w:rFonts w:hint="eastAsia"/>
        </w:rPr>
      </w:pPr>
      <w:r>
        <w:rPr>
          <w:rFonts w:hint="eastAsia"/>
        </w:rPr>
        <w:t>746.</w:t>
      </w:r>
      <w:r>
        <w:rPr>
          <w:rFonts w:hint="eastAsia"/>
        </w:rPr>
        <w:tab/>
      </w:r>
      <w:r>
        <w:rPr>
          <w:rFonts w:hint="eastAsia"/>
        </w:rPr>
        <w:t>其中最著名的展览有：阿兹台克人展览、神彩服装展、黄金和文明展、通往</w:t>
      </w:r>
      <w:r>
        <w:t>阿兹特兰</w:t>
      </w:r>
      <w:r>
        <w:rPr>
          <w:rFonts w:hint="eastAsia"/>
        </w:rPr>
        <w:t>之路展和马雅的衰落展。</w:t>
      </w:r>
    </w:p>
    <w:p w:rsidR="00000000" w:rsidRDefault="00457650">
      <w:pPr>
        <w:widowControl/>
        <w:tabs>
          <w:tab w:val="left" w:pos="630"/>
        </w:tabs>
        <w:spacing w:after="240" w:line="360" w:lineRule="exact"/>
        <w:rPr>
          <w:rFonts w:hint="eastAsia"/>
        </w:rPr>
      </w:pPr>
      <w:r>
        <w:rPr>
          <w:rFonts w:hint="eastAsia"/>
        </w:rPr>
        <w:t>747.</w:t>
      </w:r>
      <w:r>
        <w:rPr>
          <w:rFonts w:hint="eastAsia"/>
        </w:rPr>
        <w:tab/>
      </w:r>
      <w:r>
        <w:rPr>
          <w:rFonts w:hint="eastAsia"/>
        </w:rPr>
        <w:t>为了实现</w:t>
      </w:r>
      <w:r>
        <w:rPr>
          <w:rFonts w:hint="eastAsia"/>
        </w:rPr>
        <w:t>2001</w:t>
      </w:r>
      <w:r>
        <w:t>-</w:t>
      </w:r>
      <w:r>
        <w:rPr>
          <w:rFonts w:hint="eastAsia"/>
        </w:rPr>
        <w:t>2006</w:t>
      </w:r>
      <w:r>
        <w:rPr>
          <w:rFonts w:hint="eastAsia"/>
        </w:rPr>
        <w:t>年国家文化计划中制定的目标，国家艺术院致力于</w:t>
      </w:r>
      <w:r>
        <w:rPr>
          <w:rFonts w:hint="eastAsia"/>
        </w:rPr>
        <w:t>20</w:t>
      </w:r>
      <w:r>
        <w:rPr>
          <w:rFonts w:hint="eastAsia"/>
        </w:rPr>
        <w:t>世纪以来可移动和不可移动艺术遗产和研究、保</w:t>
      </w:r>
      <w:r>
        <w:rPr>
          <w:rFonts w:hint="eastAsia"/>
        </w:rPr>
        <w:t>存、盘存和传播。墨西哥鼓励学生和青年最大限度地利用学校和文化中心。</w:t>
      </w:r>
      <w:r>
        <w:rPr>
          <w:rFonts w:hint="eastAsia"/>
        </w:rPr>
        <w:t>2003</w:t>
      </w:r>
      <w:r>
        <w:rPr>
          <w:rFonts w:hint="eastAsia"/>
        </w:rPr>
        <w:t>年一年获得的全国性数据如下：（</w:t>
      </w:r>
      <w:r>
        <w:rPr>
          <w:rFonts w:hint="eastAsia"/>
        </w:rPr>
        <w:t>a</w:t>
      </w:r>
      <w:r>
        <w:rPr>
          <w:rFonts w:hint="eastAsia"/>
        </w:rPr>
        <w:t>）普通公众活动</w:t>
      </w:r>
      <w:r>
        <w:rPr>
          <w:rFonts w:hint="eastAsia"/>
        </w:rPr>
        <w:t>15 588</w:t>
      </w:r>
      <w:r>
        <w:rPr>
          <w:rFonts w:hint="eastAsia"/>
        </w:rPr>
        <w:t>场；（</w:t>
      </w:r>
      <w:r>
        <w:rPr>
          <w:rFonts w:hint="eastAsia"/>
        </w:rPr>
        <w:t>b</w:t>
      </w:r>
      <w:r>
        <w:rPr>
          <w:rFonts w:hint="eastAsia"/>
        </w:rPr>
        <w:t>）公众活动人数</w:t>
      </w:r>
      <w:r>
        <w:rPr>
          <w:rFonts w:hint="eastAsia"/>
        </w:rPr>
        <w:t>3 283 363</w:t>
      </w:r>
      <w:r>
        <w:rPr>
          <w:rFonts w:hint="eastAsia"/>
        </w:rPr>
        <w:t>人；（</w:t>
      </w:r>
      <w:r>
        <w:rPr>
          <w:rFonts w:hint="eastAsia"/>
        </w:rPr>
        <w:t>c</w:t>
      </w:r>
      <w:r>
        <w:rPr>
          <w:rFonts w:hint="eastAsia"/>
        </w:rPr>
        <w:t>）举办的展览</w:t>
      </w:r>
      <w:r>
        <w:rPr>
          <w:rFonts w:hint="eastAsia"/>
        </w:rPr>
        <w:t>406</w:t>
      </w:r>
      <w:r>
        <w:rPr>
          <w:rFonts w:hint="eastAsia"/>
        </w:rPr>
        <w:t>场；（</w:t>
      </w:r>
      <w:r>
        <w:rPr>
          <w:rFonts w:hint="eastAsia"/>
        </w:rPr>
        <w:t>d</w:t>
      </w:r>
      <w:r>
        <w:rPr>
          <w:rFonts w:hint="eastAsia"/>
        </w:rPr>
        <w:t>）参加展览人数</w:t>
      </w:r>
      <w:r>
        <w:rPr>
          <w:rFonts w:hint="eastAsia"/>
        </w:rPr>
        <w:t>3 326 178</w:t>
      </w:r>
      <w:r>
        <w:rPr>
          <w:rFonts w:hint="eastAsia"/>
        </w:rPr>
        <w:t>人；（</w:t>
      </w:r>
      <w:r>
        <w:rPr>
          <w:rFonts w:hint="eastAsia"/>
        </w:rPr>
        <w:t>e</w:t>
      </w:r>
      <w:r>
        <w:rPr>
          <w:rFonts w:hint="eastAsia"/>
        </w:rPr>
        <w:t>）接受艺术教育学生人数</w:t>
      </w:r>
      <w:r>
        <w:rPr>
          <w:rFonts w:hint="eastAsia"/>
        </w:rPr>
        <w:t>8 570</w:t>
      </w:r>
      <w:r>
        <w:rPr>
          <w:rFonts w:hint="eastAsia"/>
        </w:rPr>
        <w:t>人；（</w:t>
      </w:r>
      <w:r>
        <w:rPr>
          <w:rFonts w:hint="eastAsia"/>
        </w:rPr>
        <w:t>f</w:t>
      </w:r>
      <w:r>
        <w:rPr>
          <w:rFonts w:hint="eastAsia"/>
        </w:rPr>
        <w:t>）收藏艺术作品</w:t>
      </w:r>
      <w:r>
        <w:rPr>
          <w:rFonts w:hint="eastAsia"/>
        </w:rPr>
        <w:t>755</w:t>
      </w:r>
      <w:r>
        <w:rPr>
          <w:rFonts w:hint="eastAsia"/>
        </w:rPr>
        <w:t>幅。国家艺术院还让专家更多地参加国际节、大奖、竞赛、课程和研讨会，通过各种媒体加以宣传。按照海外学生计划，近年来</w:t>
      </w:r>
      <w:r>
        <w:rPr>
          <w:rFonts w:hint="eastAsia"/>
        </w:rPr>
        <w:t>129</w:t>
      </w:r>
      <w:r>
        <w:rPr>
          <w:rFonts w:hint="eastAsia"/>
        </w:rPr>
        <w:t>人接受了经济资助帮助他们留学。生气勃勃的文化交流和海外墨西哥人不断做出的贡献日益增强，因</w:t>
      </w:r>
      <w:r>
        <w:rPr>
          <w:rFonts w:hint="eastAsia"/>
        </w:rPr>
        <w:t>为该院重视与那些提出创新建议者开展积极持久的文化合作。</w:t>
      </w:r>
    </w:p>
    <w:p w:rsidR="00000000" w:rsidRDefault="00457650">
      <w:pPr>
        <w:widowControl/>
        <w:tabs>
          <w:tab w:val="left" w:pos="630"/>
        </w:tabs>
        <w:spacing w:after="240" w:line="360" w:lineRule="exact"/>
        <w:rPr>
          <w:rFonts w:hint="eastAsia"/>
        </w:rPr>
      </w:pPr>
      <w:r>
        <w:rPr>
          <w:rFonts w:hint="eastAsia"/>
        </w:rPr>
        <w:t>748.</w:t>
      </w:r>
      <w:r>
        <w:rPr>
          <w:rFonts w:hint="eastAsia"/>
        </w:rPr>
        <w:tab/>
      </w:r>
      <w:r>
        <w:rPr>
          <w:rFonts w:hint="eastAsia"/>
        </w:rPr>
        <w:t>作为促进文化认同过程的一部分，国家文化和技术基金实施了青年创新者项目，其目的是为年龄在</w:t>
      </w:r>
      <w:r>
        <w:rPr>
          <w:rFonts w:hint="eastAsia"/>
        </w:rPr>
        <w:t>20</w:t>
      </w:r>
      <w:r>
        <w:rPr>
          <w:rFonts w:hint="eastAsia"/>
        </w:rPr>
        <w:t>周岁到</w:t>
      </w:r>
      <w:r>
        <w:rPr>
          <w:rFonts w:hint="eastAsia"/>
        </w:rPr>
        <w:t>35</w:t>
      </w:r>
      <w:r>
        <w:rPr>
          <w:rFonts w:hint="eastAsia"/>
        </w:rPr>
        <w:t>周岁的墨西哥青年艺术家创造良好的创作环境。自开始以来，该项目发放了</w:t>
      </w:r>
      <w:r>
        <w:rPr>
          <w:rFonts w:hint="eastAsia"/>
        </w:rPr>
        <w:t>1 298</w:t>
      </w:r>
      <w:r>
        <w:rPr>
          <w:rFonts w:hint="eastAsia"/>
        </w:rPr>
        <w:t>笔补助金。其中</w:t>
      </w:r>
      <w:r>
        <w:rPr>
          <w:rFonts w:hint="eastAsia"/>
        </w:rPr>
        <w:t>618</w:t>
      </w:r>
      <w:r>
        <w:rPr>
          <w:rFonts w:hint="eastAsia"/>
        </w:rPr>
        <w:t>笔（</w:t>
      </w:r>
      <w:r>
        <w:rPr>
          <w:rFonts w:hint="eastAsia"/>
        </w:rPr>
        <w:t>47.6%</w:t>
      </w:r>
      <w:r>
        <w:rPr>
          <w:rFonts w:hint="eastAsia"/>
        </w:rPr>
        <w:t>）在</w:t>
      </w:r>
      <w:r>
        <w:rPr>
          <w:rFonts w:hint="eastAsia"/>
        </w:rPr>
        <w:t>1998</w:t>
      </w:r>
      <w:r>
        <w:t>-</w:t>
      </w:r>
      <w:r>
        <w:rPr>
          <w:rFonts w:hint="eastAsia"/>
        </w:rPr>
        <w:t>2003</w:t>
      </w:r>
      <w:r>
        <w:rPr>
          <w:rFonts w:hint="eastAsia"/>
        </w:rPr>
        <w:t>年期间发放。</w:t>
      </w:r>
    </w:p>
    <w:p w:rsidR="00000000" w:rsidRDefault="00457650">
      <w:pPr>
        <w:widowControl/>
        <w:tabs>
          <w:tab w:val="left" w:pos="630"/>
        </w:tabs>
        <w:spacing w:after="240" w:line="360" w:lineRule="exact"/>
        <w:rPr>
          <w:rFonts w:hint="eastAsia"/>
        </w:rPr>
      </w:pPr>
      <w:r>
        <w:rPr>
          <w:rFonts w:hint="eastAsia"/>
        </w:rPr>
        <w:t>749.</w:t>
      </w:r>
      <w:r>
        <w:rPr>
          <w:rFonts w:hint="eastAsia"/>
        </w:rPr>
        <w:tab/>
      </w:r>
      <w:r>
        <w:rPr>
          <w:rFonts w:hint="eastAsia"/>
        </w:rPr>
        <w:t>为此，设立了翻译和表演者扶持项目，以创造良好的条件，促进翻译的职业化、提高和进修，并宣传艺术家和创作者的艺术知识和专业技能。自</w:t>
      </w:r>
      <w:r>
        <w:rPr>
          <w:rFonts w:hint="eastAsia"/>
        </w:rPr>
        <w:t>1989</w:t>
      </w:r>
      <w:r>
        <w:rPr>
          <w:rFonts w:hint="eastAsia"/>
        </w:rPr>
        <w:t>年创办以来，该项目共发放了</w:t>
      </w:r>
      <w:r>
        <w:rPr>
          <w:rFonts w:hint="eastAsia"/>
        </w:rPr>
        <w:t>760</w:t>
      </w:r>
      <w:r>
        <w:rPr>
          <w:rFonts w:hint="eastAsia"/>
        </w:rPr>
        <w:t>笔补助金。其中</w:t>
      </w:r>
      <w:r>
        <w:rPr>
          <w:rFonts w:hint="eastAsia"/>
        </w:rPr>
        <w:t>406</w:t>
      </w:r>
      <w:r>
        <w:rPr>
          <w:rFonts w:hint="eastAsia"/>
        </w:rPr>
        <w:t>笔是</w:t>
      </w:r>
      <w:r>
        <w:rPr>
          <w:rFonts w:hint="eastAsia"/>
        </w:rPr>
        <w:t>在</w:t>
      </w:r>
      <w:r>
        <w:rPr>
          <w:rFonts w:hint="eastAsia"/>
        </w:rPr>
        <w:t>1998</w:t>
      </w:r>
      <w:r>
        <w:t>-</w:t>
      </w:r>
      <w:r>
        <w:rPr>
          <w:rFonts w:hint="eastAsia"/>
        </w:rPr>
        <w:t>2003</w:t>
      </w:r>
      <w:r>
        <w:rPr>
          <w:rFonts w:hint="eastAsia"/>
        </w:rPr>
        <w:t>年期间发放的。</w:t>
      </w:r>
    </w:p>
    <w:p w:rsidR="00000000" w:rsidRDefault="00457650">
      <w:pPr>
        <w:widowControl/>
        <w:tabs>
          <w:tab w:val="left" w:pos="630"/>
        </w:tabs>
        <w:spacing w:after="240" w:line="360" w:lineRule="exact"/>
        <w:rPr>
          <w:rFonts w:hint="eastAsia"/>
        </w:rPr>
      </w:pPr>
      <w:r>
        <w:rPr>
          <w:rFonts w:hint="eastAsia"/>
        </w:rPr>
        <w:t>750.</w:t>
      </w:r>
      <w:r>
        <w:rPr>
          <w:rFonts w:hint="eastAsia"/>
        </w:rPr>
        <w:tab/>
      </w:r>
      <w:r>
        <w:rPr>
          <w:rFonts w:hint="eastAsia"/>
        </w:rPr>
        <w:t>国家文化和技术基金最新文化倡议之一是“墨西哥：通向美洲的大门”，其宗旨是满足个人、团体、民族和地区间相互欣赏的标准；其基本目的是促进产生新方法落实文化建议，实现艺术和经济的关系以创造新的爱好者，并且传播发行文化产品。</w:t>
      </w:r>
    </w:p>
    <w:p w:rsidR="00000000" w:rsidRDefault="00457650">
      <w:pPr>
        <w:widowControl/>
        <w:tabs>
          <w:tab w:val="left" w:pos="630"/>
        </w:tabs>
        <w:spacing w:after="240" w:line="360" w:lineRule="exact"/>
        <w:rPr>
          <w:rFonts w:hint="eastAsia"/>
        </w:rPr>
      </w:pPr>
      <w:r>
        <w:rPr>
          <w:rFonts w:hint="eastAsia"/>
        </w:rPr>
        <w:t>751.</w:t>
      </w:r>
      <w:r>
        <w:rPr>
          <w:rFonts w:hint="eastAsia"/>
        </w:rPr>
        <w:tab/>
      </w:r>
      <w:r>
        <w:rPr>
          <w:rFonts w:hint="eastAsia"/>
        </w:rPr>
        <w:t>“墨西哥：通向美洲的大门”在</w:t>
      </w:r>
      <w:r>
        <w:rPr>
          <w:rFonts w:hint="eastAsia"/>
        </w:rPr>
        <w:t>2003</w:t>
      </w:r>
      <w:r>
        <w:rPr>
          <w:rFonts w:hint="eastAsia"/>
        </w:rPr>
        <w:t>年</w:t>
      </w:r>
      <w:r>
        <w:rPr>
          <w:rFonts w:hint="eastAsia"/>
        </w:rPr>
        <w:t>6</w:t>
      </w:r>
      <w:r>
        <w:rPr>
          <w:rFonts w:hint="eastAsia"/>
        </w:rPr>
        <w:t>月在墨西哥城组织了“邂逅舞台艺术”活动，促进建设文化设施以推动创造工作、推动投资、知识、建议和国内国际组织的关系和合作，扩大文化和艺术领域对社会财富所做出的贡献。</w:t>
      </w:r>
    </w:p>
    <w:p w:rsidR="00000000" w:rsidRDefault="00457650">
      <w:pPr>
        <w:widowControl/>
        <w:tabs>
          <w:tab w:val="left" w:pos="630"/>
        </w:tabs>
        <w:spacing w:after="240" w:line="360" w:lineRule="exact"/>
        <w:rPr>
          <w:rFonts w:hint="eastAsia"/>
        </w:rPr>
      </w:pPr>
      <w:r>
        <w:rPr>
          <w:rFonts w:hint="eastAsia"/>
        </w:rPr>
        <w:t>752.</w:t>
      </w:r>
      <w:r>
        <w:rPr>
          <w:rFonts w:hint="eastAsia"/>
        </w:rPr>
        <w:tab/>
      </w:r>
      <w:r>
        <w:rPr>
          <w:rFonts w:hint="eastAsia"/>
        </w:rPr>
        <w:t>“邂逅”活动由舞蹈、音乐</w:t>
      </w:r>
      <w:r>
        <w:rPr>
          <w:rFonts w:hint="eastAsia"/>
        </w:rPr>
        <w:t>和戏剧方面的创作者和艺术家参加，以便同拉丁美洲组织以及全世界的推广人、艺术和舞台指导和文化企业家建立联系。它包括三种活动：“舞台艺术座谈会”；“舞台艺术市场”和“美洲国家第一次舞台展”。</w:t>
      </w:r>
    </w:p>
    <w:p w:rsidR="00000000" w:rsidRDefault="00457650">
      <w:pPr>
        <w:widowControl/>
        <w:tabs>
          <w:tab w:val="left" w:pos="630"/>
        </w:tabs>
        <w:spacing w:after="240" w:line="360" w:lineRule="exact"/>
        <w:rPr>
          <w:rFonts w:hint="eastAsia"/>
        </w:rPr>
      </w:pPr>
      <w:r>
        <w:rPr>
          <w:rFonts w:hint="eastAsia"/>
        </w:rPr>
        <w:t>753.</w:t>
      </w:r>
      <w:r>
        <w:rPr>
          <w:rFonts w:hint="eastAsia"/>
        </w:rPr>
        <w:tab/>
      </w:r>
      <w:r>
        <w:rPr>
          <w:rFonts w:hint="eastAsia"/>
        </w:rPr>
        <w:t>“墨西哥：通向美洲的大门”是一项中期计划，其目标有两个：（</w:t>
      </w:r>
      <w:r>
        <w:rPr>
          <w:rFonts w:hint="eastAsia"/>
        </w:rPr>
        <w:t>1</w:t>
      </w:r>
      <w:r>
        <w:rPr>
          <w:rFonts w:hint="eastAsia"/>
        </w:rPr>
        <w:t>）建设发展舞台艺术的国内市场，特别是能够更广泛分配其利益的劳动市场；（</w:t>
      </w:r>
      <w:r>
        <w:rPr>
          <w:rFonts w:hint="eastAsia"/>
        </w:rPr>
        <w:t>2</w:t>
      </w:r>
      <w:r>
        <w:rPr>
          <w:rFonts w:hint="eastAsia"/>
        </w:rPr>
        <w:t>）加强拉丁美洲实现发展目标。</w:t>
      </w:r>
    </w:p>
    <w:p w:rsidR="00000000" w:rsidRDefault="00457650">
      <w:pPr>
        <w:widowControl/>
        <w:tabs>
          <w:tab w:val="left" w:pos="630"/>
        </w:tabs>
        <w:spacing w:after="240" w:line="360" w:lineRule="exact"/>
        <w:rPr>
          <w:rFonts w:hint="eastAsia"/>
        </w:rPr>
      </w:pPr>
      <w:r>
        <w:rPr>
          <w:rFonts w:hint="eastAsia"/>
        </w:rPr>
        <w:t>754.</w:t>
      </w:r>
      <w:r>
        <w:rPr>
          <w:rFonts w:hint="eastAsia"/>
        </w:rPr>
        <w:tab/>
      </w:r>
      <w:r>
        <w:rPr>
          <w:rFonts w:hint="eastAsia"/>
        </w:rPr>
        <w:t>土著大众文化局通过各种项目和活动，努力促进能反映墨西哥文化特征的各种土著大众文化的活动和表现。它通过“城市和社区文化扶持项目”鼓励自由艺术创作</w:t>
      </w:r>
      <w:r>
        <w:rPr>
          <w:rFonts w:hint="eastAsia"/>
        </w:rPr>
        <w:t>，鼓励在地区、乡村和社区内外举办有关自我教育和艺术表达方面的交流会、论坛和讲习班，该局在它主管的各种媒体的支持下开展宣传运动。但是，还需要做出努力，使人们更好地了解它们，使项目更加有效的实施并充分扩大它的影响。</w:t>
      </w:r>
    </w:p>
    <w:p w:rsidR="00000000" w:rsidRDefault="00457650">
      <w:pPr>
        <w:widowControl/>
        <w:tabs>
          <w:tab w:val="left" w:pos="630"/>
        </w:tabs>
        <w:spacing w:line="360" w:lineRule="exact"/>
        <w:rPr>
          <w:rFonts w:hint="eastAsia"/>
        </w:rPr>
      </w:pPr>
      <w:r>
        <w:rPr>
          <w:rFonts w:hint="eastAsia"/>
        </w:rPr>
        <w:t>755.</w:t>
      </w:r>
      <w:r>
        <w:rPr>
          <w:rFonts w:hint="eastAsia"/>
        </w:rPr>
        <w:tab/>
      </w:r>
      <w:r>
        <w:rPr>
          <w:rFonts w:hint="eastAsia"/>
        </w:rPr>
        <w:t>为此，</w:t>
      </w:r>
      <w:r>
        <w:rPr>
          <w:rFonts w:hint="eastAsia"/>
        </w:rPr>
        <w:t xml:space="preserve"> 2003</w:t>
      </w:r>
      <w:r>
        <w:rPr>
          <w:rFonts w:hint="eastAsia"/>
        </w:rPr>
        <w:t>年和</w:t>
      </w:r>
      <w:r>
        <w:rPr>
          <w:rFonts w:hint="eastAsia"/>
        </w:rPr>
        <w:t>2004</w:t>
      </w:r>
      <w:r>
        <w:rPr>
          <w:rFonts w:hint="eastAsia"/>
        </w:rPr>
        <w:t>年期间，在共和国</w:t>
      </w:r>
      <w:r>
        <w:rPr>
          <w:rFonts w:hint="eastAsia"/>
        </w:rPr>
        <w:t>8</w:t>
      </w:r>
      <w:r>
        <w:rPr>
          <w:rFonts w:hint="eastAsia"/>
        </w:rPr>
        <w:t>个实体对平均</w:t>
      </w:r>
      <w:r>
        <w:rPr>
          <w:rFonts w:hint="eastAsia"/>
        </w:rPr>
        <w:t>313</w:t>
      </w:r>
      <w:r>
        <w:rPr>
          <w:rFonts w:hint="eastAsia"/>
        </w:rPr>
        <w:t>名文化推广人进行了培训，他们来自市属机构、文化机构、大众土著文化单位和办事处，另外还有少量独立的文化推广人和</w:t>
      </w:r>
      <w:r>
        <w:rPr>
          <w:rFonts w:hint="eastAsia"/>
        </w:rPr>
        <w:t>/</w:t>
      </w:r>
      <w:r>
        <w:rPr>
          <w:rFonts w:hint="eastAsia"/>
        </w:rPr>
        <w:t>或协会代表，</w:t>
      </w:r>
      <w:r>
        <w:rPr>
          <w:rFonts w:hint="eastAsia"/>
        </w:rPr>
        <w:t>8</w:t>
      </w:r>
      <w:r>
        <w:rPr>
          <w:rFonts w:hint="eastAsia"/>
        </w:rPr>
        <w:t>个实体如下：</w:t>
      </w:r>
    </w:p>
    <w:p w:rsidR="00000000" w:rsidRDefault="00457650">
      <w:pPr>
        <w:widowControl/>
        <w:tabs>
          <w:tab w:val="left" w:pos="630"/>
        </w:tabs>
        <w:spacing w:after="240" w:line="360" w:lineRule="exact"/>
        <w:jc w:val="center"/>
        <w:rPr>
          <w:rFonts w:ascii="SimHei" w:eastAsia="SimHei" w:hint="eastAsia"/>
        </w:rPr>
      </w:pPr>
      <w:r>
        <w:rPr>
          <w:rFonts w:ascii="SimHei" w:eastAsia="SimHei" w:hint="eastAsia"/>
        </w:rPr>
        <w:t>2003</w:t>
      </w:r>
      <w:r>
        <w:rPr>
          <w:rFonts w:ascii="SimHei" w:eastAsia="SimHei"/>
        </w:rPr>
        <w:t>-</w:t>
      </w:r>
      <w:r>
        <w:rPr>
          <w:rFonts w:ascii="SimHei" w:eastAsia="SimHei" w:hint="eastAsia"/>
        </w:rPr>
        <w:t>2004</w:t>
      </w:r>
      <w:r>
        <w:rPr>
          <w:rFonts w:ascii="SimHei" w:eastAsia="SimHei" w:hint="eastAsia"/>
        </w:rPr>
        <w:t>年</w:t>
      </w:r>
    </w:p>
    <w:tbl>
      <w:tblPr>
        <w:tblW w:w="0" w:type="auto"/>
        <w:tblInd w:w="1908" w:type="dxa"/>
        <w:tblLook w:val="0000" w:firstRow="0" w:lastRow="0" w:firstColumn="0" w:lastColumn="0" w:noHBand="0" w:noVBand="0"/>
      </w:tblPr>
      <w:tblGrid>
        <w:gridCol w:w="3125"/>
        <w:gridCol w:w="2995"/>
      </w:tblGrid>
      <w:tr w:rsidR="00000000">
        <w:tblPrEx>
          <w:tblCellMar>
            <w:top w:w="0" w:type="dxa"/>
            <w:bottom w:w="0" w:type="dxa"/>
          </w:tblCellMar>
        </w:tblPrEx>
        <w:trPr>
          <w:tblHeader/>
        </w:trPr>
        <w:tc>
          <w:tcPr>
            <w:tcW w:w="3125" w:type="dxa"/>
            <w:tcBorders>
              <w:top w:val="single" w:sz="4" w:space="0" w:color="auto"/>
              <w:bottom w:val="single" w:sz="4" w:space="0" w:color="auto"/>
            </w:tcBorders>
          </w:tcPr>
          <w:p w:rsidR="00000000" w:rsidRDefault="00457650">
            <w:pPr>
              <w:pStyle w:val="Header"/>
              <w:widowControl/>
              <w:pBdr>
                <w:bottom w:val="none" w:sz="0" w:space="0" w:color="auto"/>
              </w:pBdr>
              <w:tabs>
                <w:tab w:val="clear" w:pos="4320"/>
                <w:tab w:val="clear" w:pos="8640"/>
              </w:tabs>
              <w:spacing w:after="120" w:line="320" w:lineRule="exact"/>
              <w:rPr>
                <w:rFonts w:eastAsia="KaiTi_GB2312" w:hint="eastAsia"/>
                <w:iCs/>
              </w:rPr>
            </w:pPr>
            <w:r>
              <w:rPr>
                <w:rFonts w:eastAsia="KaiTi_GB2312" w:hint="eastAsia"/>
                <w:iCs/>
              </w:rPr>
              <w:t>实体</w:t>
            </w:r>
          </w:p>
        </w:tc>
        <w:tc>
          <w:tcPr>
            <w:tcW w:w="2995" w:type="dxa"/>
            <w:tcBorders>
              <w:top w:val="single" w:sz="4" w:space="0" w:color="auto"/>
              <w:bottom w:val="single" w:sz="4" w:space="0" w:color="auto"/>
            </w:tcBorders>
          </w:tcPr>
          <w:p w:rsidR="00000000" w:rsidRDefault="00457650">
            <w:pPr>
              <w:pStyle w:val="a3"/>
              <w:widowControl/>
              <w:adjustRightInd w:val="0"/>
              <w:spacing w:after="120" w:line="320" w:lineRule="exact"/>
              <w:jc w:val="center"/>
              <w:textAlignment w:val="baseline"/>
              <w:rPr>
                <w:rFonts w:eastAsia="KaiTi_GB2312" w:hint="eastAsia"/>
                <w:iCs/>
                <w:kern w:val="0"/>
                <w:szCs w:val="20"/>
              </w:rPr>
            </w:pPr>
            <w:r>
              <w:rPr>
                <w:rFonts w:eastAsia="KaiTi_GB2312" w:hint="eastAsia"/>
                <w:iCs/>
                <w:kern w:val="0"/>
                <w:szCs w:val="20"/>
              </w:rPr>
              <w:t>参加人</w:t>
            </w:r>
          </w:p>
        </w:tc>
      </w:tr>
      <w:tr w:rsidR="00000000">
        <w:tblPrEx>
          <w:tblCellMar>
            <w:top w:w="0" w:type="dxa"/>
            <w:bottom w:w="0" w:type="dxa"/>
          </w:tblCellMar>
        </w:tblPrEx>
        <w:tc>
          <w:tcPr>
            <w:tcW w:w="3125" w:type="dxa"/>
            <w:tcBorders>
              <w:top w:val="single" w:sz="4" w:space="0" w:color="auto"/>
            </w:tcBorders>
          </w:tcPr>
          <w:p w:rsidR="00000000" w:rsidRDefault="00457650">
            <w:pPr>
              <w:widowControl/>
              <w:spacing w:after="120" w:line="320" w:lineRule="exact"/>
              <w:rPr>
                <w:rFonts w:hint="eastAsia"/>
                <w:sz w:val="18"/>
              </w:rPr>
            </w:pPr>
            <w:r>
              <w:rPr>
                <w:sz w:val="18"/>
              </w:rPr>
              <w:t>莫雷洛斯</w:t>
            </w:r>
          </w:p>
        </w:tc>
        <w:tc>
          <w:tcPr>
            <w:tcW w:w="2995" w:type="dxa"/>
            <w:tcBorders>
              <w:top w:val="single" w:sz="4" w:space="0" w:color="auto"/>
            </w:tcBorders>
          </w:tcPr>
          <w:p w:rsidR="00000000" w:rsidRDefault="00457650" w:rsidP="00457650">
            <w:pPr>
              <w:widowControl/>
              <w:spacing w:after="120" w:line="320" w:lineRule="exact"/>
              <w:ind w:rightChars="577" w:right="31680"/>
              <w:jc w:val="right"/>
              <w:rPr>
                <w:rFonts w:hint="eastAsia"/>
                <w:sz w:val="18"/>
              </w:rPr>
            </w:pPr>
            <w:r>
              <w:rPr>
                <w:rFonts w:hint="eastAsia"/>
                <w:sz w:val="18"/>
              </w:rPr>
              <w:t>17</w:t>
            </w:r>
          </w:p>
        </w:tc>
      </w:tr>
      <w:tr w:rsidR="00000000">
        <w:tblPrEx>
          <w:tblCellMar>
            <w:top w:w="0" w:type="dxa"/>
            <w:bottom w:w="0" w:type="dxa"/>
          </w:tblCellMar>
        </w:tblPrEx>
        <w:tc>
          <w:tcPr>
            <w:tcW w:w="3125" w:type="dxa"/>
          </w:tcPr>
          <w:p w:rsidR="00000000" w:rsidRDefault="00457650">
            <w:pPr>
              <w:widowControl/>
              <w:spacing w:after="120" w:line="320" w:lineRule="exact"/>
              <w:rPr>
                <w:rFonts w:hint="eastAsia"/>
                <w:sz w:val="18"/>
              </w:rPr>
            </w:pPr>
            <w:r>
              <w:rPr>
                <w:sz w:val="18"/>
              </w:rPr>
              <w:t>圣路易斯波托亚</w:t>
            </w:r>
            <w:r>
              <w:rPr>
                <w:rFonts w:hint="eastAsia"/>
                <w:sz w:val="18"/>
              </w:rPr>
              <w:tab/>
            </w:r>
          </w:p>
        </w:tc>
        <w:tc>
          <w:tcPr>
            <w:tcW w:w="2995" w:type="dxa"/>
          </w:tcPr>
          <w:p w:rsidR="00000000" w:rsidRDefault="00457650" w:rsidP="00457650">
            <w:pPr>
              <w:pStyle w:val="a3"/>
              <w:widowControl/>
              <w:adjustRightInd w:val="0"/>
              <w:spacing w:after="120" w:line="320" w:lineRule="exact"/>
              <w:ind w:rightChars="577" w:right="31680"/>
              <w:jc w:val="right"/>
              <w:textAlignment w:val="baseline"/>
              <w:rPr>
                <w:rFonts w:hint="eastAsia"/>
                <w:kern w:val="0"/>
                <w:szCs w:val="20"/>
              </w:rPr>
            </w:pPr>
            <w:r>
              <w:rPr>
                <w:rFonts w:hint="eastAsia"/>
                <w:kern w:val="0"/>
                <w:szCs w:val="20"/>
              </w:rPr>
              <w:t>24</w:t>
            </w:r>
          </w:p>
        </w:tc>
      </w:tr>
      <w:tr w:rsidR="00000000">
        <w:tblPrEx>
          <w:tblCellMar>
            <w:top w:w="0" w:type="dxa"/>
            <w:bottom w:w="0" w:type="dxa"/>
          </w:tblCellMar>
        </w:tblPrEx>
        <w:tc>
          <w:tcPr>
            <w:tcW w:w="3125" w:type="dxa"/>
          </w:tcPr>
          <w:p w:rsidR="00000000" w:rsidRDefault="00457650">
            <w:pPr>
              <w:widowControl/>
              <w:spacing w:after="120" w:line="320" w:lineRule="exact"/>
              <w:rPr>
                <w:rFonts w:hint="eastAsia"/>
                <w:sz w:val="18"/>
              </w:rPr>
            </w:pPr>
            <w:r>
              <w:rPr>
                <w:sz w:val="18"/>
              </w:rPr>
              <w:t>瓜纳华</w:t>
            </w:r>
            <w:r>
              <w:rPr>
                <w:sz w:val="18"/>
              </w:rPr>
              <w:t>托</w:t>
            </w:r>
          </w:p>
        </w:tc>
        <w:tc>
          <w:tcPr>
            <w:tcW w:w="2995" w:type="dxa"/>
          </w:tcPr>
          <w:p w:rsidR="00000000" w:rsidRDefault="00457650" w:rsidP="00457650">
            <w:pPr>
              <w:widowControl/>
              <w:spacing w:after="120" w:line="320" w:lineRule="exact"/>
              <w:ind w:rightChars="577" w:right="31680"/>
              <w:jc w:val="right"/>
              <w:rPr>
                <w:rFonts w:hint="eastAsia"/>
                <w:sz w:val="18"/>
              </w:rPr>
            </w:pPr>
            <w:r>
              <w:rPr>
                <w:rFonts w:hint="eastAsia"/>
                <w:sz w:val="18"/>
              </w:rPr>
              <w:t>28</w:t>
            </w:r>
          </w:p>
        </w:tc>
      </w:tr>
      <w:tr w:rsidR="00000000">
        <w:tblPrEx>
          <w:tblCellMar>
            <w:top w:w="0" w:type="dxa"/>
            <w:bottom w:w="0" w:type="dxa"/>
          </w:tblCellMar>
        </w:tblPrEx>
        <w:tc>
          <w:tcPr>
            <w:tcW w:w="3125" w:type="dxa"/>
          </w:tcPr>
          <w:p w:rsidR="00000000" w:rsidRDefault="00457650">
            <w:pPr>
              <w:widowControl/>
              <w:spacing w:after="120" w:line="320" w:lineRule="exact"/>
              <w:rPr>
                <w:rFonts w:hint="eastAsia"/>
                <w:sz w:val="18"/>
              </w:rPr>
            </w:pPr>
            <w:r>
              <w:rPr>
                <w:sz w:val="18"/>
              </w:rPr>
              <w:t>普埃布拉</w:t>
            </w:r>
          </w:p>
        </w:tc>
        <w:tc>
          <w:tcPr>
            <w:tcW w:w="2995" w:type="dxa"/>
          </w:tcPr>
          <w:p w:rsidR="00000000" w:rsidRDefault="00457650" w:rsidP="00457650">
            <w:pPr>
              <w:widowControl/>
              <w:spacing w:after="120" w:line="320" w:lineRule="exact"/>
              <w:ind w:rightChars="577" w:right="31680"/>
              <w:jc w:val="right"/>
              <w:rPr>
                <w:rFonts w:hint="eastAsia"/>
                <w:sz w:val="18"/>
              </w:rPr>
            </w:pPr>
            <w:r>
              <w:rPr>
                <w:rFonts w:hint="eastAsia"/>
                <w:sz w:val="18"/>
              </w:rPr>
              <w:t>18</w:t>
            </w:r>
          </w:p>
        </w:tc>
      </w:tr>
      <w:tr w:rsidR="00000000">
        <w:tblPrEx>
          <w:tblCellMar>
            <w:top w:w="0" w:type="dxa"/>
            <w:bottom w:w="0" w:type="dxa"/>
          </w:tblCellMar>
        </w:tblPrEx>
        <w:tc>
          <w:tcPr>
            <w:tcW w:w="3125" w:type="dxa"/>
          </w:tcPr>
          <w:p w:rsidR="00000000" w:rsidRDefault="00457650">
            <w:pPr>
              <w:widowControl/>
              <w:spacing w:after="120" w:line="320" w:lineRule="exact"/>
              <w:rPr>
                <w:rFonts w:hint="eastAsia"/>
                <w:sz w:val="18"/>
              </w:rPr>
            </w:pPr>
            <w:r>
              <w:rPr>
                <w:sz w:val="18"/>
              </w:rPr>
              <w:t>萨卡特卡斯</w:t>
            </w:r>
            <w:r>
              <w:rPr>
                <w:rFonts w:hint="eastAsia"/>
                <w:sz w:val="18"/>
              </w:rPr>
              <w:tab/>
            </w:r>
          </w:p>
        </w:tc>
        <w:tc>
          <w:tcPr>
            <w:tcW w:w="2995" w:type="dxa"/>
          </w:tcPr>
          <w:p w:rsidR="00000000" w:rsidRDefault="00457650" w:rsidP="00457650">
            <w:pPr>
              <w:widowControl/>
              <w:spacing w:after="120" w:line="320" w:lineRule="exact"/>
              <w:ind w:rightChars="577" w:right="31680"/>
              <w:jc w:val="right"/>
              <w:rPr>
                <w:rFonts w:hint="eastAsia"/>
                <w:sz w:val="18"/>
              </w:rPr>
            </w:pPr>
            <w:r>
              <w:rPr>
                <w:rFonts w:hint="eastAsia"/>
                <w:sz w:val="18"/>
              </w:rPr>
              <w:t>25</w:t>
            </w:r>
          </w:p>
        </w:tc>
      </w:tr>
      <w:tr w:rsidR="00000000">
        <w:tblPrEx>
          <w:tblCellMar>
            <w:top w:w="0" w:type="dxa"/>
            <w:bottom w:w="0" w:type="dxa"/>
          </w:tblCellMar>
        </w:tblPrEx>
        <w:tc>
          <w:tcPr>
            <w:tcW w:w="3125" w:type="dxa"/>
          </w:tcPr>
          <w:p w:rsidR="00000000" w:rsidRDefault="00457650">
            <w:pPr>
              <w:widowControl/>
              <w:spacing w:after="120" w:line="320" w:lineRule="exact"/>
              <w:rPr>
                <w:rFonts w:hint="eastAsia"/>
                <w:sz w:val="18"/>
              </w:rPr>
            </w:pPr>
            <w:r>
              <w:rPr>
                <w:sz w:val="18"/>
              </w:rPr>
              <w:t>塔瓦斯科</w:t>
            </w:r>
          </w:p>
        </w:tc>
        <w:tc>
          <w:tcPr>
            <w:tcW w:w="2995" w:type="dxa"/>
          </w:tcPr>
          <w:p w:rsidR="00000000" w:rsidRDefault="00457650" w:rsidP="00457650">
            <w:pPr>
              <w:widowControl/>
              <w:spacing w:after="120" w:line="320" w:lineRule="exact"/>
              <w:ind w:rightChars="577" w:right="31680"/>
              <w:jc w:val="right"/>
              <w:rPr>
                <w:rFonts w:hint="eastAsia"/>
                <w:sz w:val="18"/>
              </w:rPr>
            </w:pPr>
            <w:r>
              <w:rPr>
                <w:rFonts w:hint="eastAsia"/>
                <w:sz w:val="18"/>
              </w:rPr>
              <w:t>24</w:t>
            </w:r>
          </w:p>
        </w:tc>
      </w:tr>
      <w:tr w:rsidR="00000000">
        <w:tblPrEx>
          <w:tblCellMar>
            <w:top w:w="0" w:type="dxa"/>
            <w:bottom w:w="0" w:type="dxa"/>
          </w:tblCellMar>
        </w:tblPrEx>
        <w:tc>
          <w:tcPr>
            <w:tcW w:w="3125" w:type="dxa"/>
          </w:tcPr>
          <w:p w:rsidR="00000000" w:rsidRDefault="00457650">
            <w:pPr>
              <w:widowControl/>
              <w:spacing w:after="120" w:line="320" w:lineRule="exact"/>
              <w:rPr>
                <w:rFonts w:hint="eastAsia"/>
                <w:sz w:val="18"/>
              </w:rPr>
            </w:pPr>
            <w:r>
              <w:rPr>
                <w:sz w:val="18"/>
              </w:rPr>
              <w:t>金塔纳罗奥</w:t>
            </w:r>
            <w:r>
              <w:rPr>
                <w:rFonts w:hint="eastAsia"/>
                <w:sz w:val="18"/>
              </w:rPr>
              <w:tab/>
            </w:r>
          </w:p>
        </w:tc>
        <w:tc>
          <w:tcPr>
            <w:tcW w:w="2995" w:type="dxa"/>
          </w:tcPr>
          <w:p w:rsidR="00000000" w:rsidRDefault="00457650" w:rsidP="00457650">
            <w:pPr>
              <w:widowControl/>
              <w:spacing w:after="120" w:line="320" w:lineRule="exact"/>
              <w:ind w:rightChars="577" w:right="31680"/>
              <w:jc w:val="right"/>
              <w:rPr>
                <w:rFonts w:hint="eastAsia"/>
                <w:sz w:val="18"/>
              </w:rPr>
            </w:pPr>
            <w:r>
              <w:rPr>
                <w:rFonts w:hint="eastAsia"/>
                <w:sz w:val="18"/>
              </w:rPr>
              <w:t>23</w:t>
            </w:r>
          </w:p>
        </w:tc>
      </w:tr>
      <w:tr w:rsidR="00000000">
        <w:tblPrEx>
          <w:tblCellMar>
            <w:top w:w="0" w:type="dxa"/>
            <w:bottom w:w="0" w:type="dxa"/>
          </w:tblCellMar>
        </w:tblPrEx>
        <w:tc>
          <w:tcPr>
            <w:tcW w:w="3125" w:type="dxa"/>
          </w:tcPr>
          <w:p w:rsidR="00000000" w:rsidRDefault="00457650">
            <w:pPr>
              <w:widowControl/>
              <w:spacing w:after="120" w:line="320" w:lineRule="exact"/>
              <w:rPr>
                <w:rFonts w:hint="eastAsia"/>
                <w:sz w:val="18"/>
              </w:rPr>
            </w:pPr>
            <w:r>
              <w:rPr>
                <w:sz w:val="18"/>
              </w:rPr>
              <w:t>联邦区</w:t>
            </w:r>
            <w:r>
              <w:rPr>
                <w:rFonts w:hint="eastAsia"/>
                <w:sz w:val="18"/>
              </w:rPr>
              <w:tab/>
            </w:r>
          </w:p>
        </w:tc>
        <w:tc>
          <w:tcPr>
            <w:tcW w:w="2995" w:type="dxa"/>
          </w:tcPr>
          <w:p w:rsidR="00000000" w:rsidRDefault="00457650" w:rsidP="00457650">
            <w:pPr>
              <w:widowControl/>
              <w:spacing w:after="120" w:line="320" w:lineRule="exact"/>
              <w:ind w:rightChars="577" w:right="31680"/>
              <w:jc w:val="right"/>
              <w:rPr>
                <w:rFonts w:hint="eastAsia"/>
                <w:sz w:val="18"/>
              </w:rPr>
            </w:pPr>
            <w:r>
              <w:rPr>
                <w:rFonts w:hint="eastAsia"/>
                <w:sz w:val="18"/>
              </w:rPr>
              <w:t>153</w:t>
            </w:r>
          </w:p>
        </w:tc>
      </w:tr>
      <w:tr w:rsidR="00000000">
        <w:tblPrEx>
          <w:tblCellMar>
            <w:top w:w="0" w:type="dxa"/>
            <w:bottom w:w="0" w:type="dxa"/>
          </w:tblCellMar>
        </w:tblPrEx>
        <w:tc>
          <w:tcPr>
            <w:tcW w:w="3125" w:type="dxa"/>
            <w:tcBorders>
              <w:bottom w:val="single" w:sz="4" w:space="0" w:color="auto"/>
            </w:tcBorders>
          </w:tcPr>
          <w:p w:rsidR="00000000" w:rsidRDefault="00457650">
            <w:pPr>
              <w:widowControl/>
              <w:spacing w:after="120" w:line="320" w:lineRule="exact"/>
              <w:rPr>
                <w:rFonts w:hint="eastAsia"/>
                <w:sz w:val="18"/>
              </w:rPr>
            </w:pPr>
            <w:r>
              <w:rPr>
                <w:rFonts w:hint="eastAsia"/>
                <w:sz w:val="18"/>
              </w:rPr>
              <w:t>共计：</w:t>
            </w:r>
            <w:r>
              <w:rPr>
                <w:rFonts w:hint="eastAsia"/>
                <w:sz w:val="18"/>
              </w:rPr>
              <w:t>8</w:t>
            </w:r>
            <w:r>
              <w:rPr>
                <w:rFonts w:hint="eastAsia"/>
                <w:sz w:val="18"/>
              </w:rPr>
              <w:t>个地区</w:t>
            </w:r>
          </w:p>
        </w:tc>
        <w:tc>
          <w:tcPr>
            <w:tcW w:w="2995" w:type="dxa"/>
            <w:tcBorders>
              <w:bottom w:val="single" w:sz="4" w:space="0" w:color="auto"/>
            </w:tcBorders>
          </w:tcPr>
          <w:p w:rsidR="00000000" w:rsidRDefault="00457650" w:rsidP="00457650">
            <w:pPr>
              <w:widowControl/>
              <w:spacing w:after="120" w:line="320" w:lineRule="exact"/>
              <w:ind w:rightChars="577" w:right="31680"/>
              <w:jc w:val="right"/>
              <w:rPr>
                <w:rFonts w:hint="eastAsia"/>
                <w:sz w:val="18"/>
              </w:rPr>
            </w:pPr>
            <w:r>
              <w:rPr>
                <w:rFonts w:hint="eastAsia"/>
                <w:sz w:val="18"/>
              </w:rPr>
              <w:t>313</w:t>
            </w:r>
          </w:p>
        </w:tc>
      </w:tr>
    </w:tbl>
    <w:p w:rsidR="00000000" w:rsidRDefault="00457650" w:rsidP="00457650">
      <w:pPr>
        <w:widowControl/>
        <w:tabs>
          <w:tab w:val="left" w:pos="630"/>
        </w:tabs>
        <w:spacing w:after="240" w:line="360" w:lineRule="exact"/>
        <w:ind w:firstLineChars="1000" w:firstLine="31680"/>
        <w:rPr>
          <w:rFonts w:hint="eastAsia"/>
          <w:iCs/>
          <w:sz w:val="18"/>
        </w:rPr>
      </w:pPr>
      <w:r>
        <w:rPr>
          <w:rFonts w:eastAsia="KaiTi_GB2312" w:hint="eastAsia"/>
          <w:iCs/>
          <w:sz w:val="18"/>
        </w:rPr>
        <w:t>资料来源</w:t>
      </w:r>
      <w:r>
        <w:rPr>
          <w:rFonts w:hint="eastAsia"/>
          <w:iCs/>
          <w:sz w:val="18"/>
        </w:rPr>
        <w:t>：国家文化和艺术委员会。</w:t>
      </w:r>
    </w:p>
    <w:p w:rsidR="00000000" w:rsidRDefault="00457650">
      <w:pPr>
        <w:widowControl/>
        <w:tabs>
          <w:tab w:val="left" w:pos="630"/>
        </w:tabs>
        <w:spacing w:after="240" w:line="360" w:lineRule="exact"/>
        <w:rPr>
          <w:rFonts w:hint="eastAsia"/>
        </w:rPr>
      </w:pPr>
      <w:r>
        <w:rPr>
          <w:rFonts w:hint="eastAsia"/>
        </w:rPr>
        <w:t>756.</w:t>
      </w:r>
      <w:r>
        <w:rPr>
          <w:rFonts w:hint="eastAsia"/>
        </w:rPr>
        <w:tab/>
      </w:r>
      <w:r>
        <w:rPr>
          <w:rFonts w:hint="eastAsia"/>
        </w:rPr>
        <w:t>文化联系和公民参与局开展了城市文化发展项目，旨在设立财政基金并成立城市文化委员会，负责规划，使用和管理项目资源。在</w:t>
      </w:r>
      <w:r>
        <w:rPr>
          <w:rFonts w:hint="eastAsia"/>
        </w:rPr>
        <w:t>2003</w:t>
      </w:r>
      <w:r>
        <w:rPr>
          <w:rFonts w:hint="eastAsia"/>
        </w:rPr>
        <w:t>年，</w:t>
      </w:r>
      <w:r>
        <w:rPr>
          <w:rFonts w:hint="eastAsia"/>
        </w:rPr>
        <w:t>280</w:t>
      </w:r>
      <w:r>
        <w:rPr>
          <w:rFonts w:hint="eastAsia"/>
        </w:rPr>
        <w:t>个城市加入了该委员会，并正式设立了</w:t>
      </w:r>
      <w:r>
        <w:rPr>
          <w:rFonts w:hint="eastAsia"/>
        </w:rPr>
        <w:t>185</w:t>
      </w:r>
      <w:r>
        <w:rPr>
          <w:rFonts w:hint="eastAsia"/>
        </w:rPr>
        <w:t>个理事会。</w:t>
      </w:r>
    </w:p>
    <w:p w:rsidR="00000000" w:rsidRDefault="00457650">
      <w:pPr>
        <w:widowControl/>
        <w:tabs>
          <w:tab w:val="left" w:pos="630"/>
        </w:tabs>
        <w:spacing w:after="240" w:line="360" w:lineRule="exact"/>
        <w:rPr>
          <w:rFonts w:hint="eastAsia"/>
        </w:rPr>
      </w:pPr>
      <w:r>
        <w:rPr>
          <w:rFonts w:hint="eastAsia"/>
        </w:rPr>
        <w:t>757.</w:t>
      </w:r>
      <w:r>
        <w:rPr>
          <w:rFonts w:hint="eastAsia"/>
        </w:rPr>
        <w:tab/>
      </w:r>
      <w:r>
        <w:rPr>
          <w:rFonts w:hint="eastAsia"/>
        </w:rPr>
        <w:t>图书馆局开展了许多支持阅读的项目，包括每年夏天的“图书馆中的假期”计划，主要针对儿童和青年。</w:t>
      </w:r>
    </w:p>
    <w:p w:rsidR="00000000" w:rsidRDefault="00457650">
      <w:pPr>
        <w:widowControl/>
        <w:tabs>
          <w:tab w:val="left" w:pos="630"/>
        </w:tabs>
        <w:spacing w:after="240" w:line="360" w:lineRule="exact"/>
        <w:rPr>
          <w:rFonts w:hint="eastAsia"/>
        </w:rPr>
      </w:pPr>
      <w:r>
        <w:rPr>
          <w:rFonts w:hint="eastAsia"/>
        </w:rPr>
        <w:t>758.</w:t>
      </w:r>
      <w:r>
        <w:rPr>
          <w:rFonts w:hint="eastAsia"/>
        </w:rPr>
        <w:tab/>
      </w:r>
      <w:r>
        <w:rPr>
          <w:rFonts w:hint="eastAsia"/>
        </w:rPr>
        <w:t>希腊文化中心的一项主要兴趣是加强</w:t>
      </w:r>
      <w:r>
        <w:rPr>
          <w:rFonts w:hint="eastAsia"/>
        </w:rPr>
        <w:t>文化认同。为此，它制定了许多关于戏剧和国内作品的计划。其中包括“青年创作者”项目，它针对刚毕业的青年剧作家和导演，以及那些个人投身戏剧的人。</w:t>
      </w:r>
    </w:p>
    <w:p w:rsidR="00000000" w:rsidRDefault="00457650">
      <w:pPr>
        <w:widowControl/>
        <w:tabs>
          <w:tab w:val="left" w:pos="630"/>
        </w:tabs>
        <w:spacing w:after="240" w:line="360" w:lineRule="exact"/>
        <w:rPr>
          <w:rFonts w:hint="eastAsia"/>
        </w:rPr>
      </w:pPr>
      <w:r>
        <w:rPr>
          <w:rFonts w:hint="eastAsia"/>
        </w:rPr>
        <w:t>759.</w:t>
      </w:r>
      <w:r>
        <w:rPr>
          <w:rFonts w:hint="eastAsia"/>
        </w:rPr>
        <w:tab/>
      </w:r>
      <w:r>
        <w:rPr>
          <w:rFonts w:hint="eastAsia"/>
        </w:rPr>
        <w:t>“国家青年剧作家奖”是针对墨西哥未发表的剧作组织的一种竞赛活动。参加决赛的选手作品收入“小剧场”书籍，获胜剧目将在“青年创作者”活动期间在同一剧场表演。另一个著名活动是“国际当代剧作周”，举办期间开展</w:t>
      </w:r>
      <w:r>
        <w:rPr>
          <w:rFonts w:hint="eastAsia"/>
        </w:rPr>
        <w:t>7</w:t>
      </w:r>
      <w:r>
        <w:rPr>
          <w:rFonts w:hint="eastAsia"/>
        </w:rPr>
        <w:t>天的戏剧活动、包括圆桌会议，戏剧阅读，有时还有研讨会和国内国外参与者参加的交流活动。这一活动有助于墨西哥的戏剧传播。</w:t>
      </w:r>
    </w:p>
    <w:p w:rsidR="00000000" w:rsidRDefault="00457650">
      <w:pPr>
        <w:widowControl/>
        <w:tabs>
          <w:tab w:val="left" w:pos="630"/>
        </w:tabs>
        <w:spacing w:after="240" w:line="360" w:lineRule="exact"/>
        <w:rPr>
          <w:rFonts w:hint="eastAsia"/>
        </w:rPr>
      </w:pPr>
      <w:r>
        <w:rPr>
          <w:rFonts w:hint="eastAsia"/>
        </w:rPr>
        <w:t>760.</w:t>
      </w:r>
      <w:r>
        <w:tab/>
      </w:r>
      <w:r>
        <w:rPr>
          <w:rFonts w:hint="eastAsia"/>
        </w:rPr>
        <w:t>此外，墨西哥电影摄影协会的</w:t>
      </w:r>
      <w:r>
        <w:rPr>
          <w:rFonts w:eastAsia="KaiTi_GB2312" w:hint="eastAsia"/>
          <w:iCs/>
        </w:rPr>
        <w:t>主要</w:t>
      </w:r>
      <w:r>
        <w:rPr>
          <w:rFonts w:eastAsia="KaiTi_GB2312" w:hint="eastAsia"/>
          <w:iCs/>
        </w:rPr>
        <w:t>目标之一是加强电影业，使之成为墨西哥文化表现形式之一，在墨西哥发挥最大的作用和影响力，并在国际上获得公认</w:t>
      </w:r>
      <w:r>
        <w:rPr>
          <w:rFonts w:hint="eastAsia"/>
        </w:rPr>
        <w:t>。它在全国开展促进和传播活动，并参加墨西哥著名电影活动，推广新文化电影。它的代表还出席了国际主要电影节和市场，每年分发“作品总名录”，其中包括国家和私人制作人投资的电影。</w:t>
      </w:r>
    </w:p>
    <w:p w:rsidR="00000000" w:rsidRDefault="00457650">
      <w:pPr>
        <w:widowControl/>
        <w:tabs>
          <w:tab w:val="left" w:pos="630"/>
        </w:tabs>
        <w:spacing w:after="240" w:line="360" w:lineRule="exact"/>
        <w:rPr>
          <w:rFonts w:hint="eastAsia"/>
        </w:rPr>
      </w:pPr>
      <w:r>
        <w:rPr>
          <w:rFonts w:hint="eastAsia"/>
        </w:rPr>
        <w:t>761.</w:t>
      </w:r>
      <w:r>
        <w:rPr>
          <w:rFonts w:hint="eastAsia"/>
        </w:rPr>
        <w:tab/>
      </w:r>
      <w:r>
        <w:rPr>
          <w:rFonts w:hint="eastAsia"/>
        </w:rPr>
        <w:t>全国开设了第</w:t>
      </w:r>
      <w:r>
        <w:rPr>
          <w:rFonts w:hint="eastAsia"/>
        </w:rPr>
        <w:t>22</w:t>
      </w:r>
      <w:r>
        <w:rPr>
          <w:rFonts w:hint="eastAsia"/>
        </w:rPr>
        <w:t>频道，即文化电视频道，目前占所有节目的</w:t>
      </w:r>
      <w:r>
        <w:rPr>
          <w:rFonts w:hint="eastAsia"/>
        </w:rPr>
        <w:t>49%</w:t>
      </w:r>
      <w:r>
        <w:rPr>
          <w:rFonts w:hint="eastAsia"/>
        </w:rPr>
        <w:t>，它在墨西哥全国</w:t>
      </w:r>
      <w:r>
        <w:rPr>
          <w:rFonts w:hint="eastAsia"/>
        </w:rPr>
        <w:t>332</w:t>
      </w:r>
      <w:r>
        <w:rPr>
          <w:rFonts w:hint="eastAsia"/>
        </w:rPr>
        <w:t>个城镇有数百万潜在观众，它通过有线电视、卫星电视和电视直播网络播放。在</w:t>
      </w:r>
      <w:r>
        <w:rPr>
          <w:rFonts w:hint="eastAsia"/>
        </w:rPr>
        <w:t>2002</w:t>
      </w:r>
      <w:r>
        <w:t>-</w:t>
      </w:r>
      <w:r>
        <w:rPr>
          <w:rFonts w:hint="eastAsia"/>
        </w:rPr>
        <w:t>2003</w:t>
      </w:r>
      <w:r>
        <w:rPr>
          <w:rFonts w:hint="eastAsia"/>
        </w:rPr>
        <w:t>年期间，第</w:t>
      </w:r>
      <w:r>
        <w:rPr>
          <w:rFonts w:hint="eastAsia"/>
        </w:rPr>
        <w:t>22</w:t>
      </w:r>
      <w:r>
        <w:rPr>
          <w:rFonts w:hint="eastAsia"/>
        </w:rPr>
        <w:t>频道的观众在</w:t>
      </w:r>
      <w:r>
        <w:rPr>
          <w:rFonts w:hint="eastAsia"/>
        </w:rPr>
        <w:t>10</w:t>
      </w:r>
      <w:r>
        <w:rPr>
          <w:rFonts w:hint="eastAsia"/>
        </w:rPr>
        <w:t>大最受欢迎的时间段增加了</w:t>
      </w:r>
      <w:r>
        <w:rPr>
          <w:rFonts w:hint="eastAsia"/>
        </w:rPr>
        <w:t>6</w:t>
      </w:r>
      <w:r>
        <w:rPr>
          <w:rFonts w:hint="eastAsia"/>
        </w:rPr>
        <w:t>6%</w:t>
      </w:r>
      <w:r>
        <w:rPr>
          <w:rFonts w:hint="eastAsia"/>
        </w:rPr>
        <w:t>。对国内作品首先在黄金时段播放；节目表重新作了调整，以使观众更认同各种广播节目。</w:t>
      </w:r>
    </w:p>
    <w:p w:rsidR="00000000" w:rsidRDefault="00457650">
      <w:pPr>
        <w:widowControl/>
        <w:tabs>
          <w:tab w:val="left" w:pos="630"/>
        </w:tabs>
        <w:spacing w:after="240" w:line="360" w:lineRule="exact"/>
        <w:rPr>
          <w:rFonts w:hint="eastAsia"/>
        </w:rPr>
      </w:pPr>
      <w:r>
        <w:rPr>
          <w:rFonts w:hint="eastAsia"/>
        </w:rPr>
        <w:t>762.</w:t>
      </w:r>
      <w:r>
        <w:rPr>
          <w:rFonts w:hint="eastAsia"/>
        </w:rPr>
        <w:tab/>
      </w:r>
      <w:r>
        <w:rPr>
          <w:rFonts w:hint="eastAsia"/>
        </w:rPr>
        <w:t>第</w:t>
      </w:r>
      <w:r>
        <w:rPr>
          <w:rFonts w:hint="eastAsia"/>
        </w:rPr>
        <w:t>22</w:t>
      </w:r>
      <w:r>
        <w:rPr>
          <w:rFonts w:hint="eastAsia"/>
        </w:rPr>
        <w:t>频道节目包括历史和科学项目；传记、旅游和自然；音乐剧、歌剧和舞蹈；纪录片和时事；电影圈和专栏，其中包括国产节目和世界最佳电视名录中的节目。同国家和国际教育和文化机构达成的协议和合作产生电视素材也获得了重要地位。</w:t>
      </w:r>
    </w:p>
    <w:p w:rsidR="00000000" w:rsidRDefault="00457650">
      <w:pPr>
        <w:widowControl/>
        <w:tabs>
          <w:tab w:val="left" w:pos="630"/>
        </w:tabs>
        <w:spacing w:after="240" w:line="360" w:lineRule="exact"/>
        <w:rPr>
          <w:rFonts w:hint="eastAsia"/>
        </w:rPr>
      </w:pPr>
      <w:r>
        <w:rPr>
          <w:rFonts w:hint="eastAsia"/>
        </w:rPr>
        <w:t>763.</w:t>
      </w:r>
      <w:r>
        <w:rPr>
          <w:rFonts w:hint="eastAsia"/>
        </w:rPr>
        <w:tab/>
      </w:r>
      <w:r>
        <w:rPr>
          <w:rFonts w:hint="eastAsia"/>
        </w:rPr>
        <w:t>第</w:t>
      </w:r>
      <w:r>
        <w:rPr>
          <w:rFonts w:hint="eastAsia"/>
        </w:rPr>
        <w:t>22</w:t>
      </w:r>
      <w:r>
        <w:rPr>
          <w:rFonts w:hint="eastAsia"/>
        </w:rPr>
        <w:t>频道最雄心勃勃的计划之一是向美国发送信号。该信号播出的是新的第</w:t>
      </w:r>
      <w:r>
        <w:rPr>
          <w:rFonts w:hint="eastAsia"/>
        </w:rPr>
        <w:t>22</w:t>
      </w:r>
      <w:r>
        <w:rPr>
          <w:rFonts w:hint="eastAsia"/>
        </w:rPr>
        <w:t>国际频道的节目，它播出的节目与国内播出的节目不同，美国西班牙语人口最密集的</w:t>
      </w:r>
      <w:r>
        <w:rPr>
          <w:rFonts w:hint="eastAsia"/>
        </w:rPr>
        <w:t>9</w:t>
      </w:r>
      <w:r>
        <w:rPr>
          <w:rFonts w:hint="eastAsia"/>
        </w:rPr>
        <w:t>个州和</w:t>
      </w:r>
      <w:r>
        <w:rPr>
          <w:rFonts w:hint="eastAsia"/>
        </w:rPr>
        <w:t>50</w:t>
      </w:r>
      <w:r>
        <w:rPr>
          <w:rFonts w:hint="eastAsia"/>
        </w:rPr>
        <w:t>个城镇都能收到它的节目，例如伊</w:t>
      </w:r>
      <w:r>
        <w:rPr>
          <w:rFonts w:hint="eastAsia"/>
        </w:rPr>
        <w:t>利诺伊州、新墨西哥州、德克萨斯州、内华达州、加利福尼亚州、佛罗里达州、亚利桑那州、纽约州和科罗拉多州。</w:t>
      </w:r>
    </w:p>
    <w:p w:rsidR="00000000" w:rsidRDefault="00457650">
      <w:pPr>
        <w:widowControl/>
        <w:tabs>
          <w:tab w:val="left" w:pos="630"/>
        </w:tabs>
        <w:spacing w:after="240" w:line="360" w:lineRule="exact"/>
        <w:rPr>
          <w:rFonts w:hint="eastAsia"/>
        </w:rPr>
      </w:pPr>
      <w:r>
        <w:rPr>
          <w:rFonts w:hint="eastAsia"/>
        </w:rPr>
        <w:t>764.</w:t>
      </w:r>
      <w:r>
        <w:rPr>
          <w:rFonts w:hint="eastAsia"/>
        </w:rPr>
        <w:tab/>
      </w:r>
      <w:r>
        <w:rPr>
          <w:rFonts w:hint="eastAsia"/>
        </w:rPr>
        <w:t>与</w:t>
      </w:r>
      <w:r>
        <w:rPr>
          <w:rFonts w:hint="eastAsia"/>
        </w:rPr>
        <w:t>EDUCAL</w:t>
      </w:r>
      <w:r>
        <w:rPr>
          <w:rFonts w:hint="eastAsia"/>
        </w:rPr>
        <w:t>协作，在第</w:t>
      </w:r>
      <w:r>
        <w:rPr>
          <w:rFonts w:hint="eastAsia"/>
        </w:rPr>
        <w:t>22</w:t>
      </w:r>
      <w:r>
        <w:rPr>
          <w:rFonts w:hint="eastAsia"/>
        </w:rPr>
        <w:t>频道播放一系列</w:t>
      </w:r>
      <w:r>
        <w:rPr>
          <w:rFonts w:hint="eastAsia"/>
        </w:rPr>
        <w:t>DVD</w:t>
      </w:r>
      <w:r>
        <w:rPr>
          <w:rFonts w:hint="eastAsia"/>
        </w:rPr>
        <w:t>节目，并在国家文化和艺术委员会环球音像图书馆建立了该频道专集。由于和以下机构达成了协议，该频道的节目水准提高、内容丰富：“</w:t>
      </w:r>
      <w:r>
        <w:rPr>
          <w:rFonts w:hint="eastAsia"/>
        </w:rPr>
        <w:t>Televisa</w:t>
      </w:r>
      <w:r>
        <w:rPr>
          <w:rFonts w:hint="eastAsia"/>
        </w:rPr>
        <w:t>基金会”、“历史中心墨西哥节”、“胡里奥·科特赛协会”、“国际塞凡提斯节”、“</w:t>
      </w:r>
      <w:r>
        <w:t>普埃布拉</w:t>
      </w:r>
      <w:r>
        <w:rPr>
          <w:rFonts w:hint="eastAsia"/>
        </w:rPr>
        <w:t>夏季乐器节”、“瓜达拉哈拉国际书展”、“墨西哥和伊比利亚美洲电影节”、“第</w:t>
      </w:r>
      <w:r>
        <w:rPr>
          <w:rFonts w:hint="eastAsia"/>
        </w:rPr>
        <w:t>22</w:t>
      </w:r>
      <w:r>
        <w:rPr>
          <w:rFonts w:hint="eastAsia"/>
        </w:rPr>
        <w:t>频道在伊比利亚美洲大学主办的文化电视”。</w:t>
      </w:r>
    </w:p>
    <w:p w:rsidR="00000000" w:rsidRDefault="00457650">
      <w:pPr>
        <w:widowControl/>
        <w:tabs>
          <w:tab w:val="left" w:pos="630"/>
        </w:tabs>
        <w:spacing w:after="240" w:line="360" w:lineRule="exact"/>
        <w:rPr>
          <w:rFonts w:hint="eastAsia"/>
        </w:rPr>
      </w:pPr>
      <w:r>
        <w:rPr>
          <w:rFonts w:hint="eastAsia"/>
        </w:rPr>
        <w:t>765</w:t>
      </w:r>
      <w:r>
        <w:rPr>
          <w:rFonts w:hint="eastAsia"/>
        </w:rPr>
        <w:t>.</w:t>
      </w:r>
      <w:r>
        <w:rPr>
          <w:rFonts w:hint="eastAsia"/>
        </w:rPr>
        <w:tab/>
      </w:r>
      <w:r>
        <w:rPr>
          <w:rFonts w:hint="eastAsia"/>
        </w:rPr>
        <w:t>由国家文化和艺术委员会组织的“国际塞凡提斯节”的宗旨是促进和传播文化和艺术。该活动连续</w:t>
      </w:r>
      <w:r>
        <w:rPr>
          <w:rFonts w:hint="eastAsia"/>
        </w:rPr>
        <w:t>31</w:t>
      </w:r>
      <w:r>
        <w:rPr>
          <w:rFonts w:hint="eastAsia"/>
        </w:rPr>
        <w:t>年在</w:t>
      </w:r>
      <w:r>
        <w:t>瓜纳华托</w:t>
      </w:r>
      <w:r>
        <w:rPr>
          <w:rFonts w:hint="eastAsia"/>
        </w:rPr>
        <w:t>举办，今年将是第</w:t>
      </w:r>
      <w:r>
        <w:rPr>
          <w:rFonts w:hint="eastAsia"/>
        </w:rPr>
        <w:t>32</w:t>
      </w:r>
      <w:r>
        <w:rPr>
          <w:rFonts w:hint="eastAsia"/>
        </w:rPr>
        <w:t>届。它的经费由联邦和州预算共同提供。通过参与机制，私人动议极大地推动了该项活动，不仅提升了代表艺术家的水平，还明显加强了通信系统技术。</w:t>
      </w:r>
    </w:p>
    <w:p w:rsidR="00000000" w:rsidRDefault="00457650">
      <w:pPr>
        <w:widowControl/>
        <w:tabs>
          <w:tab w:val="left" w:pos="630"/>
        </w:tabs>
        <w:spacing w:after="240" w:line="360" w:lineRule="exact"/>
        <w:rPr>
          <w:rFonts w:hint="eastAsia"/>
        </w:rPr>
      </w:pPr>
      <w:r>
        <w:rPr>
          <w:rFonts w:hint="eastAsia"/>
        </w:rPr>
        <w:t>766.</w:t>
      </w:r>
      <w:r>
        <w:rPr>
          <w:rFonts w:hint="eastAsia"/>
        </w:rPr>
        <w:tab/>
      </w:r>
      <w:r>
        <w:rPr>
          <w:rFonts w:hint="eastAsia"/>
        </w:rPr>
        <w:t>在本届政府执政期间，除了加强有五大洲参与的一项国际方案外，还通过各大陆、国家和州作为“嘉宾”的形式缜密研究特殊的文化发展进程。</w:t>
      </w:r>
    </w:p>
    <w:p w:rsidR="00000000" w:rsidRDefault="00457650">
      <w:pPr>
        <w:widowControl/>
        <w:tabs>
          <w:tab w:val="left" w:pos="630"/>
        </w:tabs>
        <w:spacing w:after="240" w:line="360" w:lineRule="exact"/>
        <w:rPr>
          <w:rFonts w:hint="eastAsia"/>
        </w:rPr>
      </w:pPr>
      <w:r>
        <w:rPr>
          <w:rFonts w:hint="eastAsia"/>
        </w:rPr>
        <w:t>767.</w:t>
      </w:r>
      <w:r>
        <w:rPr>
          <w:rFonts w:hint="eastAsia"/>
        </w:rPr>
        <w:tab/>
      </w:r>
      <w:r>
        <w:rPr>
          <w:rFonts w:hint="eastAsia"/>
        </w:rPr>
        <w:t>举办国家塞凡提斯节的目的是提供机会获得文化商品。为了实现该目标，不仅在传统领域，如剧院和教堂，还在公共</w:t>
      </w:r>
      <w:r>
        <w:rPr>
          <w:rFonts w:hint="eastAsia"/>
        </w:rPr>
        <w:t>广场和街道实施了艺术项目。为各艺术学科的艺术家和学生设立了一个参与机会项目，安排学术课程加强和丰富当地有天赋的居民的创造过程。该活动符合国家文化项目，提供获得文化商品和服务的机会，表达自由，促进传播艺术，管理和生产文化产品。</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66</w:t>
      </w:r>
      <w:r>
        <w:rPr>
          <w:rFonts w:ascii="SimHei" w:eastAsia="SimHei" w:hint="eastAsia"/>
        </w:rPr>
        <w:t>段（</w:t>
      </w:r>
      <w:r>
        <w:rPr>
          <w:rFonts w:ascii="SimHei" w:eastAsia="SimHei" w:hint="eastAsia"/>
        </w:rPr>
        <w:t>d</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768.</w:t>
      </w:r>
      <w:r>
        <w:rPr>
          <w:rFonts w:hint="eastAsia"/>
        </w:rPr>
        <w:tab/>
      </w:r>
      <w:r>
        <w:t>瓦哈卡</w:t>
      </w:r>
      <w:r>
        <w:rPr>
          <w:rFonts w:hint="eastAsia"/>
        </w:rPr>
        <w:t>文化博物馆项目标志着墨西哥民族展的办展手段发生了变化。迄今，印第安人的历史一直被认为是一部独立的历史，并为此开设了单独的展厅。在新的方法中，土著社会被看做是历史上的重要参与者，自征服以来在统一</w:t>
      </w:r>
      <w:r>
        <w:t>瓦哈卡</w:t>
      </w:r>
      <w:r>
        <w:rPr>
          <w:rFonts w:hint="eastAsia"/>
        </w:rPr>
        <w:t>州和墨西哥的社会过程中，他们的作用被重新承认。同时，在附</w:t>
      </w:r>
      <w:r>
        <w:rPr>
          <w:rFonts w:hint="eastAsia"/>
        </w:rPr>
        <w:t>近建立新展厅以便他们能表达自己目前的社会、政治、经济和文化组织观点。</w:t>
      </w:r>
    </w:p>
    <w:p w:rsidR="00000000" w:rsidRDefault="00457650">
      <w:pPr>
        <w:widowControl/>
        <w:tabs>
          <w:tab w:val="left" w:pos="630"/>
        </w:tabs>
        <w:spacing w:after="240" w:line="360" w:lineRule="exact"/>
        <w:rPr>
          <w:rFonts w:hint="eastAsia"/>
        </w:rPr>
      </w:pPr>
      <w:r>
        <w:rPr>
          <w:rFonts w:hint="eastAsia"/>
        </w:rPr>
        <w:t>769.</w:t>
      </w:r>
      <w:r>
        <w:rPr>
          <w:rFonts w:hint="eastAsia"/>
        </w:rPr>
        <w:tab/>
      </w:r>
      <w:r>
        <w:rPr>
          <w:rFonts w:hint="eastAsia"/>
        </w:rPr>
        <w:t>同样，国家人类学博物馆：印第安人、</w:t>
      </w:r>
      <w:r>
        <w:t>纳亚</w:t>
      </w:r>
      <w:r>
        <w:rPr>
          <w:rFonts w:hint="eastAsia"/>
        </w:rPr>
        <w:t>人、</w:t>
      </w:r>
      <w:r>
        <w:t>奥托米</w:t>
      </w:r>
      <w:r>
        <w:rPr>
          <w:rFonts w:hint="eastAsia"/>
        </w:rPr>
        <w:t>人、纳瓦特尔人、北部团体和</w:t>
      </w:r>
      <w:r>
        <w:t>瓦斯特科</w:t>
      </w:r>
      <w:r>
        <w:rPr>
          <w:rFonts w:hint="eastAsia"/>
        </w:rPr>
        <w:t>人和</w:t>
      </w:r>
      <w:r>
        <w:t>托托纳加</w:t>
      </w:r>
      <w:r>
        <w:rPr>
          <w:rFonts w:hint="eastAsia"/>
        </w:rPr>
        <w:t>人的展厅也被重新改造。在新的展厅，学术和博物馆科学脚本经更新，包括了更早期的调查研究，丰富了民族文化的汇集。国家历史博物馆按照</w:t>
      </w:r>
      <w:r>
        <w:t>瓦哈卡</w:t>
      </w:r>
      <w:r>
        <w:rPr>
          <w:rFonts w:hint="eastAsia"/>
        </w:rPr>
        <w:t>文化博物馆的模式，将国家大事和印第安人的参与结合起来。有关印第安人在墨西哥历史发展中的地位的文件和仿制品按系列在博物馆陈列。位于</w:t>
      </w:r>
      <w:r>
        <w:t>塔毛利帕斯</w:t>
      </w:r>
      <w:r>
        <w:rPr>
          <w:rFonts w:hint="eastAsia"/>
        </w:rPr>
        <w:t>州坦皮科的</w:t>
      </w:r>
      <w:r>
        <w:t>瓦斯特科</w:t>
      </w:r>
      <w:r>
        <w:rPr>
          <w:rFonts w:hint="eastAsia"/>
        </w:rPr>
        <w:t>地区博物馆采取了新的方法，它不同于考古和民族博物馆</w:t>
      </w:r>
      <w:r>
        <w:rPr>
          <w:rFonts w:hint="eastAsia"/>
        </w:rPr>
        <w:t>通常采用的方法，而且摈弃了把两者分开的传统方法。</w:t>
      </w:r>
    </w:p>
    <w:p w:rsidR="00000000" w:rsidRDefault="00457650">
      <w:pPr>
        <w:widowControl/>
        <w:tabs>
          <w:tab w:val="left" w:pos="630"/>
        </w:tabs>
        <w:spacing w:after="240" w:line="360" w:lineRule="exact"/>
        <w:rPr>
          <w:rFonts w:hint="eastAsia"/>
        </w:rPr>
      </w:pPr>
      <w:r>
        <w:rPr>
          <w:rFonts w:hint="eastAsia"/>
        </w:rPr>
        <w:t>770.</w:t>
      </w:r>
      <w:r>
        <w:rPr>
          <w:rFonts w:hint="eastAsia"/>
        </w:rPr>
        <w:tab/>
        <w:t>2001</w:t>
      </w:r>
      <w:r>
        <w:rPr>
          <w:rFonts w:hint="eastAsia"/>
        </w:rPr>
        <w:t>年国会批准对《宪法》第</w:t>
      </w:r>
      <w:r>
        <w:rPr>
          <w:rFonts w:hint="eastAsia"/>
        </w:rPr>
        <w:t>2</w:t>
      </w:r>
      <w:r>
        <w:rPr>
          <w:rFonts w:hint="eastAsia"/>
        </w:rPr>
        <w:t>条进行修改，用全新的方式看待和理解土著人民在墨西哥社会中的地位。与此相关，土著大众文化局通过土著文化全面发展计划采取行动，改善墨西哥原住居民的社会状况。</w:t>
      </w:r>
    </w:p>
    <w:p w:rsidR="00000000" w:rsidRDefault="00457650">
      <w:pPr>
        <w:widowControl/>
        <w:tabs>
          <w:tab w:val="left" w:pos="630"/>
        </w:tabs>
        <w:spacing w:after="240" w:line="360" w:lineRule="exact"/>
        <w:rPr>
          <w:rFonts w:hint="eastAsia"/>
        </w:rPr>
      </w:pPr>
      <w:r>
        <w:rPr>
          <w:rFonts w:hint="eastAsia"/>
        </w:rPr>
        <w:t>771.</w:t>
      </w:r>
      <w:r>
        <w:rPr>
          <w:rFonts w:hint="eastAsia"/>
        </w:rPr>
        <w:tab/>
      </w:r>
      <w:r>
        <w:rPr>
          <w:rFonts w:hint="eastAsia"/>
        </w:rPr>
        <w:t>“</w:t>
      </w:r>
      <w:r>
        <w:t>内扎华科约特</w:t>
      </w:r>
      <w:r>
        <w:rPr>
          <w:rFonts w:hint="eastAsia"/>
        </w:rPr>
        <w:t>土著语言文学奖”是为认可和鼓励墨西哥土著作家的文学创作而设立的。同时，自</w:t>
      </w:r>
      <w:r>
        <w:rPr>
          <w:rFonts w:hint="eastAsia"/>
        </w:rPr>
        <w:t>2002</w:t>
      </w:r>
      <w:r>
        <w:rPr>
          <w:rFonts w:hint="eastAsia"/>
        </w:rPr>
        <w:t>年起，为认可土著妇女对其文化和民族发展所发挥的作用，由妇女制定了文化项目以帮助加强各种有组织的妇女工作。“土著妇女文化发展项目”的宗旨是促进认可土著妇女在保存其民</w:t>
      </w:r>
      <w:r>
        <w:rPr>
          <w:rFonts w:hint="eastAsia"/>
        </w:rPr>
        <w:t>族文化方面的作用，以及她们在应对社会、经济和文化问题时所能发挥的创造性潜力；该项目还帮助在男女间建立平等的关系，同时为土著妇女创作的作品的传播创造空间，表达她们所活跃的不同文化领域中土著人民的文化多元性并表现她们的民族特性。</w:t>
      </w:r>
    </w:p>
    <w:p w:rsidR="00000000" w:rsidRDefault="00457650">
      <w:pPr>
        <w:widowControl/>
        <w:tabs>
          <w:tab w:val="left" w:pos="630"/>
        </w:tabs>
        <w:spacing w:after="240" w:line="360" w:lineRule="exact"/>
        <w:rPr>
          <w:rFonts w:hint="eastAsia"/>
        </w:rPr>
      </w:pPr>
      <w:r>
        <w:rPr>
          <w:rFonts w:hint="eastAsia"/>
        </w:rPr>
        <w:t>772.</w:t>
      </w:r>
      <w:r>
        <w:rPr>
          <w:rFonts w:hint="eastAsia"/>
        </w:rPr>
        <w:tab/>
      </w:r>
      <w:r>
        <w:rPr>
          <w:rFonts w:hint="eastAsia"/>
        </w:rPr>
        <w:t>在这种情况下，“梦想和现实的创作者：流行艺术中的土著妇女”项目聚集了墨西哥多种文化中富有创造力的土著妇女。到目前为止，举行了两次活动：第一次在</w:t>
      </w:r>
      <w:r>
        <w:rPr>
          <w:rFonts w:hint="eastAsia"/>
        </w:rPr>
        <w:t>2002</w:t>
      </w:r>
      <w:r>
        <w:rPr>
          <w:rFonts w:hint="eastAsia"/>
        </w:rPr>
        <w:t>年</w:t>
      </w:r>
      <w:r>
        <w:rPr>
          <w:rFonts w:hint="eastAsia"/>
        </w:rPr>
        <w:t>3</w:t>
      </w:r>
      <w:r>
        <w:rPr>
          <w:rFonts w:hint="eastAsia"/>
        </w:rPr>
        <w:t>月在墨西哥城举行，第二次在</w:t>
      </w:r>
      <w:r>
        <w:rPr>
          <w:rFonts w:hint="eastAsia"/>
        </w:rPr>
        <w:t>2003</w:t>
      </w:r>
      <w:r>
        <w:rPr>
          <w:rFonts w:hint="eastAsia"/>
        </w:rPr>
        <w:t>年</w:t>
      </w:r>
      <w:r>
        <w:rPr>
          <w:rFonts w:hint="eastAsia"/>
        </w:rPr>
        <w:t>3</w:t>
      </w:r>
      <w:r>
        <w:rPr>
          <w:rFonts w:hint="eastAsia"/>
        </w:rPr>
        <w:t>月在</w:t>
      </w:r>
      <w:r>
        <w:t>普埃布拉</w:t>
      </w:r>
      <w:r>
        <w:rPr>
          <w:rFonts w:hint="eastAsia"/>
        </w:rPr>
        <w:t>举行。两次活动均有来自文学、音乐、艺术、手工艺和形象多个艺术领域的</w:t>
      </w:r>
      <w:r>
        <w:rPr>
          <w:rFonts w:hint="eastAsia"/>
        </w:rPr>
        <w:t>50</w:t>
      </w:r>
      <w:r>
        <w:rPr>
          <w:rFonts w:hint="eastAsia"/>
        </w:rPr>
        <w:t>多</w:t>
      </w:r>
      <w:r>
        <w:rPr>
          <w:rFonts w:hint="eastAsia"/>
        </w:rPr>
        <w:t>名女性创作者参加。</w:t>
      </w:r>
    </w:p>
    <w:p w:rsidR="00000000" w:rsidRDefault="00457650">
      <w:pPr>
        <w:widowControl/>
        <w:tabs>
          <w:tab w:val="left" w:pos="630"/>
        </w:tabs>
        <w:spacing w:after="240" w:line="360" w:lineRule="exact"/>
        <w:rPr>
          <w:rFonts w:hint="eastAsia"/>
        </w:rPr>
      </w:pPr>
      <w:r>
        <w:rPr>
          <w:rFonts w:hint="eastAsia"/>
        </w:rPr>
        <w:t>773.</w:t>
      </w:r>
      <w:r>
        <w:rPr>
          <w:rFonts w:hint="eastAsia"/>
        </w:rPr>
        <w:tab/>
      </w:r>
      <w:r>
        <w:rPr>
          <w:rFonts w:hint="eastAsia"/>
        </w:rPr>
        <w:t>第一次洲际座谈会“土著音乐”于</w:t>
      </w:r>
      <w:r>
        <w:rPr>
          <w:rFonts w:hint="eastAsia"/>
        </w:rPr>
        <w:t>2003</w:t>
      </w:r>
      <w:r>
        <w:rPr>
          <w:rFonts w:hint="eastAsia"/>
        </w:rPr>
        <w:t>年在“墨西哥城国际人类学博物馆”举行，会上提出了多个问题和观点。在“国家音乐厅”上演了“美洲之声”。国家文化和艺术委员会促进土著人民、大众和土著文化发展国家委员会和</w:t>
      </w:r>
      <w:r>
        <w:rPr>
          <w:rFonts w:hint="eastAsia"/>
        </w:rPr>
        <w:t>TAC</w:t>
      </w:r>
      <w:r>
        <w:rPr>
          <w:rFonts w:hint="eastAsia"/>
        </w:rPr>
        <w:t>集团组织了“第一届土著音乐展”，该国家委员会、</w:t>
      </w:r>
      <w:r>
        <w:t>米却肯</w:t>
      </w:r>
      <w:r>
        <w:rPr>
          <w:rFonts w:hint="eastAsia"/>
        </w:rPr>
        <w:t>州政府和</w:t>
      </w:r>
      <w:r>
        <w:rPr>
          <w:rFonts w:hint="eastAsia"/>
        </w:rPr>
        <w:t>SECTUR</w:t>
      </w:r>
      <w:r>
        <w:rPr>
          <w:rFonts w:hint="eastAsia"/>
        </w:rPr>
        <w:t>共同在</w:t>
      </w:r>
      <w:r>
        <w:t>米却肯</w:t>
      </w:r>
      <w:r>
        <w:rPr>
          <w:rFonts w:hint="eastAsia"/>
        </w:rPr>
        <w:t>州莫瑞拉组织了“关于文化遗产、发展和旅游的伊比利亚美洲大会”。</w:t>
      </w:r>
    </w:p>
    <w:p w:rsidR="00000000" w:rsidRDefault="00457650">
      <w:pPr>
        <w:widowControl/>
        <w:tabs>
          <w:tab w:val="left" w:pos="630"/>
        </w:tabs>
        <w:spacing w:after="240" w:line="360" w:lineRule="exact"/>
        <w:rPr>
          <w:rFonts w:hint="eastAsia"/>
        </w:rPr>
      </w:pPr>
      <w:r>
        <w:rPr>
          <w:rFonts w:hint="eastAsia"/>
        </w:rPr>
        <w:t>774.</w:t>
      </w:r>
      <w:r>
        <w:rPr>
          <w:rFonts w:hint="eastAsia"/>
        </w:rPr>
        <w:tab/>
      </w:r>
      <w:r>
        <w:rPr>
          <w:rFonts w:hint="eastAsia"/>
        </w:rPr>
        <w:t>“美洲中心地带座谈会”协助土著领袖讨论他们的发展问题和目标，探讨他们的共性和如何同社会其他部门开展对话。</w:t>
      </w:r>
    </w:p>
    <w:p w:rsidR="00000000" w:rsidRDefault="00457650">
      <w:pPr>
        <w:widowControl/>
        <w:tabs>
          <w:tab w:val="left" w:pos="630"/>
        </w:tabs>
        <w:spacing w:after="240" w:line="360" w:lineRule="exact"/>
        <w:rPr>
          <w:rFonts w:hint="eastAsia"/>
        </w:rPr>
      </w:pPr>
      <w:r>
        <w:rPr>
          <w:rFonts w:hint="eastAsia"/>
        </w:rPr>
        <w:t>775.</w:t>
      </w:r>
      <w:r>
        <w:rPr>
          <w:rFonts w:hint="eastAsia"/>
        </w:rPr>
        <w:tab/>
      </w:r>
      <w:r>
        <w:rPr>
          <w:rFonts w:hint="eastAsia"/>
        </w:rPr>
        <w:t>众议院土著人民发展代表办公室、土著语言作家协会以及国家文化和技术委员会大众和土著文化委员会出版了一部图书，其中的国际和国内文件对教科文组织“国际母语日”（</w:t>
      </w:r>
      <w:r>
        <w:rPr>
          <w:rFonts w:hint="eastAsia"/>
        </w:rPr>
        <w:t>2</w:t>
      </w:r>
      <w:r>
        <w:rPr>
          <w:rFonts w:hint="eastAsia"/>
        </w:rPr>
        <w:t>月</w:t>
      </w:r>
      <w:r>
        <w:rPr>
          <w:rFonts w:hint="eastAsia"/>
        </w:rPr>
        <w:t>21</w:t>
      </w:r>
      <w:r>
        <w:rPr>
          <w:rFonts w:hint="eastAsia"/>
        </w:rPr>
        <w:t>日）的庆祝活动作了说明。</w:t>
      </w:r>
    </w:p>
    <w:p w:rsidR="00000000" w:rsidRDefault="00457650">
      <w:pPr>
        <w:widowControl/>
        <w:tabs>
          <w:tab w:val="left" w:pos="630"/>
        </w:tabs>
        <w:spacing w:after="240" w:line="360" w:lineRule="exact"/>
        <w:rPr>
          <w:rFonts w:hint="eastAsia"/>
        </w:rPr>
      </w:pPr>
      <w:r>
        <w:rPr>
          <w:rFonts w:hint="eastAsia"/>
        </w:rPr>
        <w:t>776.</w:t>
      </w:r>
      <w:r>
        <w:rPr>
          <w:rFonts w:hint="eastAsia"/>
        </w:rPr>
        <w:tab/>
      </w:r>
      <w:r>
        <w:rPr>
          <w:rFonts w:hint="eastAsia"/>
        </w:rPr>
        <w:t>国家文化和艺术基金自</w:t>
      </w:r>
      <w:r>
        <w:rPr>
          <w:rFonts w:hint="eastAsia"/>
        </w:rPr>
        <w:t>1992</w:t>
      </w:r>
      <w:r>
        <w:rPr>
          <w:rFonts w:hint="eastAsia"/>
        </w:rPr>
        <w:t>年起开展了“土著语言作家项目”。该活动鼓励这些具体语言文学形式的发展，它们的复兴、写作和传播，充分尊重它们的传统和习惯。</w:t>
      </w:r>
      <w:r>
        <w:rPr>
          <w:rFonts w:hint="eastAsia"/>
        </w:rPr>
        <w:t>30</w:t>
      </w:r>
      <w:r>
        <w:rPr>
          <w:rFonts w:hint="eastAsia"/>
        </w:rPr>
        <w:t>种土著语言的</w:t>
      </w:r>
      <w:r>
        <w:rPr>
          <w:rFonts w:hint="eastAsia"/>
        </w:rPr>
        <w:t>173</w:t>
      </w:r>
      <w:r>
        <w:rPr>
          <w:rFonts w:hint="eastAsia"/>
        </w:rPr>
        <w:t>名作家已经从该项目中受益。其中</w:t>
      </w:r>
      <w:r>
        <w:rPr>
          <w:rFonts w:hint="eastAsia"/>
        </w:rPr>
        <w:t>96</w:t>
      </w:r>
      <w:r>
        <w:rPr>
          <w:rFonts w:hint="eastAsia"/>
        </w:rPr>
        <w:t>名作家是在</w:t>
      </w:r>
      <w:r>
        <w:rPr>
          <w:rFonts w:hint="eastAsia"/>
        </w:rPr>
        <w:t>1996</w:t>
      </w:r>
      <w:r>
        <w:rPr>
          <w:rFonts w:hint="eastAsia"/>
        </w:rPr>
        <w:t>年至</w:t>
      </w:r>
      <w:r>
        <w:rPr>
          <w:rFonts w:hint="eastAsia"/>
        </w:rPr>
        <w:t>2003</w:t>
      </w:r>
      <w:r>
        <w:rPr>
          <w:rFonts w:hint="eastAsia"/>
        </w:rPr>
        <w:t>年期间获得资助。</w:t>
      </w:r>
    </w:p>
    <w:p w:rsidR="00000000" w:rsidRDefault="00457650">
      <w:pPr>
        <w:widowControl/>
        <w:tabs>
          <w:tab w:val="left" w:pos="630"/>
        </w:tabs>
        <w:spacing w:after="240" w:line="360" w:lineRule="exact"/>
        <w:rPr>
          <w:rFonts w:hint="eastAsia"/>
        </w:rPr>
      </w:pPr>
      <w:r>
        <w:rPr>
          <w:rFonts w:hint="eastAsia"/>
        </w:rPr>
        <w:t>777.</w:t>
      </w:r>
      <w:r>
        <w:rPr>
          <w:rFonts w:hint="eastAsia"/>
        </w:rPr>
        <w:tab/>
      </w:r>
      <w:r>
        <w:rPr>
          <w:rFonts w:hint="eastAsia"/>
        </w:rPr>
        <w:t>在传统文化领域另一个同样重要的文化形式是音乐创作和表</w:t>
      </w:r>
      <w:r>
        <w:rPr>
          <w:rFonts w:hint="eastAsia"/>
        </w:rPr>
        <w:t>演。音乐表达的兴起和发展得益于致力于保护它的多个团体的支持，不过，缺少长期的经费资助计划帮助促进其作品的保存和支持其创作。</w:t>
      </w:r>
    </w:p>
    <w:p w:rsidR="00000000" w:rsidRDefault="00457650">
      <w:pPr>
        <w:widowControl/>
        <w:tabs>
          <w:tab w:val="left" w:pos="630"/>
        </w:tabs>
        <w:spacing w:after="240" w:line="360" w:lineRule="exact"/>
        <w:rPr>
          <w:rFonts w:hint="eastAsia"/>
        </w:rPr>
      </w:pPr>
      <w:r>
        <w:rPr>
          <w:rFonts w:hint="eastAsia"/>
        </w:rPr>
        <w:t>778.</w:t>
      </w:r>
      <w:r>
        <w:rPr>
          <w:rFonts w:hint="eastAsia"/>
        </w:rPr>
        <w:tab/>
      </w:r>
      <w:r>
        <w:rPr>
          <w:rFonts w:hint="eastAsia"/>
        </w:rPr>
        <w:t>在</w:t>
      </w:r>
      <w:r>
        <w:rPr>
          <w:rFonts w:hint="eastAsia"/>
        </w:rPr>
        <w:t>2001</w:t>
      </w:r>
      <w:r>
        <w:rPr>
          <w:rFonts w:hint="eastAsia"/>
        </w:rPr>
        <w:t>年，国家文化和艺术基金发表了第一个墨西哥传统音乐家奖金广告。其目标人群包括传统音乐的作曲人和表演人，还有用传统乐器演绎音乐的团体和支持并</w:t>
      </w:r>
      <w:r>
        <w:rPr>
          <w:rFonts w:hint="eastAsia"/>
        </w:rPr>
        <w:t>/</w:t>
      </w:r>
      <w:r>
        <w:rPr>
          <w:rFonts w:hint="eastAsia"/>
        </w:rPr>
        <w:t>或恢复传统音乐声音和结构的任何人。它的目的是促进保存乐声并加强音乐创作的种类，帮助其发展和获得国际国内音乐界承认。它不仅旨在保存，还鼓励音乐的语言。该项目通过其三个广播节目，向全国各地的传统音乐家和作曲家提供奖金。</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66</w:t>
      </w:r>
      <w:r>
        <w:rPr>
          <w:rFonts w:ascii="SimHei" w:eastAsia="SimHei" w:hint="eastAsia"/>
        </w:rPr>
        <w:t>段（</w:t>
      </w:r>
      <w:r>
        <w:rPr>
          <w:rFonts w:ascii="SimHei" w:eastAsia="SimHei" w:hint="eastAsia"/>
        </w:rPr>
        <w:t>e</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779.</w:t>
      </w:r>
      <w:r>
        <w:rPr>
          <w:rFonts w:hint="eastAsia"/>
        </w:rPr>
        <w:tab/>
      </w:r>
      <w:r>
        <w:rPr>
          <w:rFonts w:hint="eastAsia"/>
        </w:rPr>
        <w:t>国家文化和艺术委员会利用其各下属机构，尽力通过媒体促进文化生活的参与性。为此，它最近开始播放电视点播节目，鼓励开展读书活动。</w:t>
      </w:r>
    </w:p>
    <w:p w:rsidR="00000000" w:rsidRDefault="00457650">
      <w:pPr>
        <w:widowControl/>
        <w:tabs>
          <w:tab w:val="left" w:pos="630"/>
        </w:tabs>
        <w:spacing w:after="240" w:line="360" w:lineRule="exact"/>
        <w:rPr>
          <w:rFonts w:hint="eastAsia"/>
        </w:rPr>
      </w:pPr>
      <w:r>
        <w:rPr>
          <w:rFonts w:hint="eastAsia"/>
        </w:rPr>
        <w:t>780.</w:t>
      </w:r>
      <w:r>
        <w:rPr>
          <w:rFonts w:hint="eastAsia"/>
        </w:rPr>
        <w:tab/>
      </w:r>
      <w:r>
        <w:rPr>
          <w:rFonts w:hint="eastAsia"/>
        </w:rPr>
        <w:t>著名学术机构国家人类学和历史研究所活动的重要一环是传播知识。在这方面，媒体部通过每天和媒体的接触，在成立</w:t>
      </w:r>
      <w:r>
        <w:rPr>
          <w:rFonts w:hint="eastAsia"/>
        </w:rPr>
        <w:t>10</w:t>
      </w:r>
      <w:r>
        <w:rPr>
          <w:rFonts w:hint="eastAsia"/>
        </w:rPr>
        <w:t>年之后成为该机构向墨西哥社会传播研究发现的一个重要渠道。</w:t>
      </w:r>
    </w:p>
    <w:p w:rsidR="00000000" w:rsidRDefault="00457650">
      <w:pPr>
        <w:widowControl/>
        <w:tabs>
          <w:tab w:val="left" w:pos="630"/>
        </w:tabs>
        <w:spacing w:after="240" w:line="360" w:lineRule="exact"/>
        <w:rPr>
          <w:rFonts w:hint="eastAsia"/>
        </w:rPr>
      </w:pPr>
      <w:r>
        <w:rPr>
          <w:rFonts w:hint="eastAsia"/>
        </w:rPr>
        <w:t>781.</w:t>
      </w:r>
      <w:r>
        <w:rPr>
          <w:rFonts w:hint="eastAsia"/>
        </w:rPr>
        <w:tab/>
      </w:r>
      <w:r>
        <w:rPr>
          <w:rFonts w:hint="eastAsia"/>
        </w:rPr>
        <w:t>在过去</w:t>
      </w:r>
      <w:r>
        <w:rPr>
          <w:rFonts w:hint="eastAsia"/>
        </w:rPr>
        <w:t>5</w:t>
      </w:r>
      <w:r>
        <w:rPr>
          <w:rFonts w:hint="eastAsia"/>
        </w:rPr>
        <w:t>年里，国家人类学和历史研究所获得了有力的支持，得以将其研究人员在考古学、历史古迹、人类学、历史和博物馆等各个领域的知识社会化并向社会公开。应认识到大众媒体作为关键性支持手段在传播文</w:t>
      </w:r>
      <w:r>
        <w:rPr>
          <w:rFonts w:hint="eastAsia"/>
        </w:rPr>
        <w:t>化信息方面的重大作用。但是这一领域日益缺乏必要的经济资源，无法向墨西哥社会传达信息。</w:t>
      </w:r>
    </w:p>
    <w:p w:rsidR="00000000" w:rsidRDefault="00457650">
      <w:pPr>
        <w:widowControl/>
        <w:tabs>
          <w:tab w:val="left" w:pos="630"/>
        </w:tabs>
        <w:spacing w:after="240" w:line="360" w:lineRule="exact"/>
        <w:rPr>
          <w:rFonts w:hint="eastAsia"/>
        </w:rPr>
      </w:pPr>
      <w:r>
        <w:rPr>
          <w:rFonts w:hint="eastAsia"/>
        </w:rPr>
        <w:t>782.</w:t>
      </w:r>
      <w:r>
        <w:rPr>
          <w:rFonts w:hint="eastAsia"/>
        </w:rPr>
        <w:tab/>
      </w:r>
      <w:r>
        <w:rPr>
          <w:rFonts w:hint="eastAsia"/>
        </w:rPr>
        <w:t>希腊文化中心每月组织新闻发布会，邀请全国多家报纸的文化记者参加。该中心的预算非常有限，要确保这些记者积极参与促进文化生活的宣传活动，要付出巨大的努力和应对严峻的挑战。</w:t>
      </w:r>
    </w:p>
    <w:p w:rsidR="00000000" w:rsidRDefault="00457650">
      <w:pPr>
        <w:widowControl/>
        <w:tabs>
          <w:tab w:val="left" w:pos="630"/>
        </w:tabs>
        <w:spacing w:after="240" w:line="360" w:lineRule="exact"/>
        <w:rPr>
          <w:rFonts w:hint="eastAsia"/>
        </w:rPr>
      </w:pPr>
      <w:r>
        <w:rPr>
          <w:rFonts w:hint="eastAsia"/>
        </w:rPr>
        <w:t>783.</w:t>
      </w:r>
      <w:r>
        <w:rPr>
          <w:rFonts w:hint="eastAsia"/>
        </w:rPr>
        <w:tab/>
      </w:r>
      <w:r>
        <w:rPr>
          <w:rFonts w:hint="eastAsia"/>
        </w:rPr>
        <w:t>国家文化和艺术基金利用多种媒体推动其项目工作，包括全国性新闻机构、电视、无线电广播以及国际因特网。它通过这些媒体让文化界和广大公众能了解其所开展的支助活动、提供的研究基金和提出的文化倡议。它还传递其广告宣传的效果和其组织有关活动和展览的计</w:t>
      </w:r>
      <w:r>
        <w:rPr>
          <w:rFonts w:hint="eastAsia"/>
        </w:rPr>
        <w:t>划安排。</w:t>
      </w:r>
    </w:p>
    <w:p w:rsidR="00000000" w:rsidRDefault="00457650">
      <w:pPr>
        <w:widowControl/>
        <w:tabs>
          <w:tab w:val="left" w:pos="630"/>
        </w:tabs>
        <w:spacing w:after="240" w:line="360" w:lineRule="exact"/>
        <w:rPr>
          <w:rFonts w:hint="eastAsia"/>
        </w:rPr>
      </w:pPr>
      <w:r>
        <w:rPr>
          <w:rFonts w:hint="eastAsia"/>
        </w:rPr>
        <w:t>784.</w:t>
      </w:r>
      <w:r>
        <w:rPr>
          <w:rFonts w:hint="eastAsia"/>
        </w:rPr>
        <w:tab/>
      </w:r>
      <w:r>
        <w:rPr>
          <w:rFonts w:hint="eastAsia"/>
        </w:rPr>
        <w:t>同墨西哥民主进程同步，该媒体为各种文化表达形式提供更多的空间。特别是，它们对土著人民的文化进行了更广泛的报道。</w:t>
      </w:r>
    </w:p>
    <w:p w:rsidR="00000000" w:rsidRDefault="00457650">
      <w:pPr>
        <w:widowControl/>
        <w:tabs>
          <w:tab w:val="left" w:pos="630"/>
        </w:tabs>
        <w:spacing w:after="240" w:line="360" w:lineRule="exact"/>
        <w:rPr>
          <w:rFonts w:hint="eastAsia"/>
        </w:rPr>
      </w:pPr>
      <w:r>
        <w:rPr>
          <w:rFonts w:hint="eastAsia"/>
        </w:rPr>
        <w:t>785.</w:t>
      </w:r>
      <w:r>
        <w:rPr>
          <w:rFonts w:hint="eastAsia"/>
        </w:rPr>
        <w:tab/>
      </w:r>
      <w:r>
        <w:rPr>
          <w:rFonts w:hint="eastAsia"/>
        </w:rPr>
        <w:t>在促进人们参与文化生活方面作用最大的媒体是国家媒体：包括第</w:t>
      </w:r>
      <w:r>
        <w:rPr>
          <w:rFonts w:hint="eastAsia"/>
        </w:rPr>
        <w:t>11</w:t>
      </w:r>
      <w:r>
        <w:rPr>
          <w:rFonts w:hint="eastAsia"/>
        </w:rPr>
        <w:t>频道、第</w:t>
      </w:r>
      <w:r>
        <w:rPr>
          <w:rFonts w:hint="eastAsia"/>
        </w:rPr>
        <w:t>22</w:t>
      </w:r>
      <w:r>
        <w:rPr>
          <w:rFonts w:hint="eastAsia"/>
        </w:rPr>
        <w:t>频道和无线电广播教育。</w:t>
      </w:r>
    </w:p>
    <w:p w:rsidR="00000000" w:rsidRDefault="00457650">
      <w:pPr>
        <w:widowControl/>
        <w:tabs>
          <w:tab w:val="left" w:pos="630"/>
        </w:tabs>
        <w:spacing w:after="240" w:line="360" w:lineRule="exact"/>
        <w:rPr>
          <w:rFonts w:hint="eastAsia"/>
        </w:rPr>
      </w:pPr>
      <w:r>
        <w:rPr>
          <w:rFonts w:hint="eastAsia"/>
        </w:rPr>
        <w:t>786.</w:t>
      </w:r>
      <w:r>
        <w:rPr>
          <w:rFonts w:hint="eastAsia"/>
        </w:rPr>
        <w:tab/>
      </w:r>
      <w:r>
        <w:rPr>
          <w:rFonts w:hint="eastAsia"/>
        </w:rPr>
        <w:t>大众文化，其绝大多数表现形式并不受媒体的重视，这可能是因为存在偏见，也可能是对大众艺术的了解比对高雅艺术的了解少。贬义的“民俗”一词饱含着边缘化的含义，其中包括至今还积极活跃在墨西哥宗教和文化中的典礼和古老仪式。各种大众和土著文化最初被当做吸引旅客的手段，充满了</w:t>
      </w:r>
      <w:r>
        <w:rPr>
          <w:rFonts w:hint="eastAsia"/>
        </w:rPr>
        <w:t>神秘的吸引力，它们没有被看成是不同思想和哲学的产物，整体美学的产物，或重大技术知识的产品。</w:t>
      </w:r>
    </w:p>
    <w:p w:rsidR="00000000" w:rsidRDefault="00457650">
      <w:pPr>
        <w:widowControl/>
        <w:tabs>
          <w:tab w:val="left" w:pos="630"/>
        </w:tabs>
        <w:spacing w:after="240" w:line="360" w:lineRule="exact"/>
        <w:rPr>
          <w:rFonts w:hint="eastAsia"/>
        </w:rPr>
      </w:pPr>
      <w:r>
        <w:rPr>
          <w:rFonts w:hint="eastAsia"/>
        </w:rPr>
        <w:t>787.</w:t>
      </w:r>
      <w:r>
        <w:rPr>
          <w:rFonts w:hint="eastAsia"/>
        </w:rPr>
        <w:tab/>
        <w:t>2001</w:t>
      </w:r>
      <w:r>
        <w:t>-</w:t>
      </w:r>
      <w:r>
        <w:rPr>
          <w:rFonts w:hint="eastAsia"/>
        </w:rPr>
        <w:t>2006</w:t>
      </w:r>
      <w:r>
        <w:rPr>
          <w:rFonts w:hint="eastAsia"/>
        </w:rPr>
        <w:t>年国家文化计划中阐明了墨西哥政府的文化政策，阐述音像媒体的一章规定了总体目标：“……因为了解、欣赏和享受文化是提高墨西哥人民生活质量的重要方面，所以通过生产传播音像制品，在日益广泛的人群中促进更大程度地传播国家文化和更出色地展现世界文化。”</w:t>
      </w:r>
    </w:p>
    <w:p w:rsidR="00000000" w:rsidRDefault="00457650">
      <w:pPr>
        <w:widowControl/>
        <w:tabs>
          <w:tab w:val="left" w:pos="630"/>
        </w:tabs>
        <w:spacing w:after="240" w:line="360" w:lineRule="exact"/>
        <w:rPr>
          <w:rFonts w:hint="eastAsia"/>
        </w:rPr>
      </w:pPr>
      <w:r>
        <w:rPr>
          <w:rFonts w:hint="eastAsia"/>
        </w:rPr>
        <w:t>788.</w:t>
      </w:r>
      <w:r>
        <w:rPr>
          <w:rFonts w:hint="eastAsia"/>
        </w:rPr>
        <w:tab/>
      </w:r>
      <w:r>
        <w:rPr>
          <w:rFonts w:hint="eastAsia"/>
        </w:rPr>
        <w:t>在商业电影院放映国家资助的电影表现了上述精神。一旦商业放映结束，这类电影将以视频方式通过免费和付费电视节目播放。它们还在“全国文化电影网络”</w:t>
      </w:r>
      <w:r>
        <w:rPr>
          <w:rFonts w:hint="eastAsia"/>
        </w:rPr>
        <w:t>放映。</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66</w:t>
      </w:r>
      <w:r>
        <w:rPr>
          <w:rFonts w:ascii="SimHei" w:eastAsia="SimHei" w:hint="eastAsia"/>
        </w:rPr>
        <w:t>段（</w:t>
      </w:r>
      <w:r>
        <w:rPr>
          <w:rFonts w:ascii="SimHei" w:eastAsia="SimHei" w:hint="eastAsia"/>
        </w:rPr>
        <w:t>f</w:t>
      </w:r>
      <w:r>
        <w:rPr>
          <w:rFonts w:ascii="SimHei" w:eastAsia="SimHei" w:hint="eastAsia"/>
        </w:rPr>
        <w:t>）</w:t>
      </w:r>
    </w:p>
    <w:p w:rsidR="00000000" w:rsidRDefault="00457650">
      <w:pPr>
        <w:keepNext/>
        <w:widowControl/>
        <w:tabs>
          <w:tab w:val="left" w:pos="630"/>
        </w:tabs>
        <w:spacing w:after="240" w:line="360" w:lineRule="exact"/>
        <w:rPr>
          <w:rFonts w:hint="eastAsia"/>
        </w:rPr>
      </w:pPr>
      <w:r>
        <w:rPr>
          <w:rFonts w:hint="eastAsia"/>
        </w:rPr>
        <w:t>789.</w:t>
      </w:r>
      <w:r>
        <w:rPr>
          <w:rFonts w:hint="eastAsia"/>
        </w:rPr>
        <w:tab/>
        <w:t>2001</w:t>
      </w:r>
      <w:r>
        <w:t>-</w:t>
      </w:r>
      <w:r>
        <w:rPr>
          <w:rFonts w:hint="eastAsia"/>
        </w:rPr>
        <w:t>2006</w:t>
      </w:r>
      <w:r>
        <w:rPr>
          <w:rFonts w:hint="eastAsia"/>
        </w:rPr>
        <w:t>年国家文化计划高度重视文化领域对文化遗产的研究和保存，其一般宗旨是研究和保存墨西哥文化宝库中的有形和无形遗产，以宣传、保护和传播它们，供现在和未来欣赏。</w:t>
      </w:r>
    </w:p>
    <w:p w:rsidR="00000000" w:rsidRDefault="00457650">
      <w:pPr>
        <w:widowControl/>
        <w:tabs>
          <w:tab w:val="left" w:pos="630"/>
        </w:tabs>
        <w:spacing w:after="240" w:line="360" w:lineRule="exact"/>
        <w:rPr>
          <w:rFonts w:hint="eastAsia"/>
        </w:rPr>
      </w:pPr>
      <w:r>
        <w:rPr>
          <w:rFonts w:hint="eastAsia"/>
        </w:rPr>
        <w:t>790.</w:t>
      </w:r>
      <w:r>
        <w:rPr>
          <w:rFonts w:hint="eastAsia"/>
        </w:rPr>
        <w:tab/>
      </w:r>
      <w:r>
        <w:rPr>
          <w:rFonts w:hint="eastAsia"/>
        </w:rPr>
        <w:t>墨西哥是人类遗址最多的六个国家之一，也是美洲大陆最多的国家；对这些遗址全都进行了研究和保护工作。国家人类学和历史研究所实施的“文化遗产灾害预防项目”是为避免自然灾害对历史遗迹和考古地点产生负面影响而开展的活动之一。根据与“国家灾害预防中心”达成的协议，该项目包括大量预防和行动机制，以应对自然现象</w:t>
      </w:r>
      <w:r>
        <w:rPr>
          <w:rFonts w:hint="eastAsia"/>
        </w:rPr>
        <w:t>所不断引起的威胁，例如地震和飓风。</w:t>
      </w:r>
    </w:p>
    <w:p w:rsidR="00000000" w:rsidRDefault="00457650">
      <w:pPr>
        <w:widowControl/>
        <w:tabs>
          <w:tab w:val="left" w:pos="630"/>
        </w:tabs>
        <w:spacing w:after="240" w:line="360" w:lineRule="exact"/>
        <w:rPr>
          <w:rFonts w:hint="eastAsia"/>
        </w:rPr>
      </w:pPr>
      <w:r>
        <w:rPr>
          <w:rFonts w:hint="eastAsia"/>
        </w:rPr>
        <w:t>791.</w:t>
      </w:r>
      <w:r>
        <w:rPr>
          <w:rFonts w:hint="eastAsia"/>
        </w:rPr>
        <w:tab/>
      </w:r>
      <w:r>
        <w:rPr>
          <w:rFonts w:hint="eastAsia"/>
        </w:rPr>
        <w:t>在第二次公布的人类口头和无形遗产杰作中，“亡灵节”庆典获得了教科文组织的承认。同样，在</w:t>
      </w:r>
      <w:r>
        <w:rPr>
          <w:rFonts w:hint="eastAsia"/>
        </w:rPr>
        <w:t>2003</w:t>
      </w:r>
      <w:r>
        <w:rPr>
          <w:rFonts w:hint="eastAsia"/>
        </w:rPr>
        <w:t>年，墨西哥投票批准了《保护无形文化遗产国际公约》。通过涵盖艺术和传统的“国家科学和艺术奖”，土著大众文化局承认并支持从事有利于国家传统工作的个人。</w:t>
      </w:r>
    </w:p>
    <w:p w:rsidR="00000000" w:rsidRDefault="00457650">
      <w:pPr>
        <w:widowControl/>
        <w:tabs>
          <w:tab w:val="left" w:pos="630"/>
        </w:tabs>
        <w:spacing w:after="240" w:line="360" w:lineRule="exact"/>
        <w:rPr>
          <w:rFonts w:hint="eastAsia"/>
        </w:rPr>
      </w:pPr>
      <w:r>
        <w:rPr>
          <w:rFonts w:hint="eastAsia"/>
        </w:rPr>
        <w:t>792.</w:t>
      </w:r>
      <w:r>
        <w:rPr>
          <w:rFonts w:hint="eastAsia"/>
        </w:rPr>
        <w:tab/>
      </w:r>
      <w:r>
        <w:rPr>
          <w:rFonts w:hint="eastAsia"/>
        </w:rPr>
        <w:t>虽然国家文化和艺术委员会负责这一文化领域的部门是国家人类学和历史研究所以及古迹和遗址局，但国家文化和艺术基金也通过以下两个行动项目参与其中：考古分基金以及</w:t>
      </w:r>
      <w:r>
        <w:rPr>
          <w:rFonts w:hint="eastAsia"/>
        </w:rPr>
        <w:t xml:space="preserve"> </w:t>
      </w:r>
      <w:r>
        <w:rPr>
          <w:rFonts w:hint="eastAsia"/>
        </w:rPr>
        <w:t>“接受艺术品”方案和购买艺术品方案。考古分基金已随着考古地</w:t>
      </w:r>
      <w:r>
        <w:rPr>
          <w:rFonts w:hint="eastAsia"/>
        </w:rPr>
        <w:t>区、遗址和其他空间的不断深入调整而逐步取消。</w:t>
      </w:r>
    </w:p>
    <w:p w:rsidR="00000000" w:rsidRDefault="00457650">
      <w:pPr>
        <w:widowControl/>
        <w:tabs>
          <w:tab w:val="left" w:pos="630"/>
        </w:tabs>
        <w:spacing w:after="240" w:line="360" w:lineRule="exact"/>
        <w:rPr>
          <w:rFonts w:hint="eastAsia"/>
        </w:rPr>
      </w:pPr>
      <w:r>
        <w:rPr>
          <w:rFonts w:hint="eastAsia"/>
        </w:rPr>
        <w:t>793.</w:t>
      </w:r>
      <w:r>
        <w:rPr>
          <w:rFonts w:hint="eastAsia"/>
        </w:rPr>
        <w:tab/>
      </w:r>
      <w:r>
        <w:rPr>
          <w:rFonts w:hint="eastAsia"/>
        </w:rPr>
        <w:t>目前仅有三个项目：</w:t>
      </w:r>
      <w:r>
        <w:t>特奥提华坎</w:t>
      </w:r>
      <w:r>
        <w:rPr>
          <w:rFonts w:hint="eastAsia"/>
        </w:rPr>
        <w:t>考古</w:t>
      </w:r>
      <w:r>
        <w:t>遗址</w:t>
      </w:r>
      <w:r>
        <w:rPr>
          <w:rFonts w:hint="eastAsia"/>
        </w:rPr>
        <w:t>保护和保存项目、</w:t>
      </w:r>
      <w:r>
        <w:t>萨卡特卡斯</w:t>
      </w:r>
      <w:r>
        <w:rPr>
          <w:rFonts w:hint="eastAsia"/>
        </w:rPr>
        <w:t>州的阿尔塔维斯塔·乔伊奇维特斯考古遗址修复项目以及恰帕斯州的</w:t>
      </w:r>
      <w:r>
        <w:t>雅克其兰</w:t>
      </w:r>
      <w:r>
        <w:rPr>
          <w:rFonts w:hint="eastAsia"/>
        </w:rPr>
        <w:t>修复项目。关于“接受艺术品”方案，</w:t>
      </w:r>
      <w:r>
        <w:rPr>
          <w:rFonts w:hint="eastAsia"/>
        </w:rPr>
        <w:t xml:space="preserve"> 2003</w:t>
      </w:r>
      <w:r>
        <w:rPr>
          <w:rFonts w:hint="eastAsia"/>
        </w:rPr>
        <w:t>年拨付了</w:t>
      </w:r>
      <w:r>
        <w:rPr>
          <w:rFonts w:hint="eastAsia"/>
        </w:rPr>
        <w:t>1 300</w:t>
      </w:r>
      <w:r>
        <w:rPr>
          <w:rFonts w:hint="eastAsia"/>
        </w:rPr>
        <w:t>多万比索用于保存、修复和维护位于全国</w:t>
      </w:r>
      <w:r>
        <w:rPr>
          <w:rFonts w:hint="eastAsia"/>
        </w:rPr>
        <w:t>20</w:t>
      </w:r>
      <w:r>
        <w:rPr>
          <w:rFonts w:hint="eastAsia"/>
        </w:rPr>
        <w:t>个州的大量作品，这些经费通过</w:t>
      </w:r>
      <w:r>
        <w:rPr>
          <w:rFonts w:hint="eastAsia"/>
        </w:rPr>
        <w:t>40</w:t>
      </w:r>
      <w:r>
        <w:rPr>
          <w:rFonts w:hint="eastAsia"/>
        </w:rPr>
        <w:t>个文化分基金提供。</w:t>
      </w:r>
    </w:p>
    <w:p w:rsidR="00000000" w:rsidRDefault="00457650">
      <w:pPr>
        <w:widowControl/>
        <w:tabs>
          <w:tab w:val="left" w:pos="630"/>
        </w:tabs>
        <w:spacing w:after="240" w:line="360" w:lineRule="exact"/>
        <w:rPr>
          <w:rFonts w:hint="eastAsia"/>
        </w:rPr>
      </w:pPr>
      <w:r>
        <w:rPr>
          <w:rFonts w:hint="eastAsia"/>
        </w:rPr>
        <w:t>794.</w:t>
      </w:r>
      <w:r>
        <w:rPr>
          <w:rFonts w:hint="eastAsia"/>
        </w:rPr>
        <w:tab/>
      </w:r>
      <w:r>
        <w:rPr>
          <w:rFonts w:hint="eastAsia"/>
        </w:rPr>
        <w:t>国家电影档案馆在墨西哥电影摄影协会的配合下，负责恢复、分类、保存、复原、保管和传播国家资助的电影摄影作品。</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66</w:t>
      </w:r>
      <w:r>
        <w:rPr>
          <w:rFonts w:ascii="SimHei" w:eastAsia="SimHei" w:hint="eastAsia"/>
        </w:rPr>
        <w:t>段（</w:t>
      </w:r>
      <w:r>
        <w:rPr>
          <w:rFonts w:ascii="SimHei" w:eastAsia="SimHei" w:hint="eastAsia"/>
        </w:rPr>
        <w:t>g</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795.</w:t>
      </w:r>
      <w:r>
        <w:rPr>
          <w:rFonts w:hint="eastAsia"/>
        </w:rPr>
        <w:tab/>
      </w:r>
      <w:r>
        <w:rPr>
          <w:rFonts w:hint="eastAsia"/>
        </w:rPr>
        <w:t>文化政策的基本原则包括尊重表</w:t>
      </w:r>
      <w:r>
        <w:rPr>
          <w:rFonts w:hint="eastAsia"/>
        </w:rPr>
        <w:t>达和创作的自由；因此墨西哥电影摄影协会在其所有的项目和活动中均保护和促进表达的自由。这表现在向剧作家、电影摄影项目发展人员和记录短片创作人员提供墨西哥政府给予的资助，还表现在对电影业扶持计划的实施和评估加以管理，对国家资助的所有电影进行商业放映也能反映出这一点。</w:t>
      </w:r>
    </w:p>
    <w:p w:rsidR="00000000" w:rsidRDefault="00457650">
      <w:pPr>
        <w:widowControl/>
        <w:tabs>
          <w:tab w:val="left" w:pos="630"/>
        </w:tabs>
        <w:spacing w:after="240" w:line="360" w:lineRule="exact"/>
        <w:rPr>
          <w:rFonts w:hint="eastAsia"/>
        </w:rPr>
      </w:pPr>
      <w:r>
        <w:rPr>
          <w:rFonts w:hint="eastAsia"/>
        </w:rPr>
        <w:t>796.</w:t>
      </w:r>
      <w:r>
        <w:rPr>
          <w:rFonts w:hint="eastAsia"/>
        </w:rPr>
        <w:tab/>
      </w:r>
      <w:r>
        <w:rPr>
          <w:rFonts w:hint="eastAsia"/>
        </w:rPr>
        <w:t>落实《宪法》第</w:t>
      </w:r>
      <w:r>
        <w:rPr>
          <w:rFonts w:hint="eastAsia"/>
        </w:rPr>
        <w:t>28</w:t>
      </w:r>
      <w:r>
        <w:rPr>
          <w:rFonts w:hint="eastAsia"/>
        </w:rPr>
        <w:t>条的《联邦版权法》保护和促进墨西哥的文化财产；保护作者、艺术家和演员以及出版社和广播公司的权利，保护所有形式的文化和艺术作品、翻译作品和表演，及其出版、声像、广播，保护所有其他的知识产权。</w:t>
      </w:r>
    </w:p>
    <w:p w:rsidR="00000000" w:rsidRDefault="00457650">
      <w:pPr>
        <w:widowControl/>
        <w:tabs>
          <w:tab w:val="left" w:pos="630"/>
        </w:tabs>
        <w:spacing w:after="240" w:line="360" w:lineRule="exact"/>
        <w:rPr>
          <w:rFonts w:hint="eastAsia"/>
        </w:rPr>
      </w:pPr>
      <w:r>
        <w:rPr>
          <w:rFonts w:hint="eastAsia"/>
        </w:rPr>
        <w:t>797.</w:t>
      </w:r>
      <w:r>
        <w:rPr>
          <w:rFonts w:hint="eastAsia"/>
        </w:rPr>
        <w:tab/>
      </w:r>
      <w:r>
        <w:rPr>
          <w:rFonts w:hint="eastAsia"/>
        </w:rPr>
        <w:t>同时，值得注意的是文</w:t>
      </w:r>
      <w:r>
        <w:rPr>
          <w:rFonts w:hint="eastAsia"/>
        </w:rPr>
        <w:t>化政策的基本原则包括尊重表达和创作的自由；因此墨西哥电影摄影协会在其所有的项目和活动中均保护和促进表达的自由。这表现在向剧作家、电影摄影项目发展人员和记录短片创作人员提供墨西哥政府给予的支助，还表现在对扶持电影业的行动和评估加以管理。对国家资助的所有电影进行商业放映也能反映出这一点。</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66</w:t>
      </w:r>
      <w:r>
        <w:rPr>
          <w:rFonts w:ascii="SimHei" w:eastAsia="SimHei" w:hint="eastAsia"/>
        </w:rPr>
        <w:t>段（</w:t>
      </w:r>
      <w:r>
        <w:rPr>
          <w:rFonts w:ascii="SimHei" w:eastAsia="SimHei" w:hint="eastAsia"/>
        </w:rPr>
        <w:t>h</w:t>
      </w:r>
      <w:r>
        <w:rPr>
          <w:rFonts w:ascii="SimHei" w:eastAsia="SimHei" w:hint="eastAsia"/>
        </w:rPr>
        <w:t>）</w:t>
      </w:r>
    </w:p>
    <w:p w:rsidR="00000000" w:rsidRDefault="00457650">
      <w:pPr>
        <w:widowControl/>
        <w:tabs>
          <w:tab w:val="left" w:pos="630"/>
        </w:tabs>
        <w:spacing w:after="240" w:line="360" w:lineRule="exact"/>
        <w:rPr>
          <w:rFonts w:hint="eastAsia"/>
        </w:rPr>
      </w:pPr>
      <w:r>
        <w:rPr>
          <w:rFonts w:hint="eastAsia"/>
        </w:rPr>
        <w:t>798.</w:t>
      </w:r>
      <w:r>
        <w:rPr>
          <w:rFonts w:hint="eastAsia"/>
        </w:rPr>
        <w:tab/>
      </w:r>
      <w:r>
        <w:rPr>
          <w:rFonts w:hint="eastAsia"/>
        </w:rPr>
        <w:t>国家人类学和历史研究所在墨西哥城和奇瓦瓦建立了国家人类学和历史学校以及国家修复和博物馆科学学校，它颁发社会人类学、体质人类学、考古学、历史、种族史、语言学、人种学和归还动产方面的学位。其颁发的研究生学</w:t>
      </w:r>
      <w:r>
        <w:rPr>
          <w:rFonts w:hint="eastAsia"/>
        </w:rPr>
        <w:t>位包括社会人类学、体质人类学、考古学、语言学、历史、种族史、建筑和博物馆科学。博士学位包括人类学、语言科学、历史和种族史。</w:t>
      </w:r>
    </w:p>
    <w:p w:rsidR="00000000" w:rsidRDefault="00457650">
      <w:pPr>
        <w:widowControl/>
        <w:tabs>
          <w:tab w:val="left" w:pos="630"/>
        </w:tabs>
        <w:spacing w:after="240" w:line="360" w:lineRule="exact"/>
        <w:rPr>
          <w:rFonts w:hint="eastAsia"/>
        </w:rPr>
      </w:pPr>
      <w:r>
        <w:rPr>
          <w:rFonts w:hint="eastAsia"/>
        </w:rPr>
        <w:t>799.</w:t>
      </w:r>
      <w:r>
        <w:rPr>
          <w:rFonts w:hint="eastAsia"/>
        </w:rPr>
        <w:tab/>
      </w:r>
      <w:r>
        <w:rPr>
          <w:rFonts w:hint="eastAsia"/>
        </w:rPr>
        <w:t>这些学校平均招收</w:t>
      </w:r>
      <w:r>
        <w:rPr>
          <w:rFonts w:hint="eastAsia"/>
        </w:rPr>
        <w:t>2 500</w:t>
      </w:r>
      <w:r>
        <w:rPr>
          <w:rFonts w:hint="eastAsia"/>
        </w:rPr>
        <w:t>名学生。另外，在</w:t>
      </w:r>
      <w:r>
        <w:rPr>
          <w:rFonts w:hint="eastAsia"/>
        </w:rPr>
        <w:t>2002</w:t>
      </w:r>
      <w:r>
        <w:rPr>
          <w:rFonts w:hint="eastAsia"/>
        </w:rPr>
        <w:t>年</w:t>
      </w:r>
      <w:r>
        <w:rPr>
          <w:rFonts w:hint="eastAsia"/>
        </w:rPr>
        <w:t>2</w:t>
      </w:r>
      <w:r>
        <w:rPr>
          <w:rFonts w:hint="eastAsia"/>
        </w:rPr>
        <w:t>月</w:t>
      </w:r>
      <w:r>
        <w:rPr>
          <w:rFonts w:hint="eastAsia"/>
        </w:rPr>
        <w:t>11</w:t>
      </w:r>
      <w:r>
        <w:rPr>
          <w:rFonts w:hint="eastAsia"/>
        </w:rPr>
        <w:t>日，国家人类学和历史学校建成了新的图书馆主馆。现代化和电脑化的新馆保证了更高水平的服务，并在学校和科学界之间建立起更畅通的渠道。同时，在国家人类学和历史研究所与“接受艺术品协会”的支持和联邦及州政府的合作下成立了西方保存和修复学校”，学校在</w:t>
      </w:r>
      <w:r>
        <w:rPr>
          <w:rFonts w:hint="eastAsia"/>
        </w:rPr>
        <w:t>2000</w:t>
      </w:r>
      <w:r>
        <w:rPr>
          <w:rFonts w:hint="eastAsia"/>
        </w:rPr>
        <w:t>年</w:t>
      </w:r>
      <w:r>
        <w:rPr>
          <w:rFonts w:hint="eastAsia"/>
        </w:rPr>
        <w:t>9</w:t>
      </w:r>
      <w:r>
        <w:rPr>
          <w:rFonts w:hint="eastAsia"/>
        </w:rPr>
        <w:t>月</w:t>
      </w:r>
      <w:r>
        <w:rPr>
          <w:rFonts w:hint="eastAsia"/>
        </w:rPr>
        <w:t>25</w:t>
      </w:r>
      <w:r>
        <w:rPr>
          <w:rFonts w:hint="eastAsia"/>
        </w:rPr>
        <w:t>日开学；这是墨西哥第一个专业修复培训中心。</w:t>
      </w:r>
    </w:p>
    <w:p w:rsidR="00000000" w:rsidRDefault="00457650">
      <w:pPr>
        <w:widowControl/>
        <w:tabs>
          <w:tab w:val="left" w:pos="630"/>
        </w:tabs>
        <w:spacing w:after="240" w:line="360" w:lineRule="exact"/>
        <w:rPr>
          <w:rFonts w:hint="eastAsia"/>
        </w:rPr>
      </w:pPr>
      <w:r>
        <w:t>800.</w:t>
      </w:r>
      <w:r>
        <w:tab/>
      </w:r>
      <w:r>
        <w:rPr>
          <w:rFonts w:hint="eastAsia"/>
        </w:rPr>
        <w:t>在艺术</w:t>
      </w:r>
      <w:r>
        <w:rPr>
          <w:rFonts w:hint="eastAsia"/>
        </w:rPr>
        <w:t>创作领域，国家人类学和历史研究所在全国设有</w:t>
      </w:r>
      <w:r>
        <w:rPr>
          <w:rFonts w:hint="eastAsia"/>
        </w:rPr>
        <w:t>29</w:t>
      </w:r>
      <w:r>
        <w:rPr>
          <w:rFonts w:hint="eastAsia"/>
        </w:rPr>
        <w:t>所学校，提供从基础教育到高等教育的全部课程。艺术方面的研究、文献和信息以四个国家中心为基础展开，分别涵盖音乐、舞蹈、戏剧和造型艺术。</w:t>
      </w:r>
    </w:p>
    <w:p w:rsidR="00000000" w:rsidRDefault="00457650">
      <w:pPr>
        <w:widowControl/>
        <w:tabs>
          <w:tab w:val="left" w:pos="630"/>
        </w:tabs>
        <w:spacing w:after="240" w:line="360" w:lineRule="exact"/>
        <w:rPr>
          <w:rFonts w:hint="eastAsia"/>
        </w:rPr>
      </w:pPr>
      <w:r>
        <w:t>801.</w:t>
      </w:r>
      <w:r>
        <w:tab/>
      </w:r>
      <w:r>
        <w:rPr>
          <w:rFonts w:hint="eastAsia"/>
        </w:rPr>
        <w:t>国家文化和艺术基金实施了“留学支助项目”，该项目于</w:t>
      </w:r>
      <w:r>
        <w:rPr>
          <w:rFonts w:hint="eastAsia"/>
        </w:rPr>
        <w:t>1993</w:t>
      </w:r>
      <w:r>
        <w:rPr>
          <w:rFonts w:hint="eastAsia"/>
        </w:rPr>
        <w:t>年启动，旨在满足艺术家和艺人在海外发展其职业和学术水平的需要。艺术家若希望接受墨西哥国内高等教育机构无法提供的研究生课程或进修课程，可以到任何国家学习，该项目提供了这方面最重要的单项国家资助。</w:t>
      </w:r>
    </w:p>
    <w:p w:rsidR="00000000" w:rsidRDefault="00457650">
      <w:pPr>
        <w:widowControl/>
        <w:tabs>
          <w:tab w:val="left" w:pos="630"/>
        </w:tabs>
        <w:spacing w:after="240" w:line="360" w:lineRule="exact"/>
        <w:rPr>
          <w:rFonts w:hint="eastAsia"/>
        </w:rPr>
      </w:pPr>
      <w:r>
        <w:t>802.</w:t>
      </w:r>
      <w:r>
        <w:tab/>
      </w:r>
      <w:r>
        <w:rPr>
          <w:rFonts w:hint="eastAsia"/>
        </w:rPr>
        <w:t>在过去十年，收到了</w:t>
      </w:r>
      <w:r>
        <w:rPr>
          <w:rFonts w:hint="eastAsia"/>
        </w:rPr>
        <w:t>11</w:t>
      </w:r>
      <w:r>
        <w:rPr>
          <w:rFonts w:hint="eastAsia"/>
        </w:rPr>
        <w:t>个艺术学科</w:t>
      </w:r>
      <w:r>
        <w:rPr>
          <w:rFonts w:hint="eastAsia"/>
        </w:rPr>
        <w:t>1 589</w:t>
      </w:r>
      <w:r>
        <w:rPr>
          <w:rFonts w:hint="eastAsia"/>
        </w:rPr>
        <w:t>人的申请（有各自的</w:t>
      </w:r>
      <w:r>
        <w:rPr>
          <w:rFonts w:hint="eastAsia"/>
        </w:rPr>
        <w:t>专长）；其中</w:t>
      </w:r>
      <w:r>
        <w:rPr>
          <w:rFonts w:hint="eastAsia"/>
        </w:rPr>
        <w:t>880</w:t>
      </w:r>
      <w:r>
        <w:rPr>
          <w:rFonts w:hint="eastAsia"/>
        </w:rPr>
        <w:t>人获得了奖学金，数据显示这帮助了才华横溢的儿童，青年和成年人，这些人占总数的</w:t>
      </w:r>
      <w:r>
        <w:rPr>
          <w:rFonts w:hint="eastAsia"/>
        </w:rPr>
        <w:t>55.38%</w:t>
      </w:r>
      <w:r>
        <w:rPr>
          <w:rFonts w:hint="eastAsia"/>
        </w:rPr>
        <w:t>，为其提供的奖学金多达</w:t>
      </w:r>
      <w:r>
        <w:rPr>
          <w:rFonts w:hint="eastAsia"/>
        </w:rPr>
        <w:t>5 900</w:t>
      </w:r>
      <w:r>
        <w:rPr>
          <w:rFonts w:hint="eastAsia"/>
        </w:rPr>
        <w:t>万比索。在这些奖学金中，</w:t>
      </w:r>
      <w:r>
        <w:rPr>
          <w:rFonts w:hint="eastAsia"/>
        </w:rPr>
        <w:t>574</w:t>
      </w:r>
      <w:r>
        <w:rPr>
          <w:rFonts w:hint="eastAsia"/>
        </w:rPr>
        <w:t>笔，即</w:t>
      </w:r>
      <w:r>
        <w:rPr>
          <w:rFonts w:hint="eastAsia"/>
        </w:rPr>
        <w:t>65.22%</w:t>
      </w:r>
      <w:r>
        <w:rPr>
          <w:rFonts w:hint="eastAsia"/>
        </w:rPr>
        <w:t>在</w:t>
      </w:r>
      <w:r>
        <w:rPr>
          <w:rFonts w:hint="eastAsia"/>
        </w:rPr>
        <w:t>1998 -2003</w:t>
      </w:r>
      <w:r>
        <w:rPr>
          <w:rFonts w:hint="eastAsia"/>
        </w:rPr>
        <w:t>年发放。另外，作为该项目下发放的奖学金的一种功用，一旦这些受益人完成学业，他们所提供的职业和学术贡献将使整个国家受益。</w:t>
      </w:r>
    </w:p>
    <w:p w:rsidR="00000000" w:rsidRDefault="00457650">
      <w:pPr>
        <w:widowControl/>
        <w:tabs>
          <w:tab w:val="left" w:pos="630"/>
        </w:tabs>
        <w:spacing w:after="240" w:line="360" w:lineRule="exact"/>
        <w:rPr>
          <w:rFonts w:hint="eastAsia"/>
        </w:rPr>
      </w:pPr>
      <w:r>
        <w:t>803.</w:t>
      </w:r>
      <w:r>
        <w:tab/>
      </w:r>
      <w:r>
        <w:rPr>
          <w:rFonts w:hint="eastAsia"/>
        </w:rPr>
        <w:t>如果没有该项目，国家就不能推进职业和学术的统一进程。因此该项目有助于国家不断接触世界各地开展的艺术和文化活动，并排除阻碍学生获得多元化前沿知识的障碍，从而促进国家今后的社会、</w:t>
      </w:r>
      <w:r>
        <w:rPr>
          <w:rFonts w:hint="eastAsia"/>
        </w:rPr>
        <w:t>艺术和文化发展。</w:t>
      </w:r>
    </w:p>
    <w:p w:rsidR="00000000" w:rsidRDefault="00457650">
      <w:pPr>
        <w:widowControl/>
        <w:tabs>
          <w:tab w:val="left" w:pos="630"/>
        </w:tabs>
        <w:spacing w:after="240" w:line="360" w:lineRule="exact"/>
        <w:rPr>
          <w:rFonts w:hint="eastAsia"/>
        </w:rPr>
      </w:pPr>
      <w:r>
        <w:t>804.</w:t>
      </w:r>
      <w:r>
        <w:tab/>
      </w:r>
      <w:r>
        <w:rPr>
          <w:rFonts w:hint="eastAsia"/>
        </w:rPr>
        <w:t>土著大众文化局还鼓励建立艺术和工艺设计流动学校，为文化推广的职业化提供进修培训，同时</w:t>
      </w:r>
      <w:r>
        <w:t>DGVCC</w:t>
      </w:r>
      <w:r>
        <w:rPr>
          <w:rFonts w:hint="eastAsia"/>
        </w:rPr>
        <w:t>通过文化升级系统开展以下活动：“文化管理人和经理人持续培训项目”；“推广人和经理人‘桌上文化’的远程提高认识研讨会项目”；“文化推广人和经理人标准远程学位项目”；与多所大学共同实施的“职业培训项目子系统”：圣路易斯波托西独立大学的文化管理公开学位；</w:t>
      </w:r>
      <w:r>
        <w:t>纳亚里特</w:t>
      </w:r>
      <w:r>
        <w:rPr>
          <w:rFonts w:hint="eastAsia"/>
        </w:rPr>
        <w:t>独立大学的文化发展学位；瓜达拉哈拉大学的文化发展和管理硕士学位，以及</w:t>
      </w:r>
      <w:r>
        <w:t>科阿韦拉</w:t>
      </w:r>
      <w:r>
        <w:rPr>
          <w:rFonts w:hint="eastAsia"/>
        </w:rPr>
        <w:t>独立大学的文化推广和发展硕士学位。</w:t>
      </w:r>
    </w:p>
    <w:p w:rsidR="00000000" w:rsidRDefault="00457650">
      <w:pPr>
        <w:widowControl/>
        <w:tabs>
          <w:tab w:val="left" w:pos="630"/>
        </w:tabs>
        <w:spacing w:after="240" w:line="360" w:lineRule="exact"/>
        <w:rPr>
          <w:rFonts w:hint="eastAsia"/>
        </w:rPr>
      </w:pPr>
      <w:r>
        <w:t>805.</w:t>
      </w:r>
      <w:r>
        <w:tab/>
      </w:r>
      <w:r>
        <w:rPr>
          <w:rFonts w:hint="eastAsia"/>
        </w:rPr>
        <w:t>希腊文化中心</w:t>
      </w:r>
      <w:r>
        <w:rPr>
          <w:rFonts w:hint="eastAsia"/>
        </w:rPr>
        <w:t>负责协调课程组织讲习班和旨在丰富戏剧专业人士和学生的知识、资源和技巧的研讨会。</w:t>
      </w:r>
    </w:p>
    <w:p w:rsidR="00000000" w:rsidRDefault="00457650">
      <w:pPr>
        <w:widowControl/>
        <w:tabs>
          <w:tab w:val="left" w:pos="630"/>
        </w:tabs>
        <w:spacing w:after="240" w:line="360" w:lineRule="exact"/>
        <w:rPr>
          <w:rFonts w:hint="eastAsia"/>
        </w:rPr>
      </w:pPr>
      <w:r>
        <w:t>806.</w:t>
      </w:r>
      <w:r>
        <w:tab/>
      </w:r>
      <w:r>
        <w:rPr>
          <w:rFonts w:hint="eastAsia"/>
        </w:rPr>
        <w:t>墨西哥电影摄影协会和电影摄影中心协作，在电影拍摄、制作、音响、编辑、编剧和导演方面对高级电影导演进行技术和艺术培训，作为电影专门知识和语言的整体概念。</w:t>
      </w:r>
      <w:r>
        <w:rPr>
          <w:rFonts w:hint="eastAsia"/>
        </w:rPr>
        <w:t>1983-2001</w:t>
      </w:r>
      <w:r>
        <w:rPr>
          <w:rFonts w:hint="eastAsia"/>
        </w:rPr>
        <w:t>年期间举办了各种讲习班，引导编剧创作各种结构和内容的作品，并加强作家的职业培训。“短片”也是帮助青年电影导演进行编导的项目。另外，每年制作一个新的公共广告，土著大众文化局拟将制定的项目将由一个跨学科评委会进行选择。</w:t>
      </w:r>
    </w:p>
    <w:p w:rsidR="00000000" w:rsidRDefault="00457650">
      <w:pPr>
        <w:widowControl/>
        <w:tabs>
          <w:tab w:val="left" w:pos="630"/>
        </w:tabs>
        <w:spacing w:after="240" w:line="360" w:lineRule="exact"/>
        <w:rPr>
          <w:rFonts w:ascii="SimHei" w:eastAsia="SimHei"/>
        </w:rPr>
      </w:pPr>
      <w:r>
        <w:rPr>
          <w:rFonts w:ascii="SimHei" w:eastAsia="SimHei" w:hint="eastAsia"/>
        </w:rPr>
        <w:t>第</w:t>
      </w:r>
      <w:r>
        <w:rPr>
          <w:rFonts w:ascii="SimHei" w:eastAsia="SimHei" w:hint="eastAsia"/>
        </w:rPr>
        <w:t>66</w:t>
      </w:r>
      <w:r>
        <w:rPr>
          <w:rFonts w:ascii="SimHei" w:eastAsia="SimHei" w:hint="eastAsia"/>
        </w:rPr>
        <w:t>段</w:t>
      </w:r>
      <w:r>
        <w:rPr>
          <w:rFonts w:ascii="SimHei" w:eastAsia="SimHei"/>
        </w:rPr>
        <w:t>（</w:t>
      </w:r>
      <w:r>
        <w:rPr>
          <w:rFonts w:ascii="SimHei" w:eastAsia="SimHei"/>
        </w:rPr>
        <w:t>i</w:t>
      </w:r>
      <w:r>
        <w:rPr>
          <w:rFonts w:ascii="SimHei" w:eastAsia="SimHei"/>
        </w:rPr>
        <w:t>）</w:t>
      </w:r>
    </w:p>
    <w:p w:rsidR="00000000" w:rsidRDefault="00457650">
      <w:pPr>
        <w:widowControl/>
        <w:tabs>
          <w:tab w:val="left" w:pos="630"/>
        </w:tabs>
        <w:spacing w:after="240" w:line="360" w:lineRule="exact"/>
        <w:rPr>
          <w:rFonts w:hint="eastAsia"/>
        </w:rPr>
      </w:pPr>
      <w:r>
        <w:t>807.</w:t>
      </w:r>
      <w:r>
        <w:tab/>
      </w:r>
      <w:r>
        <w:rPr>
          <w:rFonts w:hint="eastAsia"/>
        </w:rPr>
        <w:t>至于文化遗产</w:t>
      </w:r>
      <w:r>
        <w:rPr>
          <w:rFonts w:hint="eastAsia"/>
        </w:rPr>
        <w:t>的鉴别、编目、归类和记录，</w:t>
      </w:r>
      <w:r>
        <w:rPr>
          <w:rFonts w:hint="eastAsia"/>
        </w:rPr>
        <w:t xml:space="preserve"> 1998</w:t>
      </w:r>
      <w:r>
        <w:rPr>
          <w:rFonts w:hint="eastAsia"/>
        </w:rPr>
        <w:t>年</w:t>
      </w:r>
      <w:r>
        <w:t>国家人类学和历史研究所</w:t>
      </w:r>
      <w:r>
        <w:rPr>
          <w:rFonts w:hint="eastAsia"/>
        </w:rPr>
        <w:t>对</w:t>
      </w:r>
      <w:r>
        <w:rPr>
          <w:rFonts w:hint="eastAsia"/>
        </w:rPr>
        <w:t>68 079</w:t>
      </w:r>
      <w:r>
        <w:rPr>
          <w:rFonts w:hint="eastAsia"/>
        </w:rPr>
        <w:t>个登记的考古遗址和不可移动历史遗迹进行了编目，</w:t>
      </w:r>
      <w:r>
        <w:rPr>
          <w:rFonts w:hint="eastAsia"/>
        </w:rPr>
        <w:t>2003</w:t>
      </w:r>
      <w:r>
        <w:rPr>
          <w:rFonts w:hint="eastAsia"/>
        </w:rPr>
        <w:t>年该数字达到</w:t>
      </w:r>
      <w:r>
        <w:rPr>
          <w:rFonts w:hint="eastAsia"/>
        </w:rPr>
        <w:t>112 662</w:t>
      </w:r>
      <w:r>
        <w:rPr>
          <w:rFonts w:hint="eastAsia"/>
        </w:rPr>
        <w:t>个，其中</w:t>
      </w:r>
      <w:r>
        <w:rPr>
          <w:rFonts w:hint="eastAsia"/>
        </w:rPr>
        <w:t>34 110</w:t>
      </w:r>
      <w:r>
        <w:rPr>
          <w:rFonts w:hint="eastAsia"/>
        </w:rPr>
        <w:t>是考古遗址，</w:t>
      </w:r>
      <w:r>
        <w:rPr>
          <w:rFonts w:hint="eastAsia"/>
        </w:rPr>
        <w:t>78 562</w:t>
      </w:r>
      <w:r>
        <w:rPr>
          <w:rFonts w:hint="eastAsia"/>
        </w:rPr>
        <w:t>个是历史遗迹。</w:t>
      </w:r>
    </w:p>
    <w:p w:rsidR="00000000" w:rsidRDefault="00457650">
      <w:pPr>
        <w:widowControl/>
        <w:tabs>
          <w:tab w:val="left" w:pos="630"/>
        </w:tabs>
        <w:spacing w:after="240" w:line="360" w:lineRule="exact"/>
        <w:rPr>
          <w:rFonts w:hint="eastAsia"/>
        </w:rPr>
      </w:pPr>
      <w:r>
        <w:t>808.</w:t>
      </w:r>
      <w:r>
        <w:tab/>
      </w:r>
      <w:r>
        <w:rPr>
          <w:rFonts w:hint="eastAsia"/>
        </w:rPr>
        <w:t>获得</w:t>
      </w:r>
      <w:r>
        <w:t>国家人类学和历史研究所</w:t>
      </w:r>
      <w:r>
        <w:rPr>
          <w:rFonts w:hint="eastAsia"/>
        </w:rPr>
        <w:t>编辑认可的出版物以及传播</w:t>
      </w:r>
      <w:r>
        <w:t>国家人类学和历史研究所</w:t>
      </w:r>
      <w:r>
        <w:rPr>
          <w:rFonts w:hint="eastAsia"/>
        </w:rPr>
        <w:t>各专业研究人员成果的期刊达到了以下水平。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643"/>
        <w:gridCol w:w="1643"/>
        <w:gridCol w:w="1643"/>
        <w:gridCol w:w="1643"/>
        <w:gridCol w:w="1644"/>
        <w:gridCol w:w="1644"/>
      </w:tblGrid>
      <w:tr w:rsidR="00000000">
        <w:tblPrEx>
          <w:tblCellMar>
            <w:top w:w="0" w:type="dxa"/>
            <w:bottom w:w="0" w:type="dxa"/>
          </w:tblCellMar>
        </w:tblPrEx>
        <w:trPr>
          <w:cantSplit/>
        </w:trPr>
        <w:tc>
          <w:tcPr>
            <w:tcW w:w="8978" w:type="dxa"/>
            <w:gridSpan w:val="6"/>
          </w:tcPr>
          <w:p w:rsidR="00000000" w:rsidRDefault="00457650">
            <w:pPr>
              <w:widowControl/>
              <w:tabs>
                <w:tab w:val="left" w:pos="630"/>
              </w:tabs>
              <w:spacing w:after="120" w:line="320" w:lineRule="exact"/>
              <w:jc w:val="center"/>
              <w:rPr>
                <w:rFonts w:eastAsia="SimHei" w:hint="eastAsia"/>
              </w:rPr>
            </w:pPr>
            <w:r>
              <w:rPr>
                <w:rFonts w:eastAsia="SimHei" w:hint="eastAsia"/>
              </w:rPr>
              <w:t>出版物</w:t>
            </w:r>
          </w:p>
        </w:tc>
      </w:tr>
      <w:tr w:rsidR="00000000">
        <w:tblPrEx>
          <w:tblCellMar>
            <w:top w:w="0" w:type="dxa"/>
            <w:bottom w:w="0" w:type="dxa"/>
          </w:tblCellMar>
        </w:tblPrEx>
        <w:tc>
          <w:tcPr>
            <w:tcW w:w="1496" w:type="dxa"/>
          </w:tcPr>
          <w:p w:rsidR="00000000" w:rsidRDefault="00457650">
            <w:pPr>
              <w:widowControl/>
              <w:tabs>
                <w:tab w:val="left" w:pos="630"/>
              </w:tabs>
              <w:spacing w:after="120" w:line="320" w:lineRule="exact"/>
              <w:jc w:val="center"/>
              <w:rPr>
                <w:rFonts w:ascii="KaiTi_GB2312" w:eastAsia="KaiTi_GB2312" w:hint="eastAsia"/>
                <w:bCs/>
                <w:sz w:val="18"/>
              </w:rPr>
            </w:pPr>
            <w:r>
              <w:rPr>
                <w:rFonts w:ascii="KaiTi_GB2312" w:eastAsia="KaiTi_GB2312"/>
                <w:bCs/>
                <w:sz w:val="18"/>
              </w:rPr>
              <w:t>1998</w:t>
            </w:r>
            <w:r>
              <w:rPr>
                <w:rFonts w:ascii="KaiTi_GB2312" w:eastAsia="KaiTi_GB2312" w:hint="eastAsia"/>
                <w:bCs/>
                <w:sz w:val="18"/>
              </w:rPr>
              <w:t>年</w:t>
            </w:r>
          </w:p>
        </w:tc>
        <w:tc>
          <w:tcPr>
            <w:tcW w:w="1496" w:type="dxa"/>
          </w:tcPr>
          <w:p w:rsidR="00000000" w:rsidRDefault="00457650">
            <w:pPr>
              <w:widowControl/>
              <w:tabs>
                <w:tab w:val="left" w:pos="630"/>
              </w:tabs>
              <w:spacing w:after="120" w:line="320" w:lineRule="exact"/>
              <w:jc w:val="center"/>
              <w:rPr>
                <w:rFonts w:ascii="KaiTi_GB2312" w:eastAsia="KaiTi_GB2312" w:hint="eastAsia"/>
                <w:bCs/>
                <w:sz w:val="18"/>
              </w:rPr>
            </w:pPr>
            <w:r>
              <w:rPr>
                <w:rFonts w:ascii="KaiTi_GB2312" w:eastAsia="KaiTi_GB2312"/>
                <w:bCs/>
                <w:sz w:val="18"/>
              </w:rPr>
              <w:t>1999</w:t>
            </w:r>
            <w:r>
              <w:rPr>
                <w:rFonts w:ascii="KaiTi_GB2312" w:eastAsia="KaiTi_GB2312" w:hint="eastAsia"/>
                <w:bCs/>
                <w:sz w:val="18"/>
              </w:rPr>
              <w:t>年</w:t>
            </w:r>
          </w:p>
        </w:tc>
        <w:tc>
          <w:tcPr>
            <w:tcW w:w="1496" w:type="dxa"/>
          </w:tcPr>
          <w:p w:rsidR="00000000" w:rsidRDefault="00457650">
            <w:pPr>
              <w:widowControl/>
              <w:tabs>
                <w:tab w:val="left" w:pos="630"/>
              </w:tabs>
              <w:spacing w:after="120" w:line="320" w:lineRule="exact"/>
              <w:jc w:val="center"/>
              <w:rPr>
                <w:rFonts w:ascii="KaiTi_GB2312" w:eastAsia="KaiTi_GB2312" w:hint="eastAsia"/>
                <w:bCs/>
                <w:sz w:val="18"/>
              </w:rPr>
            </w:pPr>
            <w:r>
              <w:rPr>
                <w:rFonts w:ascii="KaiTi_GB2312" w:eastAsia="KaiTi_GB2312"/>
                <w:bCs/>
                <w:sz w:val="18"/>
              </w:rPr>
              <w:t>2000</w:t>
            </w:r>
            <w:r>
              <w:rPr>
                <w:rFonts w:ascii="KaiTi_GB2312" w:eastAsia="KaiTi_GB2312" w:hint="eastAsia"/>
                <w:bCs/>
                <w:sz w:val="18"/>
              </w:rPr>
              <w:t>年</w:t>
            </w:r>
          </w:p>
        </w:tc>
        <w:tc>
          <w:tcPr>
            <w:tcW w:w="1496" w:type="dxa"/>
          </w:tcPr>
          <w:p w:rsidR="00000000" w:rsidRDefault="00457650">
            <w:pPr>
              <w:widowControl/>
              <w:tabs>
                <w:tab w:val="left" w:pos="630"/>
              </w:tabs>
              <w:spacing w:after="120" w:line="320" w:lineRule="exact"/>
              <w:jc w:val="center"/>
              <w:rPr>
                <w:rFonts w:ascii="KaiTi_GB2312" w:eastAsia="KaiTi_GB2312" w:hint="eastAsia"/>
                <w:bCs/>
                <w:sz w:val="18"/>
              </w:rPr>
            </w:pPr>
            <w:r>
              <w:rPr>
                <w:rFonts w:ascii="KaiTi_GB2312" w:eastAsia="KaiTi_GB2312"/>
                <w:bCs/>
                <w:sz w:val="18"/>
              </w:rPr>
              <w:t>2001</w:t>
            </w:r>
            <w:r>
              <w:rPr>
                <w:rFonts w:ascii="KaiTi_GB2312" w:eastAsia="KaiTi_GB2312" w:hint="eastAsia"/>
                <w:bCs/>
                <w:sz w:val="18"/>
              </w:rPr>
              <w:t>年</w:t>
            </w:r>
          </w:p>
        </w:tc>
        <w:tc>
          <w:tcPr>
            <w:tcW w:w="1497" w:type="dxa"/>
          </w:tcPr>
          <w:p w:rsidR="00000000" w:rsidRDefault="00457650">
            <w:pPr>
              <w:widowControl/>
              <w:tabs>
                <w:tab w:val="left" w:pos="630"/>
              </w:tabs>
              <w:spacing w:after="120" w:line="320" w:lineRule="exact"/>
              <w:jc w:val="center"/>
              <w:rPr>
                <w:rFonts w:ascii="KaiTi_GB2312" w:eastAsia="KaiTi_GB2312" w:hint="eastAsia"/>
                <w:bCs/>
                <w:sz w:val="18"/>
              </w:rPr>
            </w:pPr>
            <w:r>
              <w:rPr>
                <w:rFonts w:ascii="KaiTi_GB2312" w:eastAsia="KaiTi_GB2312"/>
                <w:bCs/>
                <w:sz w:val="18"/>
              </w:rPr>
              <w:t>2002</w:t>
            </w:r>
            <w:r>
              <w:rPr>
                <w:rFonts w:ascii="KaiTi_GB2312" w:eastAsia="KaiTi_GB2312" w:hint="eastAsia"/>
                <w:bCs/>
                <w:sz w:val="18"/>
              </w:rPr>
              <w:t>年</w:t>
            </w:r>
          </w:p>
        </w:tc>
        <w:tc>
          <w:tcPr>
            <w:tcW w:w="1497" w:type="dxa"/>
          </w:tcPr>
          <w:p w:rsidR="00000000" w:rsidRDefault="00457650">
            <w:pPr>
              <w:widowControl/>
              <w:tabs>
                <w:tab w:val="left" w:pos="630"/>
              </w:tabs>
              <w:spacing w:after="120" w:line="320" w:lineRule="exact"/>
              <w:jc w:val="center"/>
              <w:rPr>
                <w:rFonts w:ascii="KaiTi_GB2312" w:eastAsia="KaiTi_GB2312" w:hint="eastAsia"/>
                <w:bCs/>
                <w:sz w:val="18"/>
              </w:rPr>
            </w:pPr>
            <w:r>
              <w:rPr>
                <w:rFonts w:ascii="KaiTi_GB2312" w:eastAsia="KaiTi_GB2312"/>
                <w:bCs/>
                <w:sz w:val="18"/>
              </w:rPr>
              <w:t>2003</w:t>
            </w:r>
            <w:r>
              <w:rPr>
                <w:rFonts w:ascii="KaiTi_GB2312" w:eastAsia="KaiTi_GB2312" w:hint="eastAsia"/>
                <w:bCs/>
                <w:sz w:val="18"/>
              </w:rPr>
              <w:t>年</w:t>
            </w:r>
          </w:p>
        </w:tc>
      </w:tr>
      <w:tr w:rsidR="00000000">
        <w:tblPrEx>
          <w:tblCellMar>
            <w:top w:w="0" w:type="dxa"/>
            <w:bottom w:w="0" w:type="dxa"/>
          </w:tblCellMar>
        </w:tblPrEx>
        <w:tc>
          <w:tcPr>
            <w:tcW w:w="1496" w:type="dxa"/>
          </w:tcPr>
          <w:p w:rsidR="00000000" w:rsidRDefault="00457650">
            <w:pPr>
              <w:widowControl/>
              <w:tabs>
                <w:tab w:val="left" w:pos="630"/>
              </w:tabs>
              <w:spacing w:after="120" w:line="320" w:lineRule="exact"/>
              <w:jc w:val="center"/>
              <w:rPr>
                <w:sz w:val="18"/>
              </w:rPr>
            </w:pPr>
            <w:r>
              <w:rPr>
                <w:sz w:val="18"/>
              </w:rPr>
              <w:t>80</w:t>
            </w:r>
          </w:p>
        </w:tc>
        <w:tc>
          <w:tcPr>
            <w:tcW w:w="1496" w:type="dxa"/>
          </w:tcPr>
          <w:p w:rsidR="00000000" w:rsidRDefault="00457650">
            <w:pPr>
              <w:pStyle w:val="Header"/>
              <w:widowControl/>
              <w:pBdr>
                <w:bottom w:val="none" w:sz="0" w:space="0" w:color="auto"/>
              </w:pBdr>
              <w:tabs>
                <w:tab w:val="clear" w:pos="4320"/>
                <w:tab w:val="clear" w:pos="8640"/>
                <w:tab w:val="left" w:pos="630"/>
              </w:tabs>
              <w:spacing w:after="120" w:line="320" w:lineRule="exact"/>
            </w:pPr>
            <w:r>
              <w:t>87</w:t>
            </w:r>
          </w:p>
        </w:tc>
        <w:tc>
          <w:tcPr>
            <w:tcW w:w="1496" w:type="dxa"/>
          </w:tcPr>
          <w:p w:rsidR="00000000" w:rsidRDefault="00457650">
            <w:pPr>
              <w:widowControl/>
              <w:tabs>
                <w:tab w:val="left" w:pos="630"/>
              </w:tabs>
              <w:spacing w:after="120" w:line="320" w:lineRule="exact"/>
              <w:jc w:val="center"/>
              <w:rPr>
                <w:sz w:val="18"/>
              </w:rPr>
            </w:pPr>
            <w:r>
              <w:rPr>
                <w:sz w:val="18"/>
              </w:rPr>
              <w:t>88</w:t>
            </w:r>
          </w:p>
        </w:tc>
        <w:tc>
          <w:tcPr>
            <w:tcW w:w="1496" w:type="dxa"/>
          </w:tcPr>
          <w:p w:rsidR="00000000" w:rsidRDefault="00457650">
            <w:pPr>
              <w:widowControl/>
              <w:tabs>
                <w:tab w:val="left" w:pos="630"/>
              </w:tabs>
              <w:spacing w:after="120" w:line="320" w:lineRule="exact"/>
              <w:jc w:val="center"/>
              <w:rPr>
                <w:sz w:val="18"/>
              </w:rPr>
            </w:pPr>
            <w:r>
              <w:rPr>
                <w:sz w:val="18"/>
              </w:rPr>
              <w:t>67</w:t>
            </w:r>
          </w:p>
        </w:tc>
        <w:tc>
          <w:tcPr>
            <w:tcW w:w="1497" w:type="dxa"/>
          </w:tcPr>
          <w:p w:rsidR="00000000" w:rsidRDefault="00457650">
            <w:pPr>
              <w:widowControl/>
              <w:tabs>
                <w:tab w:val="left" w:pos="630"/>
              </w:tabs>
              <w:spacing w:after="120" w:line="320" w:lineRule="exact"/>
              <w:jc w:val="center"/>
              <w:rPr>
                <w:sz w:val="18"/>
              </w:rPr>
            </w:pPr>
            <w:r>
              <w:rPr>
                <w:sz w:val="18"/>
              </w:rPr>
              <w:t>86</w:t>
            </w:r>
          </w:p>
        </w:tc>
        <w:tc>
          <w:tcPr>
            <w:tcW w:w="1497" w:type="dxa"/>
          </w:tcPr>
          <w:p w:rsidR="00000000" w:rsidRDefault="00457650">
            <w:pPr>
              <w:widowControl/>
              <w:tabs>
                <w:tab w:val="left" w:pos="630"/>
              </w:tabs>
              <w:spacing w:after="120" w:line="320" w:lineRule="exact"/>
              <w:jc w:val="center"/>
              <w:rPr>
                <w:sz w:val="18"/>
              </w:rPr>
            </w:pPr>
            <w:r>
              <w:rPr>
                <w:sz w:val="18"/>
              </w:rPr>
              <w:t>71</w:t>
            </w:r>
          </w:p>
        </w:tc>
      </w:tr>
      <w:tr w:rsidR="00000000">
        <w:tblPrEx>
          <w:tblCellMar>
            <w:top w:w="0" w:type="dxa"/>
            <w:bottom w:w="0" w:type="dxa"/>
          </w:tblCellMar>
        </w:tblPrEx>
        <w:tc>
          <w:tcPr>
            <w:tcW w:w="8978" w:type="dxa"/>
            <w:gridSpan w:val="6"/>
          </w:tcPr>
          <w:p w:rsidR="00000000" w:rsidRDefault="00457650">
            <w:pPr>
              <w:widowControl/>
              <w:tabs>
                <w:tab w:val="left" w:pos="630"/>
              </w:tabs>
              <w:spacing w:after="120" w:line="320" w:lineRule="exact"/>
              <w:jc w:val="center"/>
              <w:rPr>
                <w:rFonts w:hint="eastAsia"/>
                <w:sz w:val="18"/>
              </w:rPr>
            </w:pPr>
            <w:r>
              <w:rPr>
                <w:rFonts w:hint="eastAsia"/>
                <w:sz w:val="18"/>
              </w:rPr>
              <w:t>复制数量</w:t>
            </w:r>
          </w:p>
        </w:tc>
      </w:tr>
      <w:tr w:rsidR="00000000">
        <w:tblPrEx>
          <w:tblCellMar>
            <w:top w:w="0" w:type="dxa"/>
            <w:bottom w:w="0" w:type="dxa"/>
          </w:tblCellMar>
        </w:tblPrEx>
        <w:tc>
          <w:tcPr>
            <w:tcW w:w="1496" w:type="dxa"/>
          </w:tcPr>
          <w:p w:rsidR="00000000" w:rsidRDefault="00457650">
            <w:pPr>
              <w:widowControl/>
              <w:tabs>
                <w:tab w:val="left" w:pos="630"/>
              </w:tabs>
              <w:spacing w:after="120" w:line="320" w:lineRule="exact"/>
              <w:jc w:val="center"/>
              <w:rPr>
                <w:sz w:val="18"/>
              </w:rPr>
            </w:pPr>
            <w:r>
              <w:rPr>
                <w:sz w:val="18"/>
              </w:rPr>
              <w:t>112 500</w:t>
            </w:r>
          </w:p>
        </w:tc>
        <w:tc>
          <w:tcPr>
            <w:tcW w:w="1496" w:type="dxa"/>
          </w:tcPr>
          <w:p w:rsidR="00000000" w:rsidRDefault="00457650">
            <w:pPr>
              <w:widowControl/>
              <w:tabs>
                <w:tab w:val="left" w:pos="630"/>
              </w:tabs>
              <w:spacing w:after="120" w:line="320" w:lineRule="exact"/>
              <w:jc w:val="center"/>
              <w:rPr>
                <w:sz w:val="18"/>
              </w:rPr>
            </w:pPr>
            <w:r>
              <w:rPr>
                <w:sz w:val="18"/>
              </w:rPr>
              <w:t>136 900</w:t>
            </w:r>
          </w:p>
        </w:tc>
        <w:tc>
          <w:tcPr>
            <w:tcW w:w="1496" w:type="dxa"/>
          </w:tcPr>
          <w:p w:rsidR="00000000" w:rsidRDefault="00457650">
            <w:pPr>
              <w:widowControl/>
              <w:tabs>
                <w:tab w:val="left" w:pos="630"/>
              </w:tabs>
              <w:spacing w:after="120" w:line="320" w:lineRule="exact"/>
              <w:jc w:val="center"/>
              <w:rPr>
                <w:sz w:val="18"/>
              </w:rPr>
            </w:pPr>
            <w:r>
              <w:rPr>
                <w:sz w:val="18"/>
              </w:rPr>
              <w:t xml:space="preserve">102 </w:t>
            </w:r>
            <w:r>
              <w:rPr>
                <w:sz w:val="18"/>
              </w:rPr>
              <w:t>100</w:t>
            </w:r>
          </w:p>
        </w:tc>
        <w:tc>
          <w:tcPr>
            <w:tcW w:w="1496" w:type="dxa"/>
          </w:tcPr>
          <w:p w:rsidR="00000000" w:rsidRDefault="00457650">
            <w:pPr>
              <w:pStyle w:val="a3"/>
              <w:widowControl/>
              <w:tabs>
                <w:tab w:val="left" w:pos="630"/>
              </w:tabs>
              <w:adjustRightInd w:val="0"/>
              <w:spacing w:after="120" w:line="320" w:lineRule="exact"/>
              <w:jc w:val="center"/>
              <w:textAlignment w:val="baseline"/>
              <w:rPr>
                <w:kern w:val="0"/>
                <w:szCs w:val="20"/>
              </w:rPr>
            </w:pPr>
            <w:r>
              <w:rPr>
                <w:kern w:val="0"/>
                <w:szCs w:val="20"/>
              </w:rPr>
              <w:t>81 600</w:t>
            </w:r>
          </w:p>
        </w:tc>
        <w:tc>
          <w:tcPr>
            <w:tcW w:w="1497" w:type="dxa"/>
          </w:tcPr>
          <w:p w:rsidR="00000000" w:rsidRDefault="00457650">
            <w:pPr>
              <w:widowControl/>
              <w:tabs>
                <w:tab w:val="left" w:pos="630"/>
              </w:tabs>
              <w:spacing w:after="120" w:line="320" w:lineRule="exact"/>
              <w:jc w:val="center"/>
              <w:rPr>
                <w:sz w:val="18"/>
              </w:rPr>
            </w:pPr>
            <w:r>
              <w:rPr>
                <w:sz w:val="18"/>
              </w:rPr>
              <w:t>95 600</w:t>
            </w:r>
          </w:p>
        </w:tc>
        <w:tc>
          <w:tcPr>
            <w:tcW w:w="1497" w:type="dxa"/>
          </w:tcPr>
          <w:p w:rsidR="00000000" w:rsidRDefault="00457650">
            <w:pPr>
              <w:widowControl/>
              <w:tabs>
                <w:tab w:val="left" w:pos="630"/>
              </w:tabs>
              <w:spacing w:after="120" w:line="320" w:lineRule="exact"/>
              <w:jc w:val="center"/>
              <w:rPr>
                <w:sz w:val="18"/>
              </w:rPr>
            </w:pPr>
            <w:r>
              <w:rPr>
                <w:sz w:val="18"/>
              </w:rPr>
              <w:t>72 300</w:t>
            </w:r>
          </w:p>
        </w:tc>
      </w:tr>
    </w:tbl>
    <w:p w:rsidR="00000000" w:rsidRDefault="00457650">
      <w:pPr>
        <w:widowControl/>
        <w:tabs>
          <w:tab w:val="left" w:pos="630"/>
        </w:tabs>
        <w:spacing w:after="240" w:line="360" w:lineRule="exact"/>
        <w:rPr>
          <w:sz w:val="18"/>
        </w:rPr>
      </w:pPr>
      <w:r>
        <w:rPr>
          <w:rFonts w:eastAsia="KaiTi_GB2312" w:hint="eastAsia"/>
          <w:sz w:val="18"/>
        </w:rPr>
        <w:t>资料来源</w:t>
      </w:r>
      <w:r>
        <w:rPr>
          <w:rFonts w:hint="eastAsia"/>
          <w:sz w:val="18"/>
        </w:rPr>
        <w:t>：国家文化和艺术委员会。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643"/>
        <w:gridCol w:w="1643"/>
        <w:gridCol w:w="1643"/>
        <w:gridCol w:w="1643"/>
        <w:gridCol w:w="1644"/>
        <w:gridCol w:w="1644"/>
      </w:tblGrid>
      <w:tr w:rsidR="00000000">
        <w:tblPrEx>
          <w:tblCellMar>
            <w:top w:w="0" w:type="dxa"/>
            <w:bottom w:w="0" w:type="dxa"/>
          </w:tblCellMar>
        </w:tblPrEx>
        <w:trPr>
          <w:cantSplit/>
        </w:trPr>
        <w:tc>
          <w:tcPr>
            <w:tcW w:w="8978" w:type="dxa"/>
            <w:gridSpan w:val="6"/>
          </w:tcPr>
          <w:p w:rsidR="00000000" w:rsidRDefault="00457650">
            <w:pPr>
              <w:widowControl/>
              <w:tabs>
                <w:tab w:val="left" w:pos="630"/>
              </w:tabs>
              <w:spacing w:after="120" w:line="320" w:lineRule="exact"/>
              <w:jc w:val="center"/>
              <w:rPr>
                <w:rFonts w:eastAsia="SimHei"/>
              </w:rPr>
            </w:pPr>
            <w:r>
              <w:rPr>
                <w:rFonts w:eastAsia="SimHei" w:hint="eastAsia"/>
              </w:rPr>
              <w:t>期刊</w:t>
            </w:r>
            <w:r>
              <w:rPr>
                <w:rFonts w:eastAsia="SimHei"/>
              </w:rPr>
              <w:t>（</w:t>
            </w:r>
            <w:r>
              <w:rPr>
                <w:rFonts w:eastAsia="SimHei" w:hint="eastAsia"/>
              </w:rPr>
              <w:t>杂志</w:t>
            </w:r>
            <w:r>
              <w:rPr>
                <w:rFonts w:eastAsia="SimHei"/>
              </w:rPr>
              <w:t>）</w:t>
            </w:r>
          </w:p>
        </w:tc>
      </w:tr>
      <w:tr w:rsidR="00000000">
        <w:tblPrEx>
          <w:tblCellMar>
            <w:top w:w="0" w:type="dxa"/>
            <w:bottom w:w="0" w:type="dxa"/>
          </w:tblCellMar>
        </w:tblPrEx>
        <w:tc>
          <w:tcPr>
            <w:tcW w:w="1496" w:type="dxa"/>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sz w:val="18"/>
              </w:rPr>
              <w:t>1998</w:t>
            </w:r>
            <w:r>
              <w:rPr>
                <w:rFonts w:ascii="KaiTi_GB2312" w:eastAsia="KaiTi_GB2312" w:hint="eastAsia"/>
                <w:sz w:val="18"/>
              </w:rPr>
              <w:t>年</w:t>
            </w:r>
          </w:p>
        </w:tc>
        <w:tc>
          <w:tcPr>
            <w:tcW w:w="1496" w:type="dxa"/>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sz w:val="18"/>
              </w:rPr>
              <w:t>1999</w:t>
            </w:r>
            <w:r>
              <w:rPr>
                <w:rFonts w:ascii="KaiTi_GB2312" w:eastAsia="KaiTi_GB2312" w:hint="eastAsia"/>
                <w:sz w:val="18"/>
              </w:rPr>
              <w:t>年</w:t>
            </w:r>
          </w:p>
        </w:tc>
        <w:tc>
          <w:tcPr>
            <w:tcW w:w="1496" w:type="dxa"/>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sz w:val="18"/>
              </w:rPr>
              <w:t>2000</w:t>
            </w:r>
            <w:r>
              <w:rPr>
                <w:rFonts w:ascii="KaiTi_GB2312" w:eastAsia="KaiTi_GB2312" w:hint="eastAsia"/>
                <w:sz w:val="18"/>
              </w:rPr>
              <w:t>年</w:t>
            </w:r>
          </w:p>
        </w:tc>
        <w:tc>
          <w:tcPr>
            <w:tcW w:w="1496" w:type="dxa"/>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sz w:val="18"/>
              </w:rPr>
              <w:t>2001</w:t>
            </w:r>
            <w:r>
              <w:rPr>
                <w:rFonts w:ascii="KaiTi_GB2312" w:eastAsia="KaiTi_GB2312" w:hint="eastAsia"/>
                <w:sz w:val="18"/>
              </w:rPr>
              <w:t>年</w:t>
            </w:r>
          </w:p>
        </w:tc>
        <w:tc>
          <w:tcPr>
            <w:tcW w:w="1497" w:type="dxa"/>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sz w:val="18"/>
              </w:rPr>
              <w:t>2002</w:t>
            </w:r>
            <w:r>
              <w:rPr>
                <w:rFonts w:ascii="KaiTi_GB2312" w:eastAsia="KaiTi_GB2312" w:hint="eastAsia"/>
                <w:sz w:val="18"/>
              </w:rPr>
              <w:t>年</w:t>
            </w:r>
          </w:p>
        </w:tc>
        <w:tc>
          <w:tcPr>
            <w:tcW w:w="1497" w:type="dxa"/>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sz w:val="18"/>
              </w:rPr>
              <w:t>2003</w:t>
            </w:r>
            <w:r>
              <w:rPr>
                <w:rFonts w:ascii="KaiTi_GB2312" w:eastAsia="KaiTi_GB2312" w:hint="eastAsia"/>
                <w:sz w:val="18"/>
              </w:rPr>
              <w:t>年</w:t>
            </w:r>
          </w:p>
        </w:tc>
      </w:tr>
      <w:tr w:rsidR="00000000">
        <w:tblPrEx>
          <w:tblCellMar>
            <w:top w:w="0" w:type="dxa"/>
            <w:bottom w:w="0" w:type="dxa"/>
          </w:tblCellMar>
        </w:tblPrEx>
        <w:tc>
          <w:tcPr>
            <w:tcW w:w="1496" w:type="dxa"/>
          </w:tcPr>
          <w:p w:rsidR="00000000" w:rsidRDefault="00457650">
            <w:pPr>
              <w:widowControl/>
              <w:tabs>
                <w:tab w:val="left" w:pos="630"/>
              </w:tabs>
              <w:spacing w:after="120" w:line="320" w:lineRule="exact"/>
              <w:jc w:val="center"/>
              <w:rPr>
                <w:sz w:val="18"/>
              </w:rPr>
            </w:pPr>
            <w:r>
              <w:rPr>
                <w:sz w:val="18"/>
              </w:rPr>
              <w:t>46</w:t>
            </w:r>
          </w:p>
        </w:tc>
        <w:tc>
          <w:tcPr>
            <w:tcW w:w="1496" w:type="dxa"/>
          </w:tcPr>
          <w:p w:rsidR="00000000" w:rsidRDefault="00457650">
            <w:pPr>
              <w:widowControl/>
              <w:tabs>
                <w:tab w:val="left" w:pos="630"/>
              </w:tabs>
              <w:spacing w:after="120" w:line="320" w:lineRule="exact"/>
              <w:jc w:val="center"/>
              <w:rPr>
                <w:sz w:val="18"/>
              </w:rPr>
            </w:pPr>
            <w:r>
              <w:rPr>
                <w:sz w:val="18"/>
              </w:rPr>
              <w:t>50</w:t>
            </w:r>
          </w:p>
        </w:tc>
        <w:tc>
          <w:tcPr>
            <w:tcW w:w="1496" w:type="dxa"/>
          </w:tcPr>
          <w:p w:rsidR="00000000" w:rsidRDefault="00457650">
            <w:pPr>
              <w:widowControl/>
              <w:tabs>
                <w:tab w:val="left" w:pos="630"/>
              </w:tabs>
              <w:spacing w:after="120" w:line="320" w:lineRule="exact"/>
              <w:jc w:val="center"/>
              <w:rPr>
                <w:sz w:val="18"/>
              </w:rPr>
            </w:pPr>
            <w:r>
              <w:rPr>
                <w:sz w:val="18"/>
              </w:rPr>
              <w:t>64</w:t>
            </w:r>
          </w:p>
        </w:tc>
        <w:tc>
          <w:tcPr>
            <w:tcW w:w="1496" w:type="dxa"/>
          </w:tcPr>
          <w:p w:rsidR="00000000" w:rsidRDefault="00457650">
            <w:pPr>
              <w:widowControl/>
              <w:tabs>
                <w:tab w:val="left" w:pos="630"/>
              </w:tabs>
              <w:spacing w:after="120" w:line="320" w:lineRule="exact"/>
              <w:jc w:val="center"/>
              <w:rPr>
                <w:sz w:val="18"/>
              </w:rPr>
            </w:pPr>
            <w:r>
              <w:rPr>
                <w:sz w:val="18"/>
              </w:rPr>
              <w:t>54</w:t>
            </w:r>
          </w:p>
        </w:tc>
        <w:tc>
          <w:tcPr>
            <w:tcW w:w="1497" w:type="dxa"/>
          </w:tcPr>
          <w:p w:rsidR="00000000" w:rsidRDefault="00457650">
            <w:pPr>
              <w:widowControl/>
              <w:tabs>
                <w:tab w:val="left" w:pos="630"/>
              </w:tabs>
              <w:spacing w:after="120" w:line="320" w:lineRule="exact"/>
              <w:jc w:val="center"/>
              <w:rPr>
                <w:sz w:val="18"/>
              </w:rPr>
            </w:pPr>
            <w:r>
              <w:rPr>
                <w:sz w:val="18"/>
              </w:rPr>
              <w:t>30</w:t>
            </w:r>
          </w:p>
        </w:tc>
        <w:tc>
          <w:tcPr>
            <w:tcW w:w="1497" w:type="dxa"/>
          </w:tcPr>
          <w:p w:rsidR="00000000" w:rsidRDefault="00457650">
            <w:pPr>
              <w:widowControl/>
              <w:tabs>
                <w:tab w:val="left" w:pos="630"/>
              </w:tabs>
              <w:spacing w:after="120" w:line="320" w:lineRule="exact"/>
              <w:jc w:val="center"/>
              <w:rPr>
                <w:sz w:val="18"/>
              </w:rPr>
            </w:pPr>
            <w:r>
              <w:rPr>
                <w:sz w:val="18"/>
              </w:rPr>
              <w:t>43</w:t>
            </w:r>
          </w:p>
        </w:tc>
      </w:tr>
      <w:tr w:rsidR="00000000">
        <w:tblPrEx>
          <w:tblCellMar>
            <w:top w:w="0" w:type="dxa"/>
            <w:bottom w:w="0" w:type="dxa"/>
          </w:tblCellMar>
        </w:tblPrEx>
        <w:tc>
          <w:tcPr>
            <w:tcW w:w="8978" w:type="dxa"/>
            <w:gridSpan w:val="6"/>
          </w:tcPr>
          <w:p w:rsidR="00000000" w:rsidRDefault="00457650">
            <w:pPr>
              <w:widowControl/>
              <w:tabs>
                <w:tab w:val="left" w:pos="630"/>
              </w:tabs>
              <w:spacing w:after="120" w:line="320" w:lineRule="exact"/>
              <w:jc w:val="center"/>
              <w:rPr>
                <w:rFonts w:hint="eastAsia"/>
                <w:sz w:val="18"/>
              </w:rPr>
            </w:pPr>
            <w:r>
              <w:rPr>
                <w:rFonts w:hint="eastAsia"/>
                <w:sz w:val="18"/>
              </w:rPr>
              <w:t>复制数量</w:t>
            </w:r>
          </w:p>
        </w:tc>
      </w:tr>
      <w:tr w:rsidR="00000000">
        <w:tblPrEx>
          <w:tblCellMar>
            <w:top w:w="0" w:type="dxa"/>
            <w:bottom w:w="0" w:type="dxa"/>
          </w:tblCellMar>
        </w:tblPrEx>
        <w:tc>
          <w:tcPr>
            <w:tcW w:w="1496" w:type="dxa"/>
          </w:tcPr>
          <w:p w:rsidR="00000000" w:rsidRDefault="00457650">
            <w:pPr>
              <w:widowControl/>
              <w:tabs>
                <w:tab w:val="left" w:pos="630"/>
              </w:tabs>
              <w:spacing w:after="120" w:line="320" w:lineRule="exact"/>
              <w:jc w:val="center"/>
              <w:rPr>
                <w:sz w:val="18"/>
              </w:rPr>
            </w:pPr>
            <w:r>
              <w:rPr>
                <w:sz w:val="18"/>
              </w:rPr>
              <w:t>467 158</w:t>
            </w:r>
          </w:p>
        </w:tc>
        <w:tc>
          <w:tcPr>
            <w:tcW w:w="1496" w:type="dxa"/>
          </w:tcPr>
          <w:p w:rsidR="00000000" w:rsidRDefault="00457650">
            <w:pPr>
              <w:widowControl/>
              <w:tabs>
                <w:tab w:val="left" w:pos="630"/>
              </w:tabs>
              <w:spacing w:after="120" w:line="320" w:lineRule="exact"/>
              <w:jc w:val="center"/>
              <w:rPr>
                <w:sz w:val="18"/>
              </w:rPr>
            </w:pPr>
            <w:r>
              <w:rPr>
                <w:sz w:val="18"/>
              </w:rPr>
              <w:t>499 500</w:t>
            </w:r>
          </w:p>
        </w:tc>
        <w:tc>
          <w:tcPr>
            <w:tcW w:w="1496" w:type="dxa"/>
          </w:tcPr>
          <w:p w:rsidR="00000000" w:rsidRDefault="00457650">
            <w:pPr>
              <w:widowControl/>
              <w:tabs>
                <w:tab w:val="left" w:pos="630"/>
              </w:tabs>
              <w:spacing w:after="120" w:line="320" w:lineRule="exact"/>
              <w:jc w:val="center"/>
              <w:rPr>
                <w:sz w:val="18"/>
              </w:rPr>
            </w:pPr>
            <w:r>
              <w:rPr>
                <w:sz w:val="18"/>
              </w:rPr>
              <w:t>432 500</w:t>
            </w:r>
          </w:p>
        </w:tc>
        <w:tc>
          <w:tcPr>
            <w:tcW w:w="1496" w:type="dxa"/>
          </w:tcPr>
          <w:p w:rsidR="00000000" w:rsidRDefault="00457650">
            <w:pPr>
              <w:widowControl/>
              <w:tabs>
                <w:tab w:val="left" w:pos="630"/>
              </w:tabs>
              <w:spacing w:after="120" w:line="320" w:lineRule="exact"/>
              <w:jc w:val="center"/>
              <w:rPr>
                <w:sz w:val="18"/>
              </w:rPr>
            </w:pPr>
            <w:r>
              <w:rPr>
                <w:sz w:val="18"/>
              </w:rPr>
              <w:t>360 000</w:t>
            </w:r>
          </w:p>
        </w:tc>
        <w:tc>
          <w:tcPr>
            <w:tcW w:w="1497" w:type="dxa"/>
          </w:tcPr>
          <w:p w:rsidR="00000000" w:rsidRDefault="00457650">
            <w:pPr>
              <w:widowControl/>
              <w:tabs>
                <w:tab w:val="left" w:pos="630"/>
              </w:tabs>
              <w:spacing w:after="120" w:line="320" w:lineRule="exact"/>
              <w:jc w:val="center"/>
              <w:rPr>
                <w:sz w:val="18"/>
              </w:rPr>
            </w:pPr>
            <w:r>
              <w:rPr>
                <w:sz w:val="18"/>
              </w:rPr>
              <w:t>84 500</w:t>
            </w:r>
          </w:p>
        </w:tc>
        <w:tc>
          <w:tcPr>
            <w:tcW w:w="1497" w:type="dxa"/>
          </w:tcPr>
          <w:p w:rsidR="00000000" w:rsidRDefault="00457650">
            <w:pPr>
              <w:widowControl/>
              <w:tabs>
                <w:tab w:val="left" w:pos="630"/>
              </w:tabs>
              <w:spacing w:after="120" w:line="320" w:lineRule="exact"/>
              <w:jc w:val="center"/>
              <w:rPr>
                <w:sz w:val="18"/>
              </w:rPr>
            </w:pPr>
            <w:r>
              <w:rPr>
                <w:sz w:val="18"/>
              </w:rPr>
              <w:t>139 200</w:t>
            </w:r>
          </w:p>
        </w:tc>
      </w:tr>
    </w:tbl>
    <w:p w:rsidR="00000000" w:rsidRDefault="00457650">
      <w:pPr>
        <w:widowControl/>
        <w:tabs>
          <w:tab w:val="left" w:pos="630"/>
        </w:tabs>
        <w:spacing w:after="240" w:line="360" w:lineRule="exact"/>
        <w:rPr>
          <w:rFonts w:hint="eastAsia"/>
          <w:sz w:val="18"/>
        </w:rPr>
      </w:pPr>
      <w:r>
        <w:rPr>
          <w:rFonts w:eastAsia="KaiTi_GB2312" w:hint="eastAsia"/>
          <w:sz w:val="18"/>
        </w:rPr>
        <w:t>资料来源</w:t>
      </w:r>
      <w:r>
        <w:rPr>
          <w:rFonts w:hint="eastAsia"/>
          <w:sz w:val="18"/>
        </w:rPr>
        <w:t>：国家文化和艺术委员会。</w:t>
      </w:r>
    </w:p>
    <w:p w:rsidR="00000000" w:rsidRDefault="00457650">
      <w:pPr>
        <w:widowControl/>
        <w:tabs>
          <w:tab w:val="left" w:pos="630"/>
        </w:tabs>
        <w:spacing w:after="240" w:line="360" w:lineRule="exact"/>
        <w:rPr>
          <w:rFonts w:hint="eastAsia"/>
        </w:rPr>
      </w:pPr>
      <w:r>
        <w:t>809.</w:t>
      </w:r>
      <w:r>
        <w:tab/>
      </w:r>
      <w:r>
        <w:rPr>
          <w:rFonts w:hint="eastAsia"/>
        </w:rPr>
        <w:t>另外，就文化的保存、发展和传播而言，</w:t>
      </w:r>
      <w:r>
        <w:t>国家人类学和历史研究所</w:t>
      </w:r>
      <w:r>
        <w:rPr>
          <w:rFonts w:hint="eastAsia"/>
        </w:rPr>
        <w:t>每年平均实施</w:t>
      </w:r>
      <w:r>
        <w:rPr>
          <w:rFonts w:hint="eastAsia"/>
        </w:rPr>
        <w:t>1 000</w:t>
      </w:r>
      <w:r>
        <w:rPr>
          <w:rFonts w:hint="eastAsia"/>
        </w:rPr>
        <w:t>个具体项目，特别是新世纪墨西哥土著地区人类文化学，该机构有来自不同</w:t>
      </w:r>
      <w:r>
        <w:rPr>
          <w:rFonts w:hint="eastAsia"/>
        </w:rPr>
        <w:t>学科的多个学术机构的</w:t>
      </w:r>
      <w:r>
        <w:rPr>
          <w:rFonts w:hint="eastAsia"/>
        </w:rPr>
        <w:t>114</w:t>
      </w:r>
      <w:r>
        <w:rPr>
          <w:rFonts w:hint="eastAsia"/>
        </w:rPr>
        <w:t>名研究人员，其中</w:t>
      </w:r>
      <w:r>
        <w:rPr>
          <w:rFonts w:hint="eastAsia"/>
        </w:rPr>
        <w:t>48</w:t>
      </w:r>
      <w:r>
        <w:rPr>
          <w:rFonts w:hint="eastAsia"/>
        </w:rPr>
        <w:t>人是它的专职</w:t>
      </w:r>
      <w:r>
        <w:t>研究</w:t>
      </w:r>
      <w:r>
        <w:rPr>
          <w:rFonts w:hint="eastAsia"/>
        </w:rPr>
        <w:t>人员。文化保存、发展和传播项目是近几十年来该领域最杰出的项目，它反映了对出色学术活动的有效规划，在对国家有关问题的思考上显现了丰富的智慧和能力，这使它取得了特别突出的成果。</w:t>
      </w:r>
      <w:r>
        <w:rPr>
          <w:rFonts w:hint="eastAsia"/>
        </w:rPr>
        <w:t>2003</w:t>
      </w:r>
      <w:r>
        <w:rPr>
          <w:rFonts w:hint="eastAsia"/>
        </w:rPr>
        <w:t>年，该机构出版了</w:t>
      </w:r>
      <w:r>
        <w:rPr>
          <w:rFonts w:hint="eastAsia"/>
        </w:rPr>
        <w:t>17</w:t>
      </w:r>
      <w:r>
        <w:rPr>
          <w:rFonts w:hint="eastAsia"/>
        </w:rPr>
        <w:t>本书，另外还有</w:t>
      </w:r>
      <w:r>
        <w:rPr>
          <w:rFonts w:hint="eastAsia"/>
        </w:rPr>
        <w:t>4</w:t>
      </w:r>
      <w:r>
        <w:rPr>
          <w:rFonts w:hint="eastAsia"/>
        </w:rPr>
        <w:t>本处于印刷阶段。</w:t>
      </w:r>
    </w:p>
    <w:p w:rsidR="00000000" w:rsidRDefault="00457650">
      <w:pPr>
        <w:widowControl/>
        <w:tabs>
          <w:tab w:val="left" w:pos="630"/>
        </w:tabs>
        <w:spacing w:after="240" w:line="360" w:lineRule="exact"/>
      </w:pPr>
      <w:r>
        <w:t>810.</w:t>
      </w:r>
      <w:r>
        <w:tab/>
      </w:r>
      <w:r>
        <w:rPr>
          <w:rFonts w:hint="eastAsia"/>
        </w:rPr>
        <w:t>另一个项目是编制了</w:t>
      </w:r>
      <w:r>
        <w:t>尤卡坦</w:t>
      </w:r>
      <w:r>
        <w:rPr>
          <w:rFonts w:hint="eastAsia"/>
        </w:rPr>
        <w:t>半岛地下自然储水和水下洞穴的考古地图册，目前它提供了有关更新、动物群和半岛先民的最新骨骼和碳素证据，先民曾使用过这些当时还很干燥的洞穴，将它作为庇护所和水源供应地。这些发现补充了墨西</w:t>
      </w:r>
      <w:r>
        <w:rPr>
          <w:rFonts w:hint="eastAsia"/>
        </w:rPr>
        <w:t>哥该地区的史前研究。</w:t>
      </w:r>
    </w:p>
    <w:p w:rsidR="00000000" w:rsidRDefault="00457650">
      <w:pPr>
        <w:widowControl/>
        <w:tabs>
          <w:tab w:val="left" w:pos="630"/>
        </w:tabs>
        <w:spacing w:after="240" w:line="360" w:lineRule="exact"/>
        <w:rPr>
          <w:rFonts w:hint="eastAsia"/>
        </w:rPr>
      </w:pPr>
      <w:r>
        <w:t>811.</w:t>
      </w:r>
      <w:r>
        <w:tab/>
      </w:r>
      <w:r>
        <w:rPr>
          <w:rFonts w:hint="eastAsia"/>
        </w:rPr>
        <w:t>另一个项目对于了解整个美洲的人口和文化极其重要，它分析了在</w:t>
      </w:r>
      <w:r>
        <w:t>南下加</w:t>
      </w:r>
      <w:r>
        <w:rPr>
          <w:rFonts w:hint="eastAsia"/>
        </w:rPr>
        <w:t>利</w:t>
      </w:r>
      <w:r>
        <w:t>福尼亚</w:t>
      </w:r>
      <w:r>
        <w:rPr>
          <w:rFonts w:hint="eastAsia"/>
        </w:rPr>
        <w:t>圣埃斯皮里图发现的美洲先民发源地。利用碳元素测定办法，测定人造居穴中各种海洋贝壳的</w:t>
      </w:r>
      <w:r>
        <w:rPr>
          <w:rFonts w:hint="eastAsia"/>
        </w:rPr>
        <w:t>14</w:t>
      </w:r>
      <w:r>
        <w:rPr>
          <w:rFonts w:hint="eastAsia"/>
        </w:rPr>
        <w:t>个样品年代在</w:t>
      </w:r>
      <w:r>
        <w:rPr>
          <w:rFonts w:hint="eastAsia"/>
        </w:rPr>
        <w:t>40000</w:t>
      </w:r>
      <w:r>
        <w:rPr>
          <w:rFonts w:hint="eastAsia"/>
        </w:rPr>
        <w:t>年前。</w:t>
      </w:r>
    </w:p>
    <w:p w:rsidR="00000000" w:rsidRDefault="00457650">
      <w:pPr>
        <w:widowControl/>
        <w:tabs>
          <w:tab w:val="left" w:pos="630"/>
        </w:tabs>
        <w:spacing w:after="240" w:line="360" w:lineRule="exact"/>
        <w:rPr>
          <w:rFonts w:hint="eastAsia"/>
        </w:rPr>
      </w:pPr>
      <w:r>
        <w:t>812.</w:t>
      </w:r>
      <w:r>
        <w:tab/>
      </w:r>
      <w:r>
        <w:rPr>
          <w:rFonts w:hint="eastAsia"/>
        </w:rPr>
        <w:t>这种发现的意义在于证实了这些贝壳和该地区所发现的石头的联系，这是墨西哥人类居住的最早证据，是整个美洲大陆最古老的人类居住证据之一。随着瓦哈卡文化博物馆收藏的发展，瓦哈卡圣多明各</w:t>
      </w:r>
      <w:r>
        <w:t>-</w:t>
      </w:r>
      <w:r>
        <w:rPr>
          <w:rFonts w:hint="eastAsia"/>
        </w:rPr>
        <w:t>德古斯曼前女修道院于</w:t>
      </w:r>
      <w:r>
        <w:rPr>
          <w:rFonts w:hint="eastAsia"/>
        </w:rPr>
        <w:t>1998</w:t>
      </w:r>
      <w:r>
        <w:rPr>
          <w:rFonts w:hint="eastAsia"/>
        </w:rPr>
        <w:t>年完成重建。</w:t>
      </w:r>
    </w:p>
    <w:p w:rsidR="00000000" w:rsidRDefault="00457650">
      <w:pPr>
        <w:widowControl/>
        <w:tabs>
          <w:tab w:val="left" w:pos="630"/>
        </w:tabs>
        <w:spacing w:after="240" w:line="360" w:lineRule="exact"/>
        <w:rPr>
          <w:rFonts w:hint="eastAsia"/>
          <w:spacing w:val="-2"/>
        </w:rPr>
      </w:pPr>
      <w:r>
        <w:rPr>
          <w:spacing w:val="-2"/>
        </w:rPr>
        <w:t>813.</w:t>
      </w:r>
      <w:r>
        <w:rPr>
          <w:spacing w:val="-2"/>
        </w:rPr>
        <w:tab/>
      </w:r>
      <w:r>
        <w:rPr>
          <w:rFonts w:hint="eastAsia"/>
          <w:spacing w:val="-2"/>
        </w:rPr>
        <w:t>经过三年的努力，国家历史博物馆完成了修复并于</w:t>
      </w:r>
      <w:r>
        <w:rPr>
          <w:rFonts w:hint="eastAsia"/>
          <w:spacing w:val="-2"/>
        </w:rPr>
        <w:t>2003</w:t>
      </w:r>
      <w:r>
        <w:rPr>
          <w:rFonts w:hint="eastAsia"/>
          <w:spacing w:val="-2"/>
        </w:rPr>
        <w:t>年</w:t>
      </w:r>
      <w:r>
        <w:rPr>
          <w:rFonts w:hint="eastAsia"/>
          <w:spacing w:val="-2"/>
        </w:rPr>
        <w:t>11</w:t>
      </w:r>
      <w:r>
        <w:rPr>
          <w:rFonts w:hint="eastAsia"/>
          <w:spacing w:val="-2"/>
        </w:rPr>
        <w:t>月</w:t>
      </w:r>
      <w:r>
        <w:rPr>
          <w:rFonts w:hint="eastAsia"/>
          <w:spacing w:val="-2"/>
        </w:rPr>
        <w:t>17</w:t>
      </w:r>
      <w:r>
        <w:rPr>
          <w:rFonts w:hint="eastAsia"/>
          <w:spacing w:val="-2"/>
        </w:rPr>
        <w:t>日向大众开放，在</w:t>
      </w:r>
      <w:r>
        <w:rPr>
          <w:rFonts w:hint="eastAsia"/>
          <w:spacing w:val="-2"/>
        </w:rPr>
        <w:t>16</w:t>
      </w:r>
      <w:r>
        <w:rPr>
          <w:rFonts w:hint="eastAsia"/>
          <w:spacing w:val="-2"/>
        </w:rPr>
        <w:t>个墨西哥历史展厅和</w:t>
      </w:r>
      <w:r>
        <w:rPr>
          <w:rFonts w:hint="eastAsia"/>
          <w:spacing w:val="-2"/>
        </w:rPr>
        <w:t>3</w:t>
      </w:r>
      <w:r>
        <w:rPr>
          <w:rFonts w:hint="eastAsia"/>
          <w:spacing w:val="-2"/>
        </w:rPr>
        <w:t>个临时展厅展出了新的史学和博物馆学资料，这些展厅是国家历史博物馆的组成部分。在同一领域，用来展示地区特点的</w:t>
      </w:r>
      <w:r>
        <w:t>瓦斯特科</w:t>
      </w:r>
      <w:r>
        <w:rPr>
          <w:rFonts w:hint="eastAsia"/>
        </w:rPr>
        <w:t>历史博物馆于</w:t>
      </w:r>
      <w:r>
        <w:rPr>
          <w:rFonts w:hint="eastAsia"/>
        </w:rPr>
        <w:t>2003</w:t>
      </w:r>
      <w:r>
        <w:rPr>
          <w:rFonts w:hint="eastAsia"/>
        </w:rPr>
        <w:t>年重新开放。在</w:t>
      </w:r>
      <w:r>
        <w:rPr>
          <w:rFonts w:hint="eastAsia"/>
        </w:rPr>
        <w:t>2003</w:t>
      </w:r>
      <w:r>
        <w:rPr>
          <w:rFonts w:hint="eastAsia"/>
        </w:rPr>
        <w:t>年</w:t>
      </w:r>
      <w:r>
        <w:rPr>
          <w:rFonts w:hint="eastAsia"/>
        </w:rPr>
        <w:t>7</w:t>
      </w:r>
      <w:r>
        <w:rPr>
          <w:rFonts w:hint="eastAsia"/>
        </w:rPr>
        <w:t>月</w:t>
      </w:r>
      <w:r>
        <w:rPr>
          <w:rFonts w:hint="eastAsia"/>
        </w:rPr>
        <w:t>10</w:t>
      </w:r>
      <w:r>
        <w:rPr>
          <w:rFonts w:hint="eastAsia"/>
        </w:rPr>
        <w:t>日，“国家人类学博物馆”中的玛雅文化展厅重新开放。它收藏了</w:t>
      </w:r>
      <w:r>
        <w:rPr>
          <w:rFonts w:hint="eastAsia"/>
        </w:rPr>
        <w:t>700</w:t>
      </w:r>
      <w:r>
        <w:rPr>
          <w:rFonts w:hint="eastAsia"/>
        </w:rPr>
        <w:t>件物品，其中</w:t>
      </w:r>
      <w:r>
        <w:rPr>
          <w:rFonts w:hint="eastAsia"/>
        </w:rPr>
        <w:t>160</w:t>
      </w:r>
      <w:r>
        <w:rPr>
          <w:rFonts w:hint="eastAsia"/>
        </w:rPr>
        <w:t>件</w:t>
      </w:r>
      <w:r>
        <w:rPr>
          <w:spacing w:val="-2"/>
        </w:rPr>
        <w:t>国家人类学和历史研究所</w:t>
      </w:r>
      <w:r>
        <w:rPr>
          <w:rFonts w:hint="eastAsia"/>
          <w:spacing w:val="-2"/>
        </w:rPr>
        <w:t>最新发现的展品</w:t>
      </w:r>
      <w:r>
        <w:rPr>
          <w:rFonts w:hint="eastAsia"/>
        </w:rPr>
        <w:t>是首次展出。</w:t>
      </w:r>
    </w:p>
    <w:p w:rsidR="00000000" w:rsidRDefault="00457650">
      <w:pPr>
        <w:widowControl/>
        <w:tabs>
          <w:tab w:val="left" w:pos="630"/>
        </w:tabs>
        <w:spacing w:after="240" w:line="360" w:lineRule="exact"/>
        <w:rPr>
          <w:rFonts w:hint="eastAsia"/>
        </w:rPr>
      </w:pPr>
      <w:r>
        <w:t>814.</w:t>
      </w:r>
      <w:r>
        <w:tab/>
      </w:r>
      <w:r>
        <w:rPr>
          <w:rFonts w:hint="eastAsia"/>
        </w:rPr>
        <w:t>另外，在</w:t>
      </w:r>
      <w:r>
        <w:rPr>
          <w:rFonts w:hint="eastAsia"/>
        </w:rPr>
        <w:t>2000</w:t>
      </w:r>
      <w:r>
        <w:rPr>
          <w:rFonts w:hint="eastAsia"/>
        </w:rPr>
        <w:t>年</w:t>
      </w:r>
      <w:r>
        <w:rPr>
          <w:rFonts w:hint="eastAsia"/>
        </w:rPr>
        <w:t>8</w:t>
      </w:r>
      <w:r>
        <w:rPr>
          <w:rFonts w:hint="eastAsia"/>
        </w:rPr>
        <w:t>月</w:t>
      </w:r>
      <w:r>
        <w:rPr>
          <w:rFonts w:hint="eastAsia"/>
        </w:rPr>
        <w:t>29</w:t>
      </w:r>
      <w:r>
        <w:rPr>
          <w:rFonts w:hint="eastAsia"/>
        </w:rPr>
        <w:t>日，埃尔卡门博物馆开放了新的展厅，再现了</w:t>
      </w:r>
      <w:r>
        <w:rPr>
          <w:rFonts w:hint="eastAsia"/>
        </w:rPr>
        <w:t>17</w:t>
      </w:r>
      <w:r>
        <w:rPr>
          <w:rFonts w:hint="eastAsia"/>
        </w:rPr>
        <w:t>世纪新西班牙人的家庭日常生活；这些展厅的修复是在国家文化和艺术委员会的协助下实现</w:t>
      </w:r>
      <w:r>
        <w:rPr>
          <w:rFonts w:hint="eastAsia"/>
        </w:rPr>
        <w:t>的，并得到了</w:t>
      </w:r>
      <w:r>
        <w:t>国家人类学和历史研究所</w:t>
      </w:r>
      <w:r>
        <w:rPr>
          <w:rFonts w:hint="eastAsia"/>
        </w:rPr>
        <w:t>、墨西哥市政府、弗朗茨·迈尔博物馆和民间社会组织的帮助。此外，</w:t>
      </w:r>
      <w:r>
        <w:rPr>
          <w:rFonts w:hint="eastAsia"/>
        </w:rPr>
        <w:t>2002</w:t>
      </w:r>
      <w:r>
        <w:rPr>
          <w:rFonts w:hint="eastAsia"/>
        </w:rPr>
        <w:t>年</w:t>
      </w:r>
      <w:r>
        <w:rPr>
          <w:rFonts w:hint="eastAsia"/>
        </w:rPr>
        <w:t>6</w:t>
      </w:r>
      <w:r>
        <w:rPr>
          <w:rFonts w:hint="eastAsia"/>
        </w:rPr>
        <w:t>月举行了第四次帕伦克圆桌会议，研讨玛雅社会文化，这次活动也是为了纪念</w:t>
      </w:r>
      <w:r>
        <w:t>帕卡勒</w:t>
      </w:r>
      <w:r>
        <w:rPr>
          <w:rFonts w:hint="eastAsia"/>
        </w:rPr>
        <w:t>坟墓发现</w:t>
      </w:r>
      <w:r>
        <w:rPr>
          <w:rFonts w:hint="eastAsia"/>
        </w:rPr>
        <w:t>50</w:t>
      </w:r>
      <w:r>
        <w:rPr>
          <w:rFonts w:hint="eastAsia"/>
        </w:rPr>
        <w:t>周年。蒙特阿尔万第三次圆桌会议于</w:t>
      </w:r>
      <w:r>
        <w:rPr>
          <w:rFonts w:hint="eastAsia"/>
        </w:rPr>
        <w:t>2002</w:t>
      </w:r>
      <w:r>
        <w:rPr>
          <w:rFonts w:hint="eastAsia"/>
        </w:rPr>
        <w:t>年</w:t>
      </w:r>
      <w:r>
        <w:rPr>
          <w:rFonts w:hint="eastAsia"/>
        </w:rPr>
        <w:t>6</w:t>
      </w:r>
      <w:r>
        <w:rPr>
          <w:rFonts w:hint="eastAsia"/>
        </w:rPr>
        <w:t>月举行，会议议题是古代瓦哈卡的政治结构，会议为了解当时的社会行为模式提供了许多重要史料。</w:t>
      </w:r>
      <w:r>
        <w:rPr>
          <w:rFonts w:hint="eastAsia"/>
        </w:rPr>
        <w:t>2002</w:t>
      </w:r>
      <w:r>
        <w:rPr>
          <w:rFonts w:hint="eastAsia"/>
        </w:rPr>
        <w:t>年</w:t>
      </w:r>
      <w:r>
        <w:rPr>
          <w:rFonts w:hint="eastAsia"/>
        </w:rPr>
        <w:t>9</w:t>
      </w:r>
      <w:r>
        <w:rPr>
          <w:rFonts w:hint="eastAsia"/>
        </w:rPr>
        <w:t>月举行了特奥蒂瓦坎第三次圆桌会议，讨论建筑和城镇规划，会上提交了</w:t>
      </w:r>
      <w:r>
        <w:rPr>
          <w:rFonts w:hint="eastAsia"/>
        </w:rPr>
        <w:t>44</w:t>
      </w:r>
      <w:r>
        <w:rPr>
          <w:rFonts w:hint="eastAsia"/>
        </w:rPr>
        <w:t>篇论文。</w:t>
      </w:r>
    </w:p>
    <w:p w:rsidR="00000000" w:rsidRDefault="00457650">
      <w:pPr>
        <w:widowControl/>
        <w:tabs>
          <w:tab w:val="left" w:pos="630"/>
        </w:tabs>
        <w:spacing w:after="240" w:line="360" w:lineRule="exact"/>
        <w:rPr>
          <w:rFonts w:hint="eastAsia"/>
        </w:rPr>
      </w:pPr>
      <w:r>
        <w:t>815.</w:t>
      </w:r>
      <w:r>
        <w:tab/>
      </w:r>
      <w:r>
        <w:rPr>
          <w:rFonts w:hint="eastAsia"/>
        </w:rPr>
        <w:t>就可移动艺术遗产的保存和保护，国家人类学和历史研究所设有一个重要的专业保存中心，其编目</w:t>
      </w:r>
      <w:r>
        <w:rPr>
          <w:rFonts w:hint="eastAsia"/>
        </w:rPr>
        <w:t>和保存工作对于墨西哥的文化历史至关重要。另外，建筑局负责保护和传播不可移动艺术遗产的信息。</w:t>
      </w:r>
    </w:p>
    <w:p w:rsidR="00000000" w:rsidRDefault="00457650">
      <w:pPr>
        <w:widowControl/>
        <w:tabs>
          <w:tab w:val="left" w:pos="630"/>
        </w:tabs>
        <w:spacing w:after="240" w:line="360" w:lineRule="exact"/>
        <w:rPr>
          <w:rFonts w:hint="eastAsia"/>
          <w:spacing w:val="-2"/>
        </w:rPr>
      </w:pPr>
      <w:r>
        <w:rPr>
          <w:spacing w:val="-2"/>
        </w:rPr>
        <w:t>816.</w:t>
      </w:r>
      <w:r>
        <w:rPr>
          <w:spacing w:val="-2"/>
        </w:rPr>
        <w:tab/>
      </w:r>
      <w:r>
        <w:rPr>
          <w:rFonts w:hint="eastAsia"/>
          <w:spacing w:val="-2"/>
        </w:rPr>
        <w:t>如大家注意到的，墨西哥签署了《国际保护无形文化遗产公约》并投票给予支持。为此，土著大众文化局在土著大众文化信息和文献中心为</w:t>
      </w:r>
      <w:r>
        <w:rPr>
          <w:rFonts w:hint="eastAsia"/>
          <w:spacing w:val="-2"/>
        </w:rPr>
        <w:t>160 000</w:t>
      </w:r>
      <w:r>
        <w:rPr>
          <w:rFonts w:hint="eastAsia"/>
          <w:spacing w:val="-2"/>
        </w:rPr>
        <w:t>件物品提供保护，并促使各州设立类似的信息中心。土著创作者支持项目支持和鼓励个人和集体以多种表现形式进行土著艺术创作。它传播土著艺术，以此在海内外为其提供新的舞台和目标人群，并加强有关提案的落实，通过艺术创作恢复和发展土著文化的审美观和世界观。为此，发表了一些作品，其中包括土</w:t>
      </w:r>
      <w:r>
        <w:rPr>
          <w:rFonts w:hint="eastAsia"/>
          <w:spacing w:val="-2"/>
        </w:rPr>
        <w:t>著语言文学</w:t>
      </w:r>
      <w:r>
        <w:rPr>
          <w:spacing w:val="-2"/>
        </w:rPr>
        <w:t>Nexahualcóyotl</w:t>
      </w:r>
      <w:r>
        <w:rPr>
          <w:rFonts w:hint="eastAsia"/>
          <w:spacing w:val="-2"/>
        </w:rPr>
        <w:t>奖作品集，这些作品集是在“阿马内斯”作品集：儿童和土著居民作品”之后发表的，其目的是在土著社区传播儿童用自己的语言创作的作品。这些出版物的发表得益于联邦和州各机构的通力合作以及致力于促进这类文化的土著个人和组织的帮助。</w:t>
      </w:r>
    </w:p>
    <w:p w:rsidR="00000000" w:rsidRDefault="00457650">
      <w:pPr>
        <w:widowControl/>
        <w:tabs>
          <w:tab w:val="left" w:pos="630"/>
        </w:tabs>
        <w:spacing w:after="240" w:line="360" w:lineRule="exact"/>
        <w:rPr>
          <w:rFonts w:hint="eastAsia"/>
        </w:rPr>
      </w:pPr>
      <w:r>
        <w:t>817.</w:t>
      </w:r>
      <w:r>
        <w:tab/>
      </w:r>
      <w:r>
        <w:rPr>
          <w:rFonts w:hint="eastAsia"/>
        </w:rPr>
        <w:t>国家文化和艺术基金还通过国际项目，在其他国家促进和传播墨西哥文化。这些项目如下：</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把墨西哥作品翻译成其他语言项目。</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交换艺术家项目。</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文化接触，墨西哥</w:t>
      </w:r>
      <w:r>
        <w:t>-</w:t>
      </w:r>
      <w:r>
        <w:rPr>
          <w:rFonts w:hint="eastAsia"/>
        </w:rPr>
        <w:t>美国文化信托基金。</w:t>
      </w:r>
    </w:p>
    <w:p w:rsidR="00000000" w:rsidRDefault="00457650">
      <w:pPr>
        <w:widowControl/>
        <w:tabs>
          <w:tab w:val="left" w:pos="630"/>
        </w:tabs>
        <w:spacing w:after="240" w:line="360" w:lineRule="exact"/>
        <w:rPr>
          <w:rFonts w:hint="eastAsia"/>
        </w:rPr>
      </w:pPr>
      <w:r>
        <w:t>818.</w:t>
      </w:r>
      <w:r>
        <w:tab/>
      </w:r>
      <w:r>
        <w:rPr>
          <w:rFonts w:hint="eastAsia"/>
        </w:rPr>
        <w:t>把墨西哥作品翻译成其他语言项目寻求外国出版社协助翻译出版墨西哥</w:t>
      </w:r>
      <w:r>
        <w:rPr>
          <w:rFonts w:hint="eastAsia"/>
        </w:rPr>
        <w:t>作家创作的高水平作品。可能的主题包括：墨西哥艺术、文化、文学、科学、哲学、社会科学和历史。在</w:t>
      </w:r>
      <w:r>
        <w:rPr>
          <w:rFonts w:hint="eastAsia"/>
        </w:rPr>
        <w:t>1999</w:t>
      </w:r>
      <w:r>
        <w:rPr>
          <w:rFonts w:hint="eastAsia"/>
        </w:rPr>
        <w:t>年至</w:t>
      </w:r>
      <w:r>
        <w:rPr>
          <w:rFonts w:hint="eastAsia"/>
        </w:rPr>
        <w:t>2003</w:t>
      </w:r>
      <w:r>
        <w:rPr>
          <w:rFonts w:hint="eastAsia"/>
        </w:rPr>
        <w:t>年间评估了</w:t>
      </w:r>
      <w:r>
        <w:rPr>
          <w:rFonts w:hint="eastAsia"/>
        </w:rPr>
        <w:t>60</w:t>
      </w:r>
      <w:r>
        <w:rPr>
          <w:rFonts w:hint="eastAsia"/>
        </w:rPr>
        <w:t>多部作品，为</w:t>
      </w:r>
      <w:r>
        <w:rPr>
          <w:rFonts w:hint="eastAsia"/>
        </w:rPr>
        <w:t>35</w:t>
      </w:r>
      <w:r>
        <w:rPr>
          <w:rFonts w:hint="eastAsia"/>
        </w:rPr>
        <w:t>部作品的翻译提供了资金。被选中的作者包括奥克塔维奥·帕斯、西尔维亚·莫利纳、豪尔赫·</w:t>
      </w:r>
      <w:r>
        <w:t xml:space="preserve"> </w:t>
      </w:r>
      <w:r>
        <w:rPr>
          <w:rFonts w:hint="eastAsia"/>
        </w:rPr>
        <w:t>伊乔古代戈伊蒂亚、胡安·比略罗和海梅·</w:t>
      </w:r>
      <w:r>
        <w:t xml:space="preserve"> </w:t>
      </w:r>
      <w:r>
        <w:rPr>
          <w:rFonts w:hint="eastAsia"/>
        </w:rPr>
        <w:t>萨宾等。他们的作品被翻译成多种语言，包括德语、英语、法语、阿拉伯语、日语和罗马尼亚语。</w:t>
      </w:r>
    </w:p>
    <w:p w:rsidR="00000000" w:rsidRDefault="00457650">
      <w:pPr>
        <w:widowControl/>
        <w:tabs>
          <w:tab w:val="left" w:pos="630"/>
        </w:tabs>
        <w:spacing w:after="240" w:line="360" w:lineRule="exact"/>
        <w:rPr>
          <w:rFonts w:hint="eastAsia"/>
        </w:rPr>
      </w:pPr>
      <w:r>
        <w:t>819.</w:t>
      </w:r>
      <w:r>
        <w:tab/>
      </w:r>
      <w:r>
        <w:rPr>
          <w:rFonts w:hint="eastAsia"/>
        </w:rPr>
        <w:t>交换艺术家项目由国家文化和艺术基金推出，寻求与各国，包括加拿大、哥伦比亚、法国、美国和委内瑞拉达成有关协议和备忘录。它的目的是为本国艺术家提供一个</w:t>
      </w:r>
      <w:r>
        <w:rPr>
          <w:rFonts w:hint="eastAsia"/>
        </w:rPr>
        <w:t>创作空间，使他们能在特定时间内在国外创作具体的作品。该项目有助于墨西哥艺术家与不同地区的同行艺术家进行接触，以此提高其作品质量。这些艺术领域包括视觉艺术、舞蹈、文学、音像媒体、音乐和戏剧。自</w:t>
      </w:r>
      <w:r>
        <w:rPr>
          <w:rFonts w:hint="eastAsia"/>
        </w:rPr>
        <w:t>1992</w:t>
      </w:r>
      <w:r>
        <w:rPr>
          <w:rFonts w:hint="eastAsia"/>
        </w:rPr>
        <w:t>年创立以来，该项目已向</w:t>
      </w:r>
      <w:r>
        <w:rPr>
          <w:rFonts w:hint="eastAsia"/>
        </w:rPr>
        <w:t>300</w:t>
      </w:r>
      <w:r>
        <w:rPr>
          <w:rFonts w:hint="eastAsia"/>
        </w:rPr>
        <w:t>多位艺术家提供了帮助，</w:t>
      </w:r>
      <w:r>
        <w:rPr>
          <w:rFonts w:hint="eastAsia"/>
        </w:rPr>
        <w:t>1998</w:t>
      </w:r>
      <w:r>
        <w:rPr>
          <w:rFonts w:hint="eastAsia"/>
        </w:rPr>
        <w:t>年至</w:t>
      </w:r>
      <w:r>
        <w:rPr>
          <w:rFonts w:hint="eastAsia"/>
        </w:rPr>
        <w:t>2003</w:t>
      </w:r>
      <w:r>
        <w:rPr>
          <w:rFonts w:hint="eastAsia"/>
        </w:rPr>
        <w:t>年期间有</w:t>
      </w:r>
      <w:r>
        <w:rPr>
          <w:rFonts w:hint="eastAsia"/>
        </w:rPr>
        <w:t>230</w:t>
      </w:r>
      <w:r>
        <w:rPr>
          <w:rFonts w:hint="eastAsia"/>
        </w:rPr>
        <w:t>人。</w:t>
      </w:r>
    </w:p>
    <w:p w:rsidR="00000000" w:rsidRDefault="00457650">
      <w:pPr>
        <w:widowControl/>
        <w:tabs>
          <w:tab w:val="left" w:pos="630"/>
        </w:tabs>
        <w:spacing w:after="240" w:line="360" w:lineRule="exact"/>
        <w:rPr>
          <w:rFonts w:hint="eastAsia"/>
        </w:rPr>
      </w:pPr>
      <w:r>
        <w:t>820.</w:t>
      </w:r>
      <w:r>
        <w:tab/>
      </w:r>
      <w:r>
        <w:rPr>
          <w:rFonts w:hint="eastAsia"/>
        </w:rPr>
        <w:t>在始终不渝地致力于促进国际合作的过程中，国家文化和艺术委员会通过国家文化和艺术基金建立了促进共同文化发展的机制。为了加强美国和墨西哥之间更深入的了解和更广泛的联系，国家文化和艺术基金和美国的类似机构密切合作，制定并</w:t>
      </w:r>
      <w:r>
        <w:rPr>
          <w:rFonts w:hint="eastAsia"/>
        </w:rPr>
        <w:t>实施了提高文化交流的项目。</w:t>
      </w:r>
    </w:p>
    <w:p w:rsidR="00000000" w:rsidRDefault="00457650">
      <w:pPr>
        <w:widowControl/>
        <w:tabs>
          <w:tab w:val="left" w:pos="630"/>
        </w:tabs>
        <w:spacing w:after="240" w:line="360" w:lineRule="exact"/>
        <w:rPr>
          <w:rFonts w:hint="eastAsia"/>
        </w:rPr>
      </w:pPr>
      <w:r>
        <w:t>821.</w:t>
      </w:r>
      <w:r>
        <w:tab/>
      </w:r>
      <w:r>
        <w:rPr>
          <w:rFonts w:hint="eastAsia"/>
        </w:rPr>
        <w:t>因此，</w:t>
      </w:r>
      <w:r>
        <w:rPr>
          <w:rFonts w:hint="eastAsia"/>
        </w:rPr>
        <w:t xml:space="preserve"> 1992</w:t>
      </w:r>
      <w:r>
        <w:rPr>
          <w:rFonts w:hint="eastAsia"/>
        </w:rPr>
        <w:t>年，在洛克菲勒基金会和邦科姆文化基金会的参与下，“墨西哥</w:t>
      </w:r>
      <w:r>
        <w:t>-</w:t>
      </w:r>
      <w:r>
        <w:rPr>
          <w:rFonts w:hint="eastAsia"/>
        </w:rPr>
        <w:t>美国文化信托基金”（目前的文化接触基金）正式设立；它的宗旨是加强两国间的艺术交流和文化合作，支持能反映美国</w:t>
      </w:r>
      <w:r>
        <w:rPr>
          <w:rFonts w:hint="eastAsia"/>
        </w:rPr>
        <w:t>-</w:t>
      </w:r>
      <w:r>
        <w:rPr>
          <w:rFonts w:hint="eastAsia"/>
        </w:rPr>
        <w:t>墨西哥两国艺术和文化多样性的共同优秀项目，促进两国艺术领域同类艺术研究人员、独立团体和类似文化机构建立紧密持久的联系。在</w:t>
      </w:r>
      <w:r>
        <w:rPr>
          <w:rFonts w:hint="eastAsia"/>
        </w:rPr>
        <w:t>1998</w:t>
      </w:r>
      <w:r>
        <w:rPr>
          <w:rFonts w:hint="eastAsia"/>
        </w:rPr>
        <w:t>年至</w:t>
      </w:r>
      <w:r>
        <w:rPr>
          <w:rFonts w:hint="eastAsia"/>
        </w:rPr>
        <w:t>2003</w:t>
      </w:r>
      <w:r>
        <w:rPr>
          <w:rFonts w:hint="eastAsia"/>
        </w:rPr>
        <w:t>年期间，该信托基金为</w:t>
      </w:r>
      <w:r>
        <w:rPr>
          <w:rFonts w:hint="eastAsia"/>
        </w:rPr>
        <w:t>275</w:t>
      </w:r>
      <w:r>
        <w:rPr>
          <w:rFonts w:hint="eastAsia"/>
        </w:rPr>
        <w:t>个集合了两国创作者和文化机构的两国共同项目提供了资助。这有助于更广泛客观地了解他们的生活文化并有助于加强两国的联系。</w:t>
      </w:r>
    </w:p>
    <w:p w:rsidR="00000000" w:rsidRDefault="00457650">
      <w:pPr>
        <w:widowControl/>
        <w:tabs>
          <w:tab w:val="left" w:pos="630"/>
        </w:tabs>
        <w:spacing w:after="240" w:line="360" w:lineRule="exact"/>
        <w:rPr>
          <w:rFonts w:hint="eastAsia"/>
        </w:rPr>
      </w:pPr>
      <w:r>
        <w:t>822.</w:t>
      </w:r>
      <w:r>
        <w:tab/>
      </w:r>
      <w:r>
        <w:rPr>
          <w:rFonts w:hint="eastAsia"/>
        </w:rPr>
        <w:t>国家文化和艺术基金还参与了其他影响和促进文化发展的倡议；这些项目包括：鼓励文学翻译和支持发表独立评论。前者旨在鼓励和促进文学翻译，以使墨西哥人民了解国外作者的作品。在出版局的合作下，它邀请出版社和翻译人员参加竞赛，争取八个把外国文学作品翻译成西班牙语的单项奖金，每个奖金数额是</w:t>
      </w:r>
      <w:r>
        <w:rPr>
          <w:rFonts w:hint="eastAsia"/>
        </w:rPr>
        <w:t>63 000</w:t>
      </w:r>
      <w:r>
        <w:rPr>
          <w:rFonts w:hint="eastAsia"/>
        </w:rPr>
        <w:t>墨西哥比索；这些奖金在四届政府中发放，以批准的工作进度为依据。从</w:t>
      </w:r>
      <w:r>
        <w:rPr>
          <w:rFonts w:hint="eastAsia"/>
        </w:rPr>
        <w:t>1998</w:t>
      </w:r>
      <w:r>
        <w:rPr>
          <w:rFonts w:hint="eastAsia"/>
        </w:rPr>
        <w:t>年到</w:t>
      </w:r>
      <w:r>
        <w:rPr>
          <w:rFonts w:hint="eastAsia"/>
        </w:rPr>
        <w:t>2003</w:t>
      </w:r>
      <w:r>
        <w:rPr>
          <w:rFonts w:hint="eastAsia"/>
        </w:rPr>
        <w:t>年，它为优秀的文学翻译发放了</w:t>
      </w:r>
      <w:r>
        <w:rPr>
          <w:rFonts w:hint="eastAsia"/>
        </w:rPr>
        <w:t>49</w:t>
      </w:r>
      <w:r>
        <w:rPr>
          <w:rFonts w:hint="eastAsia"/>
        </w:rPr>
        <w:t>笔奖金；翻译原作的语言包括保加利亚语、英语、法语、德语、意大利语、韩语、拉丁语、波兰语、俄语和瑞典语。</w:t>
      </w:r>
    </w:p>
    <w:p w:rsidR="00000000" w:rsidRDefault="00457650">
      <w:pPr>
        <w:widowControl/>
        <w:tabs>
          <w:tab w:val="left" w:pos="630"/>
        </w:tabs>
        <w:spacing w:after="240" w:line="360" w:lineRule="exact"/>
        <w:rPr>
          <w:rFonts w:hint="eastAsia"/>
        </w:rPr>
      </w:pPr>
      <w:r>
        <w:t>8</w:t>
      </w:r>
      <w:r>
        <w:t>23.</w:t>
      </w:r>
      <w:r>
        <w:tab/>
      </w:r>
      <w:r>
        <w:rPr>
          <w:rFonts w:hint="eastAsia"/>
        </w:rPr>
        <w:t>为了传播墨西哥的文学艺术，国家文化和艺术委员会通过国家文化和艺术基金协调开展了“</w:t>
      </w:r>
      <w:r>
        <w:t>Tierra Adentro</w:t>
      </w:r>
      <w:r>
        <w:rPr>
          <w:rFonts w:hint="eastAsia"/>
        </w:rPr>
        <w:t>”文化项目，国家人类学和历史研究所邀请独立评论出版社参加</w:t>
      </w:r>
      <w:r>
        <w:rPr>
          <w:rFonts w:hint="eastAsia"/>
        </w:rPr>
        <w:t>19</w:t>
      </w:r>
      <w:r>
        <w:rPr>
          <w:rFonts w:hint="eastAsia"/>
        </w:rPr>
        <w:t>项奖金之一的竞争。该项目旨在促使申请方注意在墨西哥发表的三类评论须符合以下要求</w:t>
      </w:r>
      <w:r>
        <w:rPr>
          <w:rFonts w:hint="eastAsia"/>
        </w:rPr>
        <w:t xml:space="preserve"> </w:t>
      </w:r>
      <w:r>
        <w:rPr>
          <w:rFonts w:hint="eastAsia"/>
        </w:rPr>
        <w:t>：</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在墨西哥各州发表的文学评论必须至少已发表过两期或者至少已存在了一年以上，其目标最好包括文学的推广和传播，特别是青年创作的作品。八份评论被选中，根据出版类型，它们可以每年获得</w:t>
      </w:r>
      <w:r>
        <w:rPr>
          <w:rFonts w:hint="eastAsia"/>
        </w:rPr>
        <w:t>71 000</w:t>
      </w:r>
      <w:r>
        <w:rPr>
          <w:rFonts w:hint="eastAsia"/>
        </w:rPr>
        <w:t>比索奖金。</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在联邦区至少发表过两期文学评论，其目标包括推广和传播墨西</w:t>
      </w:r>
      <w:r>
        <w:rPr>
          <w:rFonts w:hint="eastAsia"/>
        </w:rPr>
        <w:t>哥文学。六份评论被选中，根据出版类型，它们可以每年获得</w:t>
      </w:r>
      <w:r>
        <w:rPr>
          <w:rFonts w:hint="eastAsia"/>
        </w:rPr>
        <w:t>71 000</w:t>
      </w:r>
      <w:r>
        <w:rPr>
          <w:rFonts w:hint="eastAsia"/>
        </w:rPr>
        <w:t>比索奖金。</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在联邦区或各州发表的艺术评论，至少发表过三期，并且至少已存在了一年以上，其目标应包括促进墨西哥艺术的传播，以专业或跨学科内容为重点（建筑、视觉艺术、舞蹈、文学、音像媒体、音乐和戏剧）。有五份评论被选中，根据出版类型，它们可以每年获得</w:t>
      </w:r>
      <w:r>
        <w:rPr>
          <w:rFonts w:hint="eastAsia"/>
        </w:rPr>
        <w:t>114 000</w:t>
      </w:r>
      <w:r>
        <w:rPr>
          <w:rFonts w:hint="eastAsia"/>
        </w:rPr>
        <w:t>比索奖金。</w:t>
      </w:r>
    </w:p>
    <w:p w:rsidR="00000000" w:rsidRDefault="00457650">
      <w:pPr>
        <w:widowControl/>
        <w:tabs>
          <w:tab w:val="left" w:pos="630"/>
        </w:tabs>
        <w:spacing w:after="240" w:line="360" w:lineRule="exact"/>
        <w:rPr>
          <w:rFonts w:hint="eastAsia"/>
        </w:rPr>
      </w:pPr>
      <w:r>
        <w:t>824.</w:t>
      </w:r>
      <w:r>
        <w:tab/>
      </w:r>
      <w:r>
        <w:rPr>
          <w:rFonts w:hint="eastAsia"/>
        </w:rPr>
        <w:t>1998</w:t>
      </w:r>
      <w:r>
        <w:rPr>
          <w:rFonts w:hint="eastAsia"/>
        </w:rPr>
        <w:t>年至</w:t>
      </w:r>
      <w:r>
        <w:rPr>
          <w:rFonts w:hint="eastAsia"/>
        </w:rPr>
        <w:t>2003</w:t>
      </w:r>
      <w:r>
        <w:rPr>
          <w:rFonts w:hint="eastAsia"/>
        </w:rPr>
        <w:t>年期间，墨西哥各州和联邦区共有</w:t>
      </w:r>
      <w:r>
        <w:rPr>
          <w:rFonts w:hint="eastAsia"/>
        </w:rPr>
        <w:t>65</w:t>
      </w:r>
      <w:r>
        <w:rPr>
          <w:rFonts w:hint="eastAsia"/>
        </w:rPr>
        <w:t>份评论荣获了此奖金。</w:t>
      </w:r>
    </w:p>
    <w:p w:rsidR="00000000" w:rsidRDefault="00457650">
      <w:pPr>
        <w:widowControl/>
        <w:tabs>
          <w:tab w:val="left" w:pos="630"/>
        </w:tabs>
        <w:spacing w:after="240" w:line="360" w:lineRule="exact"/>
        <w:rPr>
          <w:rFonts w:hint="eastAsia"/>
        </w:rPr>
      </w:pPr>
      <w:r>
        <w:t>825.</w:t>
      </w:r>
      <w:r>
        <w:tab/>
      </w:r>
      <w:r>
        <w:rPr>
          <w:rFonts w:hint="eastAsia"/>
        </w:rPr>
        <w:t>墨西哥电影摄影协会的主要活动包括促进电影摄影文化在国内外的传播；为此，它协助组织</w:t>
      </w:r>
      <w:r>
        <w:rPr>
          <w:rFonts w:hint="eastAsia"/>
        </w:rPr>
        <w:t>了各种电影摄影方面的文化活动，让其更加贴近大众。</w:t>
      </w:r>
    </w:p>
    <w:p w:rsidR="00000000" w:rsidRDefault="00457650">
      <w:pPr>
        <w:pStyle w:val="Date"/>
        <w:widowControl/>
        <w:tabs>
          <w:tab w:val="left" w:pos="630"/>
        </w:tabs>
        <w:spacing w:after="240" w:line="360" w:lineRule="exact"/>
        <w:rPr>
          <w:rFonts w:eastAsia="SimHei" w:hint="eastAsia"/>
        </w:rPr>
      </w:pPr>
      <w:r>
        <w:rPr>
          <w:rFonts w:eastAsia="SimHei" w:hint="eastAsia"/>
        </w:rPr>
        <w:t>正面效果和困难</w:t>
      </w:r>
    </w:p>
    <w:p w:rsidR="00000000" w:rsidRDefault="00457650">
      <w:pPr>
        <w:widowControl/>
        <w:tabs>
          <w:tab w:val="left" w:pos="630"/>
        </w:tabs>
        <w:spacing w:after="240" w:line="360" w:lineRule="exact"/>
        <w:rPr>
          <w:rFonts w:hint="eastAsia"/>
        </w:rPr>
      </w:pPr>
      <w:r>
        <w:t>826.</w:t>
      </w:r>
      <w:r>
        <w:tab/>
      </w:r>
      <w:r>
        <w:rPr>
          <w:rFonts w:hint="eastAsia"/>
        </w:rPr>
        <w:t>近年来，注重墨西哥多文化主义的政府文化项目不断增加，其中特别重视土著乡村和社区的文化表达。</w:t>
      </w:r>
      <w:r>
        <w:t>Nezahualcóyotl</w:t>
      </w:r>
      <w:r>
        <w:rPr>
          <w:rFonts w:hint="eastAsia"/>
        </w:rPr>
        <w:t>土著语言文学奖，每年的世界土著人民日的纪念活动，创造性土著妇女的年度会议，土著妇女文学选集的出版以及许多土著主题的研究项目，这些活动的参与范围不断增加证明了这一点。</w:t>
      </w:r>
    </w:p>
    <w:p w:rsidR="00000000" w:rsidRDefault="00457650">
      <w:pPr>
        <w:widowControl/>
        <w:tabs>
          <w:tab w:val="left" w:pos="630"/>
        </w:tabs>
        <w:spacing w:after="240" w:line="360" w:lineRule="exact"/>
        <w:rPr>
          <w:rFonts w:hint="eastAsia"/>
        </w:rPr>
      </w:pPr>
      <w:r>
        <w:t>827.</w:t>
      </w:r>
      <w:r>
        <w:tab/>
      </w:r>
      <w:r>
        <w:rPr>
          <w:rFonts w:hint="eastAsia"/>
        </w:rPr>
        <w:t>最明显的正面效果是制定了土著人文化保护法，设立了新机构，加强了代表他们利益的现有机构。更重要的是，</w:t>
      </w:r>
      <w:r>
        <w:rPr>
          <w:rFonts w:hint="eastAsia"/>
        </w:rPr>
        <w:t>2001</w:t>
      </w:r>
      <w:r>
        <w:rPr>
          <w:rFonts w:hint="eastAsia"/>
        </w:rPr>
        <w:t>年修改了《宪法》第</w:t>
      </w:r>
      <w:r>
        <w:rPr>
          <w:rFonts w:hint="eastAsia"/>
        </w:rPr>
        <w:t>2</w:t>
      </w:r>
      <w:r>
        <w:rPr>
          <w:rFonts w:hint="eastAsia"/>
        </w:rPr>
        <w:t>条，承认并保护土</w:t>
      </w:r>
      <w:r>
        <w:rPr>
          <w:rFonts w:hint="eastAsia"/>
        </w:rPr>
        <w:t>著社区的权利，保护并丰富他们的语言、知识及其文化特性的各个方面。</w:t>
      </w:r>
      <w:r>
        <w:rPr>
          <w:rFonts w:hint="eastAsia"/>
        </w:rPr>
        <w:t>2003</w:t>
      </w:r>
      <w:r>
        <w:rPr>
          <w:rFonts w:hint="eastAsia"/>
        </w:rPr>
        <w:t>年，设立国家土著人民发展委员会的法案获得通过，大众文化局改名为大众和土著文化局。</w:t>
      </w:r>
    </w:p>
    <w:p w:rsidR="00000000" w:rsidRDefault="00457650">
      <w:pPr>
        <w:widowControl/>
        <w:tabs>
          <w:tab w:val="left" w:pos="630"/>
        </w:tabs>
        <w:spacing w:after="240" w:line="360" w:lineRule="exact"/>
        <w:rPr>
          <w:rFonts w:hint="eastAsia"/>
        </w:rPr>
      </w:pPr>
      <w:r>
        <w:t>828.</w:t>
      </w:r>
      <w:r>
        <w:tab/>
      </w:r>
      <w:r>
        <w:rPr>
          <w:rFonts w:hint="eastAsia"/>
        </w:rPr>
        <w:t>如上所述，在这方面，文化联系和公民参与局开展了一个特别项目，以满足不同残疾人群以及住院、入狱、身处社会康复中心和收容所等处境不利人群的需要。</w:t>
      </w:r>
    </w:p>
    <w:p w:rsidR="00000000" w:rsidRDefault="00457650">
      <w:pPr>
        <w:widowControl/>
        <w:tabs>
          <w:tab w:val="left" w:pos="630"/>
        </w:tabs>
        <w:spacing w:after="240" w:line="360" w:lineRule="exact"/>
        <w:rPr>
          <w:rFonts w:hint="eastAsia"/>
        </w:rPr>
      </w:pPr>
      <w:r>
        <w:t>829.</w:t>
      </w:r>
      <w:r>
        <w:tab/>
      </w:r>
      <w:r>
        <w:rPr>
          <w:rFonts w:hint="eastAsia"/>
        </w:rPr>
        <w:t>面临的困难是预算不足，无法为各个群体提供更多的参与选择机会，或让他们参与各种项目；另外的问题是，这类群体本身处于孤立状态，各种程序不完善，与该社会群体相关的机构之间缺乏协调。</w:t>
      </w:r>
    </w:p>
    <w:p w:rsidR="00000000" w:rsidRDefault="00457650">
      <w:pPr>
        <w:keepNext/>
        <w:widowControl/>
        <w:tabs>
          <w:tab w:val="left" w:pos="630"/>
        </w:tabs>
        <w:spacing w:after="240" w:line="360" w:lineRule="exact"/>
        <w:rPr>
          <w:rFonts w:ascii="SimHei" w:eastAsia="SimHei"/>
        </w:rPr>
      </w:pPr>
      <w:r>
        <w:rPr>
          <w:rFonts w:ascii="SimHei" w:eastAsia="SimHei" w:hint="eastAsia"/>
        </w:rPr>
        <w:t>第</w:t>
      </w:r>
      <w:r>
        <w:rPr>
          <w:rFonts w:ascii="SimHei" w:eastAsia="SimHei"/>
        </w:rPr>
        <w:t>67</w:t>
      </w:r>
      <w:r>
        <w:rPr>
          <w:rFonts w:ascii="SimHei" w:eastAsia="SimHei" w:hint="eastAsia"/>
        </w:rPr>
        <w:t>段</w:t>
      </w:r>
      <w:r>
        <w:rPr>
          <w:rFonts w:ascii="SimHei" w:eastAsia="SimHei"/>
        </w:rPr>
        <w:t>（</w:t>
      </w:r>
      <w:r>
        <w:rPr>
          <w:rFonts w:ascii="SimHei" w:eastAsia="SimHei"/>
        </w:rPr>
        <w:t>a</w:t>
      </w:r>
      <w:r>
        <w:rPr>
          <w:rFonts w:ascii="SimHei" w:eastAsia="SimHei"/>
        </w:rPr>
        <w:t>）</w:t>
      </w:r>
    </w:p>
    <w:p w:rsidR="00000000" w:rsidRDefault="00457650">
      <w:pPr>
        <w:keepNext/>
        <w:widowControl/>
        <w:tabs>
          <w:tab w:val="left" w:pos="630"/>
        </w:tabs>
        <w:spacing w:after="240" w:line="360" w:lineRule="exact"/>
        <w:rPr>
          <w:rFonts w:hint="eastAsia"/>
        </w:rPr>
      </w:pPr>
      <w:r>
        <w:t>83</w:t>
      </w:r>
      <w:r>
        <w:t>0.</w:t>
      </w:r>
      <w:r>
        <w:tab/>
      </w:r>
      <w:r>
        <w:rPr>
          <w:rFonts w:hint="eastAsia"/>
        </w:rPr>
        <w:t>2002</w:t>
      </w:r>
      <w:r>
        <w:rPr>
          <w:rFonts w:hint="eastAsia"/>
        </w:rPr>
        <w:t>年</w:t>
      </w:r>
      <w:r>
        <w:rPr>
          <w:rFonts w:hint="eastAsia"/>
        </w:rPr>
        <w:t>6</w:t>
      </w:r>
      <w:r>
        <w:rPr>
          <w:rFonts w:hint="eastAsia"/>
        </w:rPr>
        <w:t>月在《联邦政府公报》上发布的《科学技术法》提到了墨西哥人民有权分享科学技术进步所带来的利益。与此相关，第</w:t>
      </w:r>
      <w:r>
        <w:rPr>
          <w:rFonts w:hint="eastAsia"/>
        </w:rPr>
        <w:t>2</w:t>
      </w:r>
      <w:r>
        <w:rPr>
          <w:rFonts w:hint="eastAsia"/>
        </w:rPr>
        <w:t>条第</w:t>
      </w:r>
      <w:r>
        <w:rPr>
          <w:rFonts w:hint="eastAsia"/>
        </w:rPr>
        <w:t>1</w:t>
      </w:r>
      <w:r>
        <w:rPr>
          <w:rFonts w:hint="eastAsia"/>
        </w:rPr>
        <w:t>款和第</w:t>
      </w:r>
      <w:r>
        <w:rPr>
          <w:rFonts w:hint="eastAsia"/>
        </w:rPr>
        <w:t>2</w:t>
      </w:r>
      <w:r>
        <w:rPr>
          <w:rFonts w:hint="eastAsia"/>
        </w:rPr>
        <w:t>款对这一权利作了如下表述：</w:t>
      </w:r>
    </w:p>
    <w:p w:rsidR="00000000" w:rsidRDefault="00457650">
      <w:pPr>
        <w:widowControl/>
        <w:tabs>
          <w:tab w:val="left" w:pos="630"/>
        </w:tabs>
        <w:spacing w:after="240" w:line="360" w:lineRule="exact"/>
        <w:rPr>
          <w:rFonts w:hint="eastAsia"/>
        </w:rPr>
      </w:pPr>
      <w:r>
        <w:t>831.</w:t>
      </w:r>
      <w:r>
        <w:tab/>
      </w:r>
      <w:r>
        <w:rPr>
          <w:rFonts w:hint="eastAsia"/>
        </w:rPr>
        <w:t>作为支撑全国科学技术系统一体化的国家政策的基础，做出如下规定：</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加强科学技术能力和研究人员的培训，以便解决国家的基本问题，促进国家发展，提高人民各方面的福利。</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促进与提升教育质量和开拓前沿知识有关的基础科学技术创新的发展，使科学技术成为社会一般文化的基本组成部分。</w:t>
      </w:r>
    </w:p>
    <w:p w:rsidR="00000000" w:rsidRDefault="00457650">
      <w:pPr>
        <w:widowControl/>
        <w:tabs>
          <w:tab w:val="left" w:pos="630"/>
        </w:tabs>
        <w:spacing w:after="240" w:line="360" w:lineRule="exact"/>
        <w:rPr>
          <w:rFonts w:hint="eastAsia"/>
        </w:rPr>
      </w:pPr>
      <w:r>
        <w:t>832.</w:t>
      </w:r>
      <w:r>
        <w:tab/>
      </w:r>
      <w:r>
        <w:rPr>
          <w:rFonts w:hint="eastAsia"/>
        </w:rPr>
        <w:t>同时，国家科学技术委员会协调各种知识领域的</w:t>
      </w:r>
      <w:r>
        <w:rPr>
          <w:rFonts w:hint="eastAsia"/>
        </w:rPr>
        <w:t>27</w:t>
      </w:r>
      <w:r>
        <w:rPr>
          <w:rFonts w:hint="eastAsia"/>
        </w:rPr>
        <w:t>个研究中心，努</w:t>
      </w:r>
      <w:r>
        <w:rPr>
          <w:rFonts w:hint="eastAsia"/>
        </w:rPr>
        <w:t>力寻求解决墨西哥社会所面临的复杂问题。因此，其下属的研究中心网络遍及全国，以便确定与科学技术相关的地区和区域问题，努力寻找解决方案。通过该网络，已经开始尝试与高等教育机构、地方政府、私人动议和社会开展互动。</w:t>
      </w:r>
    </w:p>
    <w:p w:rsidR="00000000" w:rsidRDefault="00457650">
      <w:pPr>
        <w:widowControl/>
        <w:tabs>
          <w:tab w:val="left" w:pos="630"/>
        </w:tabs>
        <w:spacing w:after="240" w:line="360" w:lineRule="exact"/>
        <w:rPr>
          <w:rFonts w:ascii="SimHei" w:eastAsia="SimHei"/>
        </w:rPr>
      </w:pPr>
      <w:r>
        <w:rPr>
          <w:rFonts w:ascii="SimHei" w:eastAsia="SimHei" w:hint="eastAsia"/>
        </w:rPr>
        <w:t>第</w:t>
      </w:r>
      <w:r>
        <w:rPr>
          <w:rFonts w:ascii="SimHei" w:eastAsia="SimHei" w:hint="eastAsia"/>
        </w:rPr>
        <w:t>67</w:t>
      </w:r>
      <w:r>
        <w:rPr>
          <w:rFonts w:ascii="SimHei" w:eastAsia="SimHei" w:hint="eastAsia"/>
        </w:rPr>
        <w:t>段</w:t>
      </w:r>
      <w:r>
        <w:rPr>
          <w:rFonts w:ascii="SimHei" w:eastAsia="SimHei"/>
        </w:rPr>
        <w:t>（</w:t>
      </w:r>
      <w:r>
        <w:rPr>
          <w:rFonts w:ascii="SimHei" w:eastAsia="SimHei"/>
        </w:rPr>
        <w:t>b</w:t>
      </w:r>
      <w:r>
        <w:rPr>
          <w:rFonts w:ascii="SimHei" w:eastAsia="SimHei"/>
        </w:rPr>
        <w:t>）</w:t>
      </w:r>
    </w:p>
    <w:p w:rsidR="00000000" w:rsidRDefault="00457650">
      <w:pPr>
        <w:widowControl/>
        <w:tabs>
          <w:tab w:val="left" w:pos="630"/>
        </w:tabs>
        <w:spacing w:after="240" w:line="360" w:lineRule="exact"/>
        <w:rPr>
          <w:rFonts w:hint="eastAsia"/>
        </w:rPr>
      </w:pPr>
      <w:r>
        <w:t>833.</w:t>
      </w:r>
      <w:r>
        <w:tab/>
      </w:r>
      <w:r>
        <w:rPr>
          <w:rFonts w:hint="eastAsia"/>
        </w:rPr>
        <w:t>为了传播关于科学进步方面的信息，国家科学技术委员会制定了社会交流方案，</w:t>
      </w:r>
      <w:r>
        <w:t xml:space="preserve"> 2001-2006</w:t>
      </w:r>
      <w:r>
        <w:rPr>
          <w:rFonts w:hint="eastAsia"/>
        </w:rPr>
        <w:t>年特别科学技术方案规定了该方案的指导方针。方案的宗旨是通过各种行动来提高墨西哥社会的科学技术素养，关键一点是从战略上让社会认识到科学技术的重要性，它们直接影响到人民的生活质量以及生产力和竞</w:t>
      </w:r>
      <w:r>
        <w:rPr>
          <w:rFonts w:hint="eastAsia"/>
        </w:rPr>
        <w:t>争力。</w:t>
      </w:r>
    </w:p>
    <w:p w:rsidR="00000000" w:rsidRDefault="00457650">
      <w:pPr>
        <w:widowControl/>
        <w:tabs>
          <w:tab w:val="left" w:pos="630"/>
        </w:tabs>
        <w:spacing w:after="240" w:line="360" w:lineRule="exact"/>
        <w:rPr>
          <w:rFonts w:hint="eastAsia"/>
        </w:rPr>
      </w:pPr>
      <w:r>
        <w:t>834.</w:t>
      </w:r>
      <w:r>
        <w:tab/>
      </w:r>
      <w:r>
        <w:rPr>
          <w:rFonts w:hint="eastAsia"/>
        </w:rPr>
        <w:t>通过这种方式开展了各种活动，以使人们特别是青年人了解当今世界科学文化的重要性。其中包括以下行动：</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国家科学文化周。此项活动的宗旨是在接受各级教育的青少年中间，以及在父母、老师、研究人员、学者和企业家中间推广科学技术，强调它们是墨西哥经济、文化和社会发展的支柱。教育机构、科学协会、企业、研究中心、科学博物馆和政府也谋求实现此项目标。估计全国有</w:t>
      </w:r>
      <w:r>
        <w:rPr>
          <w:rFonts w:hint="eastAsia"/>
        </w:rPr>
        <w:t>11 000</w:t>
      </w:r>
      <w:r>
        <w:rPr>
          <w:rFonts w:hint="eastAsia"/>
        </w:rPr>
        <w:t>人参加了这一活动。</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“良知广播”是国家科学技术委员会开办的半小时广播节目，它谋求简单明了地传播与科学技术有关的论题，这类论题由墨西哥著名专家</w:t>
      </w:r>
      <w:r>
        <w:rPr>
          <w:rFonts w:hint="eastAsia"/>
        </w:rPr>
        <w:t>宣讲。</w:t>
      </w:r>
    </w:p>
    <w:p w:rsidR="00000000" w:rsidRDefault="00457650">
      <w:pPr>
        <w:widowControl/>
        <w:tabs>
          <w:tab w:val="left" w:pos="630"/>
        </w:tabs>
        <w:spacing w:after="240" w:line="360" w:lineRule="exact"/>
        <w:rPr>
          <w:rFonts w:hint="eastAsia"/>
        </w:rPr>
      </w:pPr>
      <w:r>
        <w:t>835.</w:t>
      </w:r>
      <w:r>
        <w:tab/>
      </w:r>
      <w:r>
        <w:rPr>
          <w:rFonts w:hint="eastAsia"/>
        </w:rPr>
        <w:t>其他组织还启动了以下活动：</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“校园科学”方案是一个学术方案，它于</w:t>
      </w:r>
      <w:r>
        <w:rPr>
          <w:rFonts w:hint="eastAsia"/>
        </w:rPr>
        <w:t>2002</w:t>
      </w:r>
      <w:r>
        <w:rPr>
          <w:rFonts w:hint="eastAsia"/>
        </w:rPr>
        <w:t>年由墨西哥科学院的一些科学家发起、协调和实施。它的目标是改变从事基础和中等教育的教师对数学和科学的看法，更新这方面的知识。</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该方案提供一个把科学家和教师联系起来的计划，以此提高初等和中等教育的科学和数学水平，不仅让他们准确清楚地了解应该教授的数学和科学概念，而且向他们展示根据教育原则应该开展的教学种类，以便让学生们通过具体的活动增加知识。</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“科学地图册”方案。</w:t>
      </w:r>
      <w:r>
        <w:rPr>
          <w:rFonts w:hint="eastAsia"/>
        </w:rPr>
        <w:t>2002</w:t>
      </w:r>
      <w:r>
        <w:rPr>
          <w:rFonts w:hint="eastAsia"/>
        </w:rPr>
        <w:t>年，墨西哥科学院着手建立一个数据库，可以通过墨西哥科</w:t>
      </w:r>
      <w:r>
        <w:rPr>
          <w:rFonts w:hint="eastAsia"/>
        </w:rPr>
        <w:t>学院的网站访问</w:t>
      </w:r>
      <w:r>
        <w:t>（</w:t>
      </w:r>
      <w:hyperlink r:id="rId168" w:history="1">
        <w:r>
          <w:t>http://w</w:t>
        </w:r>
        <w:r>
          <w:t>w</w:t>
        </w:r>
        <w:r>
          <w:t>w.amc.unam.mx</w:t>
        </w:r>
      </w:hyperlink>
      <w:r>
        <w:t>）</w:t>
      </w:r>
      <w:r>
        <w:rPr>
          <w:rFonts w:hint="eastAsia"/>
        </w:rPr>
        <w:t>，它的目的在于除其他数据外，还根据研究人员的地址、基础设施、研究领域、科学生涯和学生，来记录全国的科学活动。该网址将不断更新，五年内它将完全覆盖全国。</w:t>
      </w:r>
    </w:p>
    <w:p w:rsidR="00000000" w:rsidRDefault="00457650">
      <w:pPr>
        <w:widowControl/>
        <w:tabs>
          <w:tab w:val="left" w:pos="630"/>
        </w:tabs>
        <w:spacing w:after="240" w:line="360" w:lineRule="exact"/>
        <w:rPr>
          <w:rFonts w:ascii="SimHei" w:eastAsia="SimHei"/>
        </w:rPr>
      </w:pPr>
      <w:r>
        <w:rPr>
          <w:rFonts w:ascii="SimHei" w:eastAsia="SimHei" w:hint="eastAsia"/>
        </w:rPr>
        <w:t>第</w:t>
      </w:r>
      <w:r>
        <w:rPr>
          <w:rFonts w:ascii="SimHei" w:eastAsia="SimHei" w:hint="eastAsia"/>
        </w:rPr>
        <w:t>67</w:t>
      </w:r>
      <w:r>
        <w:rPr>
          <w:rFonts w:ascii="SimHei" w:eastAsia="SimHei" w:hint="eastAsia"/>
        </w:rPr>
        <w:t>段</w:t>
      </w:r>
      <w:r>
        <w:rPr>
          <w:rFonts w:ascii="SimHei" w:eastAsia="SimHei"/>
        </w:rPr>
        <w:t>（</w:t>
      </w:r>
      <w:r>
        <w:rPr>
          <w:rFonts w:ascii="SimHei" w:eastAsia="SimHei"/>
        </w:rPr>
        <w:t>c</w:t>
      </w:r>
      <w:r>
        <w:rPr>
          <w:rFonts w:ascii="SimHei" w:eastAsia="SimHei"/>
        </w:rPr>
        <w:t>）</w:t>
      </w:r>
    </w:p>
    <w:p w:rsidR="00000000" w:rsidRDefault="00457650">
      <w:pPr>
        <w:widowControl/>
        <w:tabs>
          <w:tab w:val="left" w:pos="630"/>
        </w:tabs>
        <w:spacing w:after="240" w:line="360" w:lineRule="exact"/>
        <w:rPr>
          <w:rFonts w:hint="eastAsia"/>
        </w:rPr>
      </w:pPr>
      <w:r>
        <w:t>836.</w:t>
      </w:r>
      <w:r>
        <w:tab/>
      </w:r>
      <w:r>
        <w:rPr>
          <w:rFonts w:hint="eastAsia"/>
        </w:rPr>
        <w:t>已经采取措施防止科学技术进步影响个人的尊严或基本权利，这些措施包括国会对几项基因药物条例的审查和通过，以及</w:t>
      </w:r>
      <w:r>
        <w:rPr>
          <w:rFonts w:hint="eastAsia"/>
        </w:rPr>
        <w:t>2004</w:t>
      </w:r>
      <w:r>
        <w:rPr>
          <w:rFonts w:hint="eastAsia"/>
        </w:rPr>
        <w:t>年</w:t>
      </w:r>
      <w:r>
        <w:rPr>
          <w:rFonts w:hint="eastAsia"/>
        </w:rPr>
        <w:t>4</w:t>
      </w:r>
      <w:r>
        <w:rPr>
          <w:rFonts w:hint="eastAsia"/>
        </w:rPr>
        <w:t>月</w:t>
      </w:r>
      <w:r>
        <w:rPr>
          <w:rFonts w:hint="eastAsia"/>
        </w:rPr>
        <w:t>30</w:t>
      </w:r>
      <w:r>
        <w:rPr>
          <w:rFonts w:hint="eastAsia"/>
        </w:rPr>
        <w:t>日批准成立的“国家基因药物研究所”，它将开展治疗性药物干细胞和胚胎研</w:t>
      </w:r>
      <w:r>
        <w:rPr>
          <w:rFonts w:hint="eastAsia"/>
        </w:rPr>
        <w:t>究，并严格遵守道德伦理原则。</w:t>
      </w:r>
    </w:p>
    <w:p w:rsidR="00000000" w:rsidRDefault="00457650">
      <w:pPr>
        <w:widowControl/>
        <w:tabs>
          <w:tab w:val="left" w:pos="630"/>
        </w:tabs>
        <w:spacing w:after="240" w:line="360" w:lineRule="exact"/>
        <w:rPr>
          <w:rFonts w:hint="eastAsia"/>
        </w:rPr>
      </w:pPr>
      <w:r>
        <w:t>837.</w:t>
      </w:r>
      <w:r>
        <w:tab/>
      </w:r>
      <w:r>
        <w:rPr>
          <w:rFonts w:hint="eastAsia"/>
        </w:rPr>
        <w:t>该立法机构还讨论了对克隆和遗传改良生物进行规范的规定；但是鉴于在此问题上意见不一并有可能涉及复杂的科学伦理问题，希望今后几个月能达成新的协议，以利于制定、包容性的现代法律，保护个人和整个社会的权利。</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hint="eastAsia"/>
        </w:rPr>
        <w:t>68</w:t>
      </w:r>
      <w:r>
        <w:rPr>
          <w:rFonts w:ascii="SimHei" w:eastAsia="SimHei" w:hint="eastAsia"/>
        </w:rPr>
        <w:t>段</w:t>
      </w:r>
    </w:p>
    <w:p w:rsidR="00000000" w:rsidRDefault="00457650">
      <w:pPr>
        <w:widowControl/>
        <w:tabs>
          <w:tab w:val="left" w:pos="630"/>
        </w:tabs>
        <w:spacing w:after="240" w:line="360" w:lineRule="exact"/>
        <w:rPr>
          <w:rFonts w:hint="eastAsia"/>
        </w:rPr>
      </w:pPr>
      <w:r>
        <w:t>838.</w:t>
      </w:r>
      <w:r>
        <w:tab/>
      </w:r>
      <w:r>
        <w:rPr>
          <w:rFonts w:hint="eastAsia"/>
        </w:rPr>
        <w:t>《联邦版权法》第</w:t>
      </w:r>
      <w:r>
        <w:rPr>
          <w:rFonts w:hint="eastAsia"/>
        </w:rPr>
        <w:t>11</w:t>
      </w:r>
      <w:r>
        <w:rPr>
          <w:rFonts w:hint="eastAsia"/>
        </w:rPr>
        <w:t>条规定，版权是国家对本法第</w:t>
      </w:r>
      <w:r>
        <w:rPr>
          <w:rFonts w:hint="eastAsia"/>
        </w:rPr>
        <w:t>13</w:t>
      </w:r>
      <w:r>
        <w:rPr>
          <w:rFonts w:hint="eastAsia"/>
        </w:rPr>
        <w:t>条所涉文学和艺术作品的任何作者的承认，它为作者行使特有的、排他性的和财产性的特权提供保护。前者是精神权利，后者是财产性权利。</w:t>
      </w:r>
    </w:p>
    <w:p w:rsidR="00000000" w:rsidRDefault="00457650">
      <w:pPr>
        <w:widowControl/>
        <w:tabs>
          <w:tab w:val="left" w:pos="630"/>
        </w:tabs>
        <w:spacing w:after="240" w:line="360" w:lineRule="exact"/>
        <w:rPr>
          <w:rFonts w:hint="eastAsia"/>
        </w:rPr>
      </w:pPr>
      <w:r>
        <w:t>839.</w:t>
      </w:r>
      <w:r>
        <w:tab/>
      </w:r>
      <w:r>
        <w:rPr>
          <w:rFonts w:hint="eastAsia"/>
        </w:rPr>
        <w:t>2003</w:t>
      </w:r>
      <w:r>
        <w:rPr>
          <w:rFonts w:hint="eastAsia"/>
        </w:rPr>
        <w:t>年</w:t>
      </w:r>
      <w:r>
        <w:rPr>
          <w:rFonts w:hint="eastAsia"/>
        </w:rPr>
        <w:t>7</w:t>
      </w:r>
      <w:r>
        <w:rPr>
          <w:rFonts w:hint="eastAsia"/>
        </w:rPr>
        <w:t>月</w:t>
      </w:r>
      <w:r>
        <w:rPr>
          <w:rFonts w:hint="eastAsia"/>
        </w:rPr>
        <w:t>23</w:t>
      </w:r>
      <w:r>
        <w:rPr>
          <w:rFonts w:hint="eastAsia"/>
        </w:rPr>
        <w:t>日修改了该法，给予文学艺术作品的作者比以前更为广</w:t>
      </w:r>
      <w:r>
        <w:rPr>
          <w:rFonts w:hint="eastAsia"/>
        </w:rPr>
        <w:t>泛的保护。它修改了作者财产权的时限，将其从生前到死后</w:t>
      </w:r>
      <w:r>
        <w:rPr>
          <w:rFonts w:hint="eastAsia"/>
        </w:rPr>
        <w:t>75</w:t>
      </w:r>
      <w:r>
        <w:rPr>
          <w:rFonts w:hint="eastAsia"/>
        </w:rPr>
        <w:t>年修改为到死后</w:t>
      </w:r>
      <w:r>
        <w:rPr>
          <w:rFonts w:hint="eastAsia"/>
        </w:rPr>
        <w:t>100</w:t>
      </w:r>
      <w:r>
        <w:rPr>
          <w:rFonts w:hint="eastAsia"/>
        </w:rPr>
        <w:t>年。</w:t>
      </w:r>
    </w:p>
    <w:p w:rsidR="00000000" w:rsidRDefault="00457650">
      <w:pPr>
        <w:widowControl/>
        <w:tabs>
          <w:tab w:val="left" w:pos="630"/>
        </w:tabs>
        <w:spacing w:after="240" w:line="360" w:lineRule="exact"/>
        <w:rPr>
          <w:rFonts w:hint="eastAsia"/>
        </w:rPr>
      </w:pPr>
      <w:r>
        <w:t>840.</w:t>
      </w:r>
      <w:r>
        <w:tab/>
      </w:r>
      <w:r>
        <w:rPr>
          <w:rFonts w:hint="eastAsia"/>
        </w:rPr>
        <w:t>至于文化保护，大众和土著文化局通过讲座和研讨会，在其各种工作方案范围内开展了对相关法律和指导机制的研究。同时，它还提供了如何取得版权证书的基础指导，主要针对创作者、作家和研究人员。</w:t>
      </w:r>
    </w:p>
    <w:p w:rsidR="00000000" w:rsidRDefault="00457650">
      <w:pPr>
        <w:widowControl/>
        <w:tabs>
          <w:tab w:val="left" w:pos="630"/>
        </w:tabs>
        <w:spacing w:after="240" w:line="360" w:lineRule="exact"/>
        <w:rPr>
          <w:rFonts w:hint="eastAsia"/>
        </w:rPr>
      </w:pPr>
      <w:r>
        <w:t>841.</w:t>
      </w:r>
      <w:r>
        <w:tab/>
      </w:r>
      <w:r>
        <w:rPr>
          <w:rFonts w:hint="eastAsia"/>
        </w:rPr>
        <w:t>“版权，未来的战略资产”研讨会值得注意。它于</w:t>
      </w:r>
      <w:r>
        <w:rPr>
          <w:rFonts w:hint="eastAsia"/>
        </w:rPr>
        <w:t>2003</w:t>
      </w:r>
      <w:r>
        <w:rPr>
          <w:rFonts w:hint="eastAsia"/>
        </w:rPr>
        <w:t>年在国家人类学博物馆举行，有国际知识产权组织参加。</w:t>
      </w:r>
    </w:p>
    <w:p w:rsidR="00000000" w:rsidRDefault="00457650">
      <w:pPr>
        <w:widowControl/>
        <w:tabs>
          <w:tab w:val="left" w:pos="630"/>
        </w:tabs>
        <w:spacing w:after="240" w:line="360" w:lineRule="exact"/>
        <w:rPr>
          <w:rFonts w:hint="eastAsia"/>
        </w:rPr>
      </w:pPr>
      <w:r>
        <w:t>842.</w:t>
      </w:r>
      <w:r>
        <w:tab/>
      </w:r>
      <w:r>
        <w:rPr>
          <w:rFonts w:hint="eastAsia"/>
        </w:rPr>
        <w:t>土著文化领域的主要问题是，从权利的角度讲，通常缺少实施具体方案的资源包括现行法律方面的信息和权利保护指导计划。例如</w:t>
      </w:r>
      <w:r>
        <w:rPr>
          <w:rFonts w:hint="eastAsia"/>
        </w:rPr>
        <w:t>，在艺术和工艺创作领域，现在有许多设计被剽窃牟利，有这种行为的主要是中国企业。</w:t>
      </w:r>
    </w:p>
    <w:p w:rsidR="00000000" w:rsidRDefault="00457650">
      <w:pPr>
        <w:widowControl/>
        <w:tabs>
          <w:tab w:val="left" w:pos="630"/>
        </w:tabs>
        <w:spacing w:after="240" w:line="360" w:lineRule="exact"/>
        <w:rPr>
          <w:rFonts w:hint="eastAsia"/>
        </w:rPr>
      </w:pPr>
      <w:r>
        <w:t>843.</w:t>
      </w:r>
      <w:r>
        <w:tab/>
      </w:r>
      <w:r>
        <w:rPr>
          <w:rFonts w:hint="eastAsia"/>
        </w:rPr>
        <w:t>为了对科学工作所产生的人格和物质权益实行保护，墨西哥制定了复杂的制度框架，通过墨西哥工业产权局，在科学技术进步的基础上促进对知识产权的保护。</w:t>
      </w:r>
    </w:p>
    <w:p w:rsidR="00000000" w:rsidRDefault="00457650">
      <w:pPr>
        <w:widowControl/>
        <w:tabs>
          <w:tab w:val="left" w:pos="630"/>
        </w:tabs>
        <w:spacing w:after="240" w:line="360" w:lineRule="exact"/>
        <w:rPr>
          <w:rFonts w:hint="eastAsia"/>
        </w:rPr>
      </w:pPr>
      <w:r>
        <w:t>844.</w:t>
      </w:r>
      <w:r>
        <w:tab/>
      </w:r>
      <w:r>
        <w:rPr>
          <w:rFonts w:hint="eastAsia"/>
        </w:rPr>
        <w:t>墨西哥工业产权局是联邦政府的一个分散机构，通过授予专利、注册商标和其他法律手段，从法律上保护工业产权，处理贸易侵权，加强和宣传该系统，并向个人提供指导和建议，以便促进国家的技术、商业和工业发展。因此，该局是负责检查遵守《工业产权法》及其他国家和国际规范的机构。</w:t>
      </w:r>
    </w:p>
    <w:p w:rsidR="00000000" w:rsidRDefault="00457650">
      <w:pPr>
        <w:widowControl/>
        <w:tabs>
          <w:tab w:val="left" w:pos="630"/>
        </w:tabs>
        <w:spacing w:after="240" w:line="360" w:lineRule="exact"/>
        <w:rPr>
          <w:rFonts w:ascii="SimHei" w:eastAsia="SimHei"/>
        </w:rPr>
      </w:pPr>
      <w:r>
        <w:rPr>
          <w:rFonts w:ascii="SimHei" w:eastAsia="SimHei" w:hint="eastAsia"/>
        </w:rPr>
        <w:t>第</w:t>
      </w:r>
      <w:r>
        <w:rPr>
          <w:rFonts w:ascii="SimHei" w:eastAsia="SimHei" w:hint="eastAsia"/>
        </w:rPr>
        <w:t>69</w:t>
      </w:r>
      <w:r>
        <w:rPr>
          <w:rFonts w:ascii="SimHei" w:eastAsia="SimHei" w:hint="eastAsia"/>
        </w:rPr>
        <w:t>段</w:t>
      </w:r>
      <w:r>
        <w:rPr>
          <w:rFonts w:ascii="SimHei" w:eastAsia="SimHei"/>
        </w:rPr>
        <w:t>（</w:t>
      </w:r>
      <w:r>
        <w:rPr>
          <w:rFonts w:ascii="SimHei" w:eastAsia="SimHei"/>
        </w:rPr>
        <w:t>a</w:t>
      </w:r>
      <w:r>
        <w:rPr>
          <w:rFonts w:ascii="SimHei" w:eastAsia="SimHei"/>
        </w:rPr>
        <w:t>）</w:t>
      </w:r>
    </w:p>
    <w:p w:rsidR="00000000" w:rsidRDefault="00457650">
      <w:pPr>
        <w:widowControl/>
        <w:tabs>
          <w:tab w:val="left" w:pos="630"/>
        </w:tabs>
        <w:spacing w:after="240" w:line="360" w:lineRule="exact"/>
        <w:rPr>
          <w:rFonts w:hint="eastAsia"/>
        </w:rPr>
      </w:pPr>
      <w:r>
        <w:t>845.</w:t>
      </w:r>
      <w:r>
        <w:tab/>
      </w:r>
      <w:r>
        <w:rPr>
          <w:rFonts w:hint="eastAsia"/>
        </w:rPr>
        <w:t>虽然没有宪法修正案，但是《联邦政府公报》上发布的公开裁决代表了现有文化遗产保护的最高法律文书，它也是州政府和市政府进行规划和制定发展政策的有利工具。现有</w:t>
      </w:r>
      <w:r>
        <w:rPr>
          <w:rFonts w:hint="eastAsia"/>
        </w:rPr>
        <w:t>15</w:t>
      </w:r>
      <w:r>
        <w:rPr>
          <w:rFonts w:hint="eastAsia"/>
        </w:rPr>
        <w:t>项针对历史遗迹的此类裁决，</w:t>
      </w:r>
      <w:r>
        <w:rPr>
          <w:rFonts w:hint="eastAsia"/>
        </w:rPr>
        <w:t>27</w:t>
      </w:r>
      <w:r>
        <w:rPr>
          <w:rFonts w:hint="eastAsia"/>
        </w:rPr>
        <w:t>个针对考古遗址的判决。</w:t>
      </w:r>
    </w:p>
    <w:p w:rsidR="00000000" w:rsidRDefault="00457650">
      <w:pPr>
        <w:widowControl/>
        <w:tabs>
          <w:tab w:val="left" w:pos="630"/>
        </w:tabs>
        <w:spacing w:after="240" w:line="360" w:lineRule="exact"/>
        <w:rPr>
          <w:rFonts w:hint="eastAsia"/>
        </w:rPr>
      </w:pPr>
      <w:r>
        <w:t>846.</w:t>
      </w:r>
      <w:r>
        <w:tab/>
      </w:r>
      <w:r>
        <w:rPr>
          <w:rFonts w:hint="eastAsia"/>
        </w:rPr>
        <w:t>另外，作为“</w:t>
      </w:r>
      <w:r>
        <w:rPr>
          <w:rFonts w:hint="eastAsia"/>
        </w:rPr>
        <w:t>2001</w:t>
      </w:r>
      <w:r>
        <w:t>-</w:t>
      </w:r>
      <w:r>
        <w:rPr>
          <w:rFonts w:hint="eastAsia"/>
        </w:rPr>
        <w:t>2006</w:t>
      </w:r>
      <w:r>
        <w:rPr>
          <w:rFonts w:hint="eastAsia"/>
        </w:rPr>
        <w:t>年国家文化计划”的组成部分，国家文化和艺术委员会通过出版局开展了名为“创建阅读型国家”的方案，其主要目标如下：</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让阅读和书籍成为大众整体教育、获得更多文化机会和形成评判意识不可缺少的组成部分。</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同其他公共机构和民间社会组织联合制定和实施培训读者</w:t>
      </w:r>
      <w:r>
        <w:rPr>
          <w:rFonts w:hint="eastAsia"/>
        </w:rPr>
        <w:t>的计划和战略。</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在国内外宣传墨西哥当代作家。</w:t>
      </w:r>
    </w:p>
    <w:p w:rsidR="00000000" w:rsidRDefault="00457650">
      <w:pPr>
        <w:widowControl/>
        <w:tabs>
          <w:tab w:val="left" w:pos="630"/>
        </w:tabs>
        <w:spacing w:after="240" w:line="360" w:lineRule="exact"/>
        <w:rPr>
          <w:rFonts w:hint="eastAsia"/>
        </w:rPr>
      </w:pPr>
      <w:r>
        <w:t>847.</w:t>
      </w:r>
      <w:r>
        <w:tab/>
      </w:r>
      <w:r>
        <w:rPr>
          <w:rFonts w:hint="eastAsia"/>
        </w:rPr>
        <w:t>为此，该方案制定了以下战略：</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在广播和电视“点播节目”中朗读可能吸引公众注意力的文章。</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在广播和电视“点播节目”中号召大众利用图书、图书馆和书店。</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同大中小型私营公司联合出版关于各种艺术文化主题的流传更广，价格更低的新图书，针对不同年龄群的读者，特别是儿童和青年。</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建立融入全国网络的高水平国家培训小组，在国家阅览室方案的支持下开展活动，以便增加固定阅览室的数量，并使阅览室的开办和藏书符合地方需要。</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与大学联络部合作，在高等教育机构设立阅览室，并与文化联</w:t>
      </w:r>
      <w:r>
        <w:rPr>
          <w:rFonts w:hint="eastAsia"/>
        </w:rPr>
        <w:t>系和公民参与局合作，为具有特殊需要的人群提供服务，例如托儿所和孤儿院里的儿童，家中的老人，犯人，医院的病人等。</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同外交部和地方居民组织合作，为墨西哥社区和海外的墨西哥人设立更多的阅览室。</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增加用于推广阅读的国家基金，作为资助培训课程和采购阅览室图书的机制。</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评估本国举行的图书展成果，以便加以改进并扩大和加强公共服务。</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在全国范围发起新的广告宣传活动，鼓励年轻作家并传播他们的作品。</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参与出版录音图书和光盘。</w:t>
      </w:r>
    </w:p>
    <w:p w:rsidR="00000000" w:rsidRDefault="00457650">
      <w:pPr>
        <w:widowControl/>
        <w:tabs>
          <w:tab w:val="left" w:pos="630"/>
        </w:tabs>
        <w:spacing w:after="240" w:line="360" w:lineRule="exact"/>
        <w:rPr>
          <w:rFonts w:hint="eastAsia"/>
        </w:rPr>
      </w:pPr>
      <w:r>
        <w:t>848.</w:t>
      </w:r>
      <w:r>
        <w:tab/>
      </w:r>
      <w:r>
        <w:rPr>
          <w:rFonts w:hint="eastAsia"/>
        </w:rPr>
        <w:t>根据保护、发展和传播科学的措施，更新了有关法律并制定了各种文件，以促进墨西哥的科学技术活动。</w:t>
      </w:r>
    </w:p>
    <w:p w:rsidR="00000000" w:rsidRDefault="00457650">
      <w:pPr>
        <w:widowControl/>
        <w:tabs>
          <w:tab w:val="left" w:pos="630"/>
        </w:tabs>
        <w:spacing w:after="240" w:line="360" w:lineRule="exact"/>
        <w:rPr>
          <w:rFonts w:hint="eastAsia"/>
        </w:rPr>
      </w:pPr>
      <w:r>
        <w:t>849.</w:t>
      </w:r>
      <w:r>
        <w:tab/>
      </w:r>
      <w:r>
        <w:rPr>
          <w:rFonts w:hint="eastAsia"/>
        </w:rPr>
        <w:t>2002</w:t>
      </w:r>
      <w:r>
        <w:rPr>
          <w:rFonts w:hint="eastAsia"/>
        </w:rPr>
        <w:t>年《科学技术法》获得一致批准，该法目前正在实施中。它规定了促进墨西哥科学技术活动发展的新机制。</w:t>
      </w:r>
    </w:p>
    <w:p w:rsidR="00000000" w:rsidRDefault="00457650">
      <w:pPr>
        <w:widowControl/>
        <w:tabs>
          <w:tab w:val="left" w:pos="630"/>
        </w:tabs>
        <w:spacing w:after="240" w:line="360" w:lineRule="exact"/>
        <w:rPr>
          <w:rFonts w:hint="eastAsia"/>
        </w:rPr>
      </w:pPr>
      <w:r>
        <w:t>850.</w:t>
      </w:r>
      <w:r>
        <w:tab/>
      </w:r>
      <w:r>
        <w:rPr>
          <w:rFonts w:hint="eastAsia"/>
        </w:rPr>
        <w:t>该法规定政府必须颁发补助金，以鼓励、加强和发展国家整体科学技术研究。《科学技术法》的目标是：</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规范联邦政府为鼓励、加强和发展国家整体科学技术研究所颁发的补助金。</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确定政府用来履行其职责扶持科学技术研究的手段。</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建立活动协调机制，与联邦公共管理机构各部门和单位以及其他帮助制定科学技术发展政策计划的机构或开展此类活动的机构进行协调。</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建立有关机构和机制，以便与联邦各州政府进行协调，便利高</w:t>
      </w:r>
      <w:r>
        <w:rPr>
          <w:rFonts w:hint="eastAsia"/>
        </w:rPr>
        <w:t>等教育机构科学和学术团体的联系和参加，促进制定推广、发展和应用科学技术政策的公共、社会和私人部门的联系和参加，以及培训科学技术专业人才。</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把科学技术研究与教育联系起来。</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大力并加强高等教育机构研究团体从事科学技术研究的能力，使其研究成果符合具体规章规定的原则、计划、方案和内部规则。</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确定基本标准，用于确认作为公共研究中心的半国营机构所从事的科学技术研究。</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规范这些中心自有资源的使用以及第三方为资助技术研究发展所提供的资源的使用。</w:t>
      </w:r>
    </w:p>
    <w:p w:rsidR="00000000" w:rsidRDefault="00457650">
      <w:pPr>
        <w:widowControl/>
        <w:tabs>
          <w:tab w:val="left" w:pos="630"/>
        </w:tabs>
        <w:spacing w:after="240" w:line="360" w:lineRule="exact"/>
        <w:rPr>
          <w:rFonts w:hint="eastAsia"/>
        </w:rPr>
      </w:pPr>
      <w:r>
        <w:t>851.</w:t>
      </w:r>
      <w:r>
        <w:tab/>
      </w:r>
      <w:r>
        <w:rPr>
          <w:rFonts w:hint="eastAsia"/>
        </w:rPr>
        <w:t>2004</w:t>
      </w:r>
      <w:r>
        <w:rPr>
          <w:rFonts w:hint="eastAsia"/>
        </w:rPr>
        <w:t>年</w:t>
      </w:r>
      <w:r>
        <w:rPr>
          <w:rFonts w:hint="eastAsia"/>
        </w:rPr>
        <w:t>4</w:t>
      </w:r>
      <w:r>
        <w:rPr>
          <w:rFonts w:hint="eastAsia"/>
        </w:rPr>
        <w:t>月</w:t>
      </w:r>
      <w:r>
        <w:rPr>
          <w:rFonts w:hint="eastAsia"/>
        </w:rPr>
        <w:t>27</w:t>
      </w:r>
      <w:r>
        <w:rPr>
          <w:rFonts w:hint="eastAsia"/>
        </w:rPr>
        <w:t>日，《科学技术法》增加了第</w:t>
      </w:r>
      <w:r>
        <w:rPr>
          <w:rFonts w:hint="eastAsia"/>
        </w:rPr>
        <w:t>9</w:t>
      </w:r>
      <w:r>
        <w:rPr>
          <w:rFonts w:hint="eastAsia"/>
        </w:rPr>
        <w:t>条之二，并说明联邦政府</w:t>
      </w:r>
      <w:r>
        <w:rPr>
          <w:rFonts w:hint="eastAsia"/>
        </w:rPr>
        <w:t>准备增加墨西哥在研究和发展方面的投资（公共和私人投资）总额达到国内总产值的</w:t>
      </w:r>
      <w:r>
        <w:rPr>
          <w:rFonts w:hint="eastAsia"/>
        </w:rPr>
        <w:t>1%</w:t>
      </w:r>
      <w:r>
        <w:rPr>
          <w:rFonts w:hint="eastAsia"/>
        </w:rPr>
        <w:t>，这是教科文组织一直建议墨西哥这类经济体实现的目标。</w:t>
      </w:r>
      <w:r>
        <w:rPr>
          <w:rFonts w:hint="eastAsia"/>
        </w:rPr>
        <w:t xml:space="preserve"> </w:t>
      </w:r>
    </w:p>
    <w:p w:rsidR="00000000" w:rsidRDefault="00457650">
      <w:pPr>
        <w:widowControl/>
        <w:tabs>
          <w:tab w:val="left" w:pos="630"/>
        </w:tabs>
        <w:spacing w:after="240" w:line="360" w:lineRule="exact"/>
        <w:rPr>
          <w:rFonts w:hint="eastAsia"/>
        </w:rPr>
      </w:pPr>
      <w:r>
        <w:t>852.</w:t>
      </w:r>
      <w:r>
        <w:tab/>
      </w:r>
      <w:r>
        <w:rPr>
          <w:rFonts w:hint="eastAsia"/>
        </w:rPr>
        <w:t>另外，在同一年，国家科学技术委员会《组织法》获得批准，它对国家科学技术委员会的工作做出了多项调整，使其能高效地实现《科学技术法》的目标。为此，该《组织法》做了如下规定：</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国家科学技术委员会应成为不隶属任何部门的机构，直接向墨西哥总统汇报，这让它脱离了原来的隶属关系，以前它对公共教育部负责。</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建立科学研究和技术发展总委员会，由总统领导，负责制定政策和进行协调，组成人员</w:t>
      </w:r>
      <w:r>
        <w:rPr>
          <w:rFonts w:hint="eastAsia"/>
        </w:rPr>
        <w:t>包括多个部长，国家科学技术委员会代表和墨西哥民间科技界的知名人士。</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建立和运行联邦科学技术预算一体化跨部门委员会。</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为国家科学技术委员会和其下的</w:t>
      </w:r>
      <w:r>
        <w:rPr>
          <w:rFonts w:hint="eastAsia"/>
        </w:rPr>
        <w:t>28</w:t>
      </w:r>
      <w:r>
        <w:rPr>
          <w:rFonts w:hint="eastAsia"/>
        </w:rPr>
        <w:t>个公共研究中心设立第</w:t>
      </w:r>
      <w:r>
        <w:rPr>
          <w:rFonts w:hint="eastAsia"/>
        </w:rPr>
        <w:t>38</w:t>
      </w:r>
      <w:r>
        <w:rPr>
          <w:rFonts w:hint="eastAsia"/>
        </w:rPr>
        <w:t>个预算科目。</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建立科学技术咨询委员会，作为一个独立的常设机构，征求行政部门，一般委员会和国家科学技术委员会理事会的咨询。</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在墨西哥</w:t>
      </w:r>
      <w:r>
        <w:rPr>
          <w:rFonts w:hint="eastAsia"/>
        </w:rPr>
        <w:t>32</w:t>
      </w:r>
      <w:r>
        <w:rPr>
          <w:rFonts w:hint="eastAsia"/>
        </w:rPr>
        <w:t>个联邦实体的参与下设立国家科学技术大会。</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建立部门基金，有部长和联邦政府机构以及联合基金参加，州政府和市政府也提供部分资金。</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促进私人投资研究和技术发展，对愿意加入并接受这种挑战的企业提供税收优惠（对每年研</w:t>
      </w:r>
      <w:r>
        <w:rPr>
          <w:rFonts w:hint="eastAsia"/>
        </w:rPr>
        <w:t>究和技术发展方面的支出扣除</w:t>
      </w:r>
      <w:r>
        <w:rPr>
          <w:rFonts w:hint="eastAsia"/>
        </w:rPr>
        <w:t>30%</w:t>
      </w:r>
      <w:r>
        <w:rPr>
          <w:rFonts w:hint="eastAsia"/>
        </w:rPr>
        <w:t>的税收）。</w:t>
      </w:r>
    </w:p>
    <w:p w:rsidR="00000000" w:rsidRDefault="00457650">
      <w:pPr>
        <w:widowControl/>
        <w:tabs>
          <w:tab w:val="left" w:pos="630"/>
        </w:tabs>
        <w:spacing w:after="240" w:line="360" w:lineRule="exact"/>
        <w:rPr>
          <w:rFonts w:hint="eastAsia"/>
        </w:rPr>
      </w:pPr>
      <w:r>
        <w:t>853.</w:t>
      </w:r>
      <w:r>
        <w:tab/>
        <w:t xml:space="preserve"> 2001-2006</w:t>
      </w:r>
      <w:r>
        <w:rPr>
          <w:rFonts w:hint="eastAsia"/>
        </w:rPr>
        <w:t>年特别科学技术方案包含一些基本内容，它从各个方面明确了墨西哥的科学、技术和创新发展路线，并确定了以下三项指导战略目标：</w:t>
      </w:r>
    </w:p>
    <w:p w:rsidR="00000000" w:rsidRDefault="00457650" w:rsidP="00457650">
      <w:pPr>
        <w:widowControl/>
        <w:tabs>
          <w:tab w:val="left" w:pos="630"/>
        </w:tabs>
        <w:spacing w:after="240" w:line="360" w:lineRule="exact"/>
        <w:ind w:leftChars="300" w:left="31680" w:hangingChars="200" w:firstLine="31680"/>
        <w:rPr>
          <w:rFonts w:hint="eastAsia"/>
        </w:rPr>
      </w:pPr>
      <w:r>
        <w:t>1.</w:t>
      </w:r>
      <w:r>
        <w:tab/>
      </w:r>
      <w:r>
        <w:rPr>
          <w:rFonts w:hint="eastAsia"/>
        </w:rPr>
        <w:t>制定一项国家科学技术政策。</w:t>
      </w:r>
    </w:p>
    <w:p w:rsidR="00000000" w:rsidRDefault="00457650" w:rsidP="00457650">
      <w:pPr>
        <w:widowControl/>
        <w:tabs>
          <w:tab w:val="left" w:pos="630"/>
        </w:tabs>
        <w:spacing w:after="240" w:line="360" w:lineRule="exact"/>
        <w:ind w:leftChars="300" w:left="31680" w:hangingChars="200" w:firstLine="31680"/>
        <w:rPr>
          <w:rFonts w:hint="eastAsia"/>
        </w:rPr>
      </w:pPr>
      <w:r>
        <w:t>2.</w:t>
      </w:r>
      <w:r>
        <w:tab/>
      </w:r>
      <w:r>
        <w:rPr>
          <w:rFonts w:hint="eastAsia"/>
        </w:rPr>
        <w:t>加强国家的科学技术能力。</w:t>
      </w:r>
    </w:p>
    <w:p w:rsidR="00000000" w:rsidRDefault="00457650" w:rsidP="00457650">
      <w:pPr>
        <w:widowControl/>
        <w:tabs>
          <w:tab w:val="left" w:pos="630"/>
        </w:tabs>
        <w:spacing w:after="240" w:line="360" w:lineRule="exact"/>
        <w:ind w:leftChars="300" w:left="31680" w:hangingChars="200" w:firstLine="31680"/>
        <w:rPr>
          <w:rFonts w:hint="eastAsia"/>
        </w:rPr>
      </w:pPr>
      <w:r>
        <w:t>3.</w:t>
      </w:r>
      <w:r>
        <w:tab/>
      </w:r>
      <w:r>
        <w:rPr>
          <w:rFonts w:hint="eastAsia"/>
        </w:rPr>
        <w:t>增加商业竞争力和创新力。</w:t>
      </w:r>
    </w:p>
    <w:p w:rsidR="00000000" w:rsidRDefault="00457650">
      <w:pPr>
        <w:widowControl/>
        <w:tabs>
          <w:tab w:val="left" w:pos="630"/>
        </w:tabs>
        <w:spacing w:after="240" w:line="360" w:lineRule="exact"/>
        <w:rPr>
          <w:rFonts w:hint="eastAsia"/>
        </w:rPr>
      </w:pPr>
      <w:r>
        <w:t>854.</w:t>
      </w:r>
      <w:r>
        <w:tab/>
      </w:r>
      <w:r>
        <w:rPr>
          <w:rFonts w:hint="eastAsia"/>
        </w:rPr>
        <w:t>此外，国家科学技术委员会的各项实质性方案旨在提高墨西哥科学技术体系的绩效，培训高水平的合格人才（研究生奖学金项目），发展科学研究（研究资金项目），并扶持工业竞争力（私人投资研究和技术发展税收优惠项目）。</w:t>
      </w:r>
    </w:p>
    <w:p w:rsidR="00000000" w:rsidRDefault="00457650">
      <w:pPr>
        <w:keepNext/>
        <w:widowControl/>
        <w:tabs>
          <w:tab w:val="left" w:pos="630"/>
        </w:tabs>
        <w:spacing w:after="240" w:line="360" w:lineRule="exact"/>
        <w:rPr>
          <w:rFonts w:ascii="SimHei" w:eastAsia="SimHei"/>
        </w:rPr>
      </w:pPr>
      <w:r>
        <w:rPr>
          <w:rFonts w:ascii="SimHei" w:eastAsia="SimHei" w:hint="eastAsia"/>
        </w:rPr>
        <w:t>第</w:t>
      </w:r>
      <w:r>
        <w:rPr>
          <w:rFonts w:ascii="SimHei" w:eastAsia="SimHei" w:hint="eastAsia"/>
        </w:rPr>
        <w:t>69</w:t>
      </w:r>
      <w:r>
        <w:rPr>
          <w:rFonts w:ascii="SimHei" w:eastAsia="SimHei" w:hint="eastAsia"/>
        </w:rPr>
        <w:t>段</w:t>
      </w:r>
      <w:r>
        <w:rPr>
          <w:rFonts w:ascii="SimHei" w:eastAsia="SimHei"/>
        </w:rPr>
        <w:t xml:space="preserve"> </w:t>
      </w:r>
      <w:r>
        <w:rPr>
          <w:rFonts w:ascii="SimHei" w:eastAsia="SimHei"/>
        </w:rPr>
        <w:t>（</w:t>
      </w:r>
      <w:r>
        <w:rPr>
          <w:rFonts w:ascii="SimHei" w:eastAsia="SimHei"/>
        </w:rPr>
        <w:t>b</w:t>
      </w:r>
      <w:r>
        <w:rPr>
          <w:rFonts w:ascii="SimHei" w:eastAsia="SimHei"/>
        </w:rPr>
        <w:t>）</w:t>
      </w:r>
    </w:p>
    <w:p w:rsidR="00000000" w:rsidRDefault="00457650">
      <w:pPr>
        <w:keepNext/>
        <w:widowControl/>
        <w:tabs>
          <w:tab w:val="left" w:pos="630"/>
        </w:tabs>
        <w:spacing w:after="240" w:line="360" w:lineRule="exact"/>
        <w:rPr>
          <w:rFonts w:hint="eastAsia"/>
        </w:rPr>
      </w:pPr>
      <w:r>
        <w:t>855.</w:t>
      </w:r>
      <w:r>
        <w:tab/>
      </w:r>
      <w:r>
        <w:rPr>
          <w:rFonts w:hint="eastAsia"/>
        </w:rPr>
        <w:t>如上所述，</w:t>
      </w:r>
      <w:r>
        <w:t>国家人类学和历史研究所</w:t>
      </w:r>
      <w:r>
        <w:rPr>
          <w:rFonts w:hint="eastAsia"/>
        </w:rPr>
        <w:t>负责鉴别、清点、归类和记录文化财产，同时还负责出版书籍和评论以及举行座谈会和圆桌会议来讨论传播所涉及的研究。</w:t>
      </w:r>
    </w:p>
    <w:p w:rsidR="00000000" w:rsidRDefault="00457650">
      <w:pPr>
        <w:widowControl/>
        <w:tabs>
          <w:tab w:val="left" w:pos="630"/>
        </w:tabs>
        <w:spacing w:after="240" w:line="360" w:lineRule="exact"/>
        <w:rPr>
          <w:rFonts w:hint="eastAsia"/>
        </w:rPr>
      </w:pPr>
      <w:r>
        <w:t>856.</w:t>
      </w:r>
      <w:r>
        <w:tab/>
      </w:r>
      <w:r>
        <w:rPr>
          <w:rFonts w:hint="eastAsia"/>
        </w:rPr>
        <w:t>大众和土著文化局长期组织论坛、会议、座谈会和研讨会，同时还举办项目、竞赛和广告，以便在加强创作者、研究人员、团体、社区、乡村和邻里间的联系，恢复、提高和推动国家的文化多样性，使它们获得所需的工具。出版图书是其最重要的一种媒体。</w:t>
      </w:r>
    </w:p>
    <w:p w:rsidR="00000000" w:rsidRDefault="00457650">
      <w:pPr>
        <w:widowControl/>
        <w:tabs>
          <w:tab w:val="left" w:pos="630"/>
        </w:tabs>
        <w:spacing w:after="240" w:line="360" w:lineRule="exact"/>
        <w:rPr>
          <w:rFonts w:hint="eastAsia"/>
        </w:rPr>
      </w:pPr>
      <w:r>
        <w:t>857.</w:t>
      </w:r>
      <w:r>
        <w:tab/>
      </w:r>
      <w:r>
        <w:rPr>
          <w:rFonts w:hint="eastAsia"/>
        </w:rPr>
        <w:t>为保护、发展和传播科学而采取了引人注目的措施：修改立法，开展多种活动促进墨西哥的科学技术活动。</w:t>
      </w:r>
    </w:p>
    <w:p w:rsidR="00000000" w:rsidRDefault="00457650">
      <w:pPr>
        <w:widowControl/>
        <w:tabs>
          <w:tab w:val="left" w:pos="630"/>
        </w:tabs>
        <w:spacing w:after="240" w:line="360" w:lineRule="exact"/>
        <w:rPr>
          <w:rFonts w:hint="eastAsia"/>
        </w:rPr>
      </w:pPr>
      <w:r>
        <w:t>85</w:t>
      </w:r>
      <w:r>
        <w:t>8.</w:t>
      </w:r>
      <w:r>
        <w:tab/>
      </w:r>
      <w:r>
        <w:rPr>
          <w:rFonts w:hint="eastAsia"/>
        </w:rPr>
        <w:t>在</w:t>
      </w:r>
      <w:r>
        <w:rPr>
          <w:rFonts w:hint="eastAsia"/>
        </w:rPr>
        <w:t>2002</w:t>
      </w:r>
      <w:r>
        <w:rPr>
          <w:rFonts w:hint="eastAsia"/>
        </w:rPr>
        <w:t>年，目前实施的《科学技术法》获得一致批准。它规定了用来扶持墨西哥科学技术活动发展的新机制。</w:t>
      </w:r>
    </w:p>
    <w:p w:rsidR="00000000" w:rsidRDefault="00457650">
      <w:pPr>
        <w:widowControl/>
        <w:tabs>
          <w:tab w:val="left" w:pos="630"/>
        </w:tabs>
        <w:spacing w:after="240" w:line="360" w:lineRule="exact"/>
        <w:rPr>
          <w:rFonts w:hint="eastAsia"/>
        </w:rPr>
      </w:pPr>
      <w:r>
        <w:t>859.</w:t>
      </w:r>
      <w:r>
        <w:tab/>
      </w:r>
      <w:r>
        <w:rPr>
          <w:rFonts w:hint="eastAsia"/>
        </w:rPr>
        <w:t>该法规定政府必须颁发补助金，以鼓励、加强和发展国家的整体科学技术研究。《科学技术法》的目标是：</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规范联邦政府为鼓励、加强和发展国家整体科学技术研究所颁发的补助金。</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确定政府用来履行其职责扶持科学技术研究的手段。</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建立活动协调机制，与联邦公共管理机构各部门和单位以及其他帮助制定科学技术发展政策计划的机构或开展此类活动的机构进行协调。</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建立有关机构和机制，以便与联邦各州政府进行协调，便利高等教育</w:t>
      </w:r>
      <w:r>
        <w:rPr>
          <w:rFonts w:hint="eastAsia"/>
        </w:rPr>
        <w:t>机构科学和学术团体的联系和参加，促进制定推广、发展和应用科学技术政策的公共、社会和私人部门的联系和参加，以及培训科学技术专业人才。</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把科学技术研究与教育联系起来。</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大力并加强高等教育机构研究团体从事科学技术研究的能力，使其研究成果符合具体规章规定的原则、计划、方案和内部规则。</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确定基本标准，用于确认作为公共研究中心的半国营机构所从事的科学技术研究。</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规范这些中心自有资源的使用以及第三方为资助技术研究发展所提供的资源的使用。</w:t>
      </w:r>
    </w:p>
    <w:p w:rsidR="00000000" w:rsidRDefault="00457650">
      <w:pPr>
        <w:widowControl/>
        <w:tabs>
          <w:tab w:val="left" w:pos="630"/>
        </w:tabs>
        <w:spacing w:after="240" w:line="360" w:lineRule="exact"/>
      </w:pPr>
      <w:r>
        <w:t>860.</w:t>
      </w:r>
      <w:r>
        <w:tab/>
      </w:r>
      <w:r>
        <w:rPr>
          <w:rFonts w:hint="eastAsia"/>
        </w:rPr>
        <w:t>2004</w:t>
      </w:r>
      <w:r>
        <w:rPr>
          <w:rFonts w:hint="eastAsia"/>
        </w:rPr>
        <w:t>年</w:t>
      </w:r>
      <w:r>
        <w:rPr>
          <w:rFonts w:hint="eastAsia"/>
        </w:rPr>
        <w:t>4</w:t>
      </w:r>
      <w:r>
        <w:rPr>
          <w:rFonts w:hint="eastAsia"/>
        </w:rPr>
        <w:t>月</w:t>
      </w:r>
      <w:r>
        <w:rPr>
          <w:rFonts w:hint="eastAsia"/>
        </w:rPr>
        <w:t>27</w:t>
      </w:r>
      <w:r>
        <w:rPr>
          <w:rFonts w:hint="eastAsia"/>
        </w:rPr>
        <w:t>日，《科学技术法》增加了第</w:t>
      </w:r>
      <w:r>
        <w:rPr>
          <w:rFonts w:hint="eastAsia"/>
        </w:rPr>
        <w:t>9</w:t>
      </w:r>
      <w:r>
        <w:rPr>
          <w:rFonts w:hint="eastAsia"/>
        </w:rPr>
        <w:t>条之二，该条说明联邦政府准备</w:t>
      </w:r>
      <w:r>
        <w:rPr>
          <w:rFonts w:hint="eastAsia"/>
        </w:rPr>
        <w:t>增加墨西哥在研究和发展方面的总投资（公共和私人投资），使之占到国内总产值的</w:t>
      </w:r>
      <w:r>
        <w:rPr>
          <w:rFonts w:hint="eastAsia"/>
        </w:rPr>
        <w:t>1%</w:t>
      </w:r>
      <w:r>
        <w:rPr>
          <w:rFonts w:hint="eastAsia"/>
        </w:rPr>
        <w:t>，这是教科文组织一直建议墨西哥这类经济体实现的目标。</w:t>
      </w:r>
    </w:p>
    <w:p w:rsidR="00000000" w:rsidRDefault="00457650">
      <w:pPr>
        <w:widowControl/>
        <w:tabs>
          <w:tab w:val="left" w:pos="630"/>
        </w:tabs>
        <w:spacing w:after="240" w:line="360" w:lineRule="exact"/>
      </w:pPr>
      <w:r>
        <w:t>861.</w:t>
      </w:r>
      <w:r>
        <w:tab/>
      </w:r>
      <w:r>
        <w:rPr>
          <w:rFonts w:hint="eastAsia"/>
        </w:rPr>
        <w:t>另外，在同一年，国家和科学技术委员会《组织法》获得批准，它对国家和科学技术委员会的工作做出了多项调整，使其能高效地实现《科学技术法》的目标。为此，该《组织法》规定国家和科学技术委员会应成为不隶属任何部门的机构，直接向墨西哥总统汇报，这使它脱离了原来与公共教育部的隶属关系，并授予它以下权力：</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建立</w:t>
      </w:r>
      <w:r>
        <w:rPr>
          <w:rFonts w:hint="eastAsia"/>
        </w:rPr>
        <w:t xml:space="preserve"> </w:t>
      </w:r>
      <w:r>
        <w:rPr>
          <w:rFonts w:hint="eastAsia"/>
        </w:rPr>
        <w:t>“科学研究和技术发展总委员会”，由总统领导，负责制定政策和进行协调，组成</w:t>
      </w:r>
      <w:r>
        <w:rPr>
          <w:rFonts w:hint="eastAsia"/>
        </w:rPr>
        <w:t>人员包括多个部长，国家和科学技术委员会代表及墨西哥民间科技界的知名人士。</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建立和运行联邦科学技术预算一体化跨部门委员会。</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为国家科学技术委员会和其下的</w:t>
      </w:r>
      <w:r>
        <w:rPr>
          <w:rFonts w:hint="eastAsia"/>
        </w:rPr>
        <w:t>28</w:t>
      </w:r>
      <w:r>
        <w:rPr>
          <w:rFonts w:hint="eastAsia"/>
        </w:rPr>
        <w:t>个公共研究中心设立第</w:t>
      </w:r>
      <w:r>
        <w:rPr>
          <w:rFonts w:hint="eastAsia"/>
        </w:rPr>
        <w:t>38</w:t>
      </w:r>
      <w:r>
        <w:rPr>
          <w:rFonts w:hint="eastAsia"/>
        </w:rPr>
        <w:t>个预算科目。</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建立科学技术咨询委员会，作为一个独立的常设机构，征求行政部门，一般委员会和国家科学技术委员会理事会的咨询意见。</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在墨西哥</w:t>
      </w:r>
      <w:r>
        <w:rPr>
          <w:rFonts w:hint="eastAsia"/>
        </w:rPr>
        <w:t>32</w:t>
      </w:r>
      <w:r>
        <w:rPr>
          <w:rFonts w:hint="eastAsia"/>
        </w:rPr>
        <w:t>个联邦实体的参与下设立国家科学技术大会。</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建立部门基金，有部长和联邦政府机构以及联合基金参加，州政府和市政府也提供部分资金。</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促进私人投资研究和技术发展，对愿意加入并接受这种挑战的企业提供税收优惠</w:t>
      </w:r>
      <w:r>
        <w:rPr>
          <w:rFonts w:hint="eastAsia"/>
        </w:rPr>
        <w:t>（对每年研究和技术发展方面的支出扣除</w:t>
      </w:r>
      <w:r>
        <w:rPr>
          <w:rFonts w:hint="eastAsia"/>
        </w:rPr>
        <w:t>30%</w:t>
      </w:r>
      <w:r>
        <w:rPr>
          <w:rFonts w:hint="eastAsia"/>
        </w:rPr>
        <w:t>的税收）。</w:t>
      </w:r>
    </w:p>
    <w:p w:rsidR="00000000" w:rsidRDefault="00457650">
      <w:pPr>
        <w:widowControl/>
        <w:tabs>
          <w:tab w:val="left" w:pos="630"/>
        </w:tabs>
        <w:spacing w:after="240" w:line="360" w:lineRule="exact"/>
      </w:pPr>
      <w:r>
        <w:t>862.</w:t>
      </w:r>
      <w:r>
        <w:tab/>
        <w:t>2001-2006</w:t>
      </w:r>
      <w:r>
        <w:rPr>
          <w:rFonts w:hint="eastAsia"/>
        </w:rPr>
        <w:t>年特别科学技术方案包含一些基本内容，它从各方面明确了墨西哥的科学、技术和创新发展路线。</w:t>
      </w:r>
      <w:r>
        <w:t xml:space="preserve"> </w:t>
      </w:r>
    </w:p>
    <w:p w:rsidR="00000000" w:rsidRDefault="00457650">
      <w:pPr>
        <w:widowControl/>
        <w:tabs>
          <w:tab w:val="left" w:pos="630"/>
        </w:tabs>
        <w:spacing w:after="240" w:line="360" w:lineRule="exact"/>
      </w:pPr>
      <w:r>
        <w:t>863.</w:t>
      </w:r>
      <w:r>
        <w:tab/>
      </w:r>
      <w:r>
        <w:rPr>
          <w:rFonts w:hint="eastAsia"/>
        </w:rPr>
        <w:t>此外，国家科学技术委员会的各项实质性方案旨在提高墨西哥科学技术体系的绩效，培训高水平的合格人才（研究生奖学金项目），发展科学研究（研究资金项目），并扶持工业竞争力（私人投资研究和技术发展税收优惠项目）。</w:t>
      </w:r>
    </w:p>
    <w:p w:rsidR="00000000" w:rsidRDefault="00457650">
      <w:pPr>
        <w:widowControl/>
        <w:tabs>
          <w:tab w:val="left" w:pos="630"/>
        </w:tabs>
        <w:spacing w:after="240" w:line="360" w:lineRule="exact"/>
        <w:rPr>
          <w:rFonts w:ascii="SimHei" w:eastAsia="SimHei"/>
        </w:rPr>
      </w:pPr>
      <w:r>
        <w:rPr>
          <w:rFonts w:ascii="SimHei" w:eastAsia="SimHei" w:hint="eastAsia"/>
        </w:rPr>
        <w:t>第</w:t>
      </w:r>
      <w:r>
        <w:rPr>
          <w:rFonts w:ascii="SimHei" w:eastAsia="SimHei" w:hint="eastAsia"/>
        </w:rPr>
        <w:t>70</w:t>
      </w:r>
      <w:r>
        <w:rPr>
          <w:rFonts w:ascii="SimHei" w:eastAsia="SimHei" w:hint="eastAsia"/>
        </w:rPr>
        <w:t>段</w:t>
      </w:r>
      <w:r>
        <w:rPr>
          <w:rFonts w:ascii="SimHei" w:eastAsia="SimHei"/>
        </w:rPr>
        <w:t>（</w:t>
      </w:r>
      <w:r>
        <w:rPr>
          <w:rFonts w:ascii="SimHei" w:eastAsia="SimHei"/>
        </w:rPr>
        <w:t>a</w:t>
      </w:r>
      <w:r>
        <w:rPr>
          <w:rFonts w:ascii="SimHei" w:eastAsia="SimHei"/>
        </w:rPr>
        <w:t>）</w:t>
      </w:r>
    </w:p>
    <w:p w:rsidR="00000000" w:rsidRDefault="00457650">
      <w:pPr>
        <w:widowControl/>
        <w:tabs>
          <w:tab w:val="left" w:pos="630"/>
        </w:tabs>
        <w:spacing w:after="240" w:line="360" w:lineRule="exact"/>
        <w:rPr>
          <w:rFonts w:hint="eastAsia"/>
        </w:rPr>
      </w:pPr>
      <w:r>
        <w:t>864.</w:t>
      </w:r>
      <w:r>
        <w:tab/>
      </w:r>
      <w:r>
        <w:rPr>
          <w:rFonts w:hint="eastAsia"/>
        </w:rPr>
        <w:t>如上所述，</w:t>
      </w:r>
      <w:r>
        <w:rPr>
          <w:rFonts w:hint="eastAsia"/>
        </w:rPr>
        <w:t xml:space="preserve"> 2001</w:t>
      </w:r>
      <w:r>
        <w:t>-</w:t>
      </w:r>
      <w:r>
        <w:rPr>
          <w:rFonts w:hint="eastAsia"/>
        </w:rPr>
        <w:t>2006</w:t>
      </w:r>
      <w:r>
        <w:rPr>
          <w:rFonts w:hint="eastAsia"/>
        </w:rPr>
        <w:t>年国家文化计划力求通过文化部门的工作，从人性化的角度促进社会发展，包括</w:t>
      </w:r>
      <w:r>
        <w:rPr>
          <w:rFonts w:hint="eastAsia"/>
        </w:rPr>
        <w:t>确认文化的多样性和开放性，确保在文化领域为人们提供各种机会和服务，尊重表达和创造自由，这些始终是该计划的核心结构部分。</w:t>
      </w:r>
    </w:p>
    <w:p w:rsidR="00000000" w:rsidRDefault="00457650">
      <w:pPr>
        <w:widowControl/>
        <w:tabs>
          <w:tab w:val="left" w:pos="630"/>
        </w:tabs>
        <w:spacing w:after="240" w:line="360" w:lineRule="exact"/>
      </w:pPr>
      <w:r>
        <w:t>865.</w:t>
      </w:r>
      <w:r>
        <w:tab/>
      </w:r>
      <w:r>
        <w:rPr>
          <w:rFonts w:hint="eastAsia"/>
        </w:rPr>
        <w:t>墨西哥政府是墨西哥考古、历史、艺术和古生物财产的主要保护人，为此墨西哥制定了以下宪法和法律框架：</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《墨西哥合众国宪法》规定国会对具有国家利益的考古、历史、艺术和古生物遗产拥有专属立法权。</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《建立国家艺术与文学院法》促进并鼓励音乐、造型艺术、戏剧艺术和舞蹈、各种类型文学以及建筑领域的创作和研究。</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《国家人类学和历史研究所组织法》。国家人类学和历史研究所负责国家考古、历史和人类学遗产</w:t>
      </w:r>
      <w:r>
        <w:rPr>
          <w:rFonts w:hint="eastAsia"/>
        </w:rPr>
        <w:t>的研究、保护和传播，还负责对保护传播这些遗产的专业人员进行培训。根据《国家人类学和历史研究所组织法》，它负责以下工作：有关墨西哥人口的人类学和历史科学研究，有关考古、历史和古生物遗产的保存和修复研究；这些遗产的保护、保存、修复和恢复，以及属于其职权范围的宣传和传播活动。</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《联邦考古、艺术及历史遗迹和遗址法》在</w:t>
      </w:r>
      <w:r>
        <w:rPr>
          <w:rFonts w:hint="eastAsia"/>
        </w:rPr>
        <w:t>1972</w:t>
      </w:r>
      <w:r>
        <w:rPr>
          <w:rFonts w:hint="eastAsia"/>
        </w:rPr>
        <w:t>年</w:t>
      </w:r>
      <w:r>
        <w:rPr>
          <w:rFonts w:hint="eastAsia"/>
        </w:rPr>
        <w:t>5</w:t>
      </w:r>
      <w:r>
        <w:rPr>
          <w:rFonts w:hint="eastAsia"/>
        </w:rPr>
        <w:t>月生效，其有关条例涉及事关社会和国家利益的文化遗产保存、保护和修复，主要包括考古、艺术和历史遗迹以及同属几方面的混合遗迹。为保护墨西哥的文化遗产制定了具体的法律条例，这些条例的基本标准既与保</w:t>
      </w:r>
      <w:r>
        <w:rPr>
          <w:rFonts w:hint="eastAsia"/>
        </w:rPr>
        <w:t>护考古及历史遗迹遗址有关，也与艺术作品有关。根据这些规范建立了文化遗产保护和传播体系，它在结构上具有高度专业化机构的功效：国家人类学和历史研究所和国家艺术和文学院，它们都隶属于联邦政府。</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图书馆一般法》通过设立、维护和组织公共图书馆来履行其教育和文化功能，它们构成了“全国公共图书馆网络”的基础，国家文化和艺术委员会负责进行技术和标准化协调，通过图书馆管理局建立和分配图书文献库存，推广阅读，培训图书馆工作人员，促进图书馆基础设施的发展，以便让全体人民都能平等和不受限制地获得知识。</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《一般国家财产法》规定国家</w:t>
      </w:r>
      <w:r>
        <w:rPr>
          <w:rFonts w:hint="eastAsia"/>
        </w:rPr>
        <w:t>遗产包括公共和私人领域的财产。公共领域的财产包括联邦所有可移动或不可移动的历史或艺术遗产以及可移动或不可移动的文物；根据其性质，联邦动产一般是不可代替的，例如文件和官方档案；手稿，古版本，出版物、书籍、文件，期刊，地图，规划，重要或稀有的公告和录音，以及类似文献的收藏；人种和古生物物品；动植物标本；科学或技术收藏，及武器，硬币和邮票收藏；有声录音档案，电影，照片，录音带和任何其他音像物品，还有博物馆收藏的艺术或历史物品。</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《联邦电影摄影法》的宗旨是推动电影的制作、发行、销售和放映，以及它们的恢复和保存，其目</w:t>
      </w:r>
      <w:r>
        <w:rPr>
          <w:rFonts w:hint="eastAsia"/>
        </w:rPr>
        <w:t>标始终是研究和解决与墨西哥电影业的整合、推广和发展有关的问题。</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联邦广播电视法》规定广播电视的社会功能是帮助促进国家的融合和改善人民共同生活的方式。为此，广播电视通过节目播放，努力宣传尊重社会道德、人民尊严和家庭关系；避免对儿童和青年的和谐发展产生不良影响；促进提高人民的文化水平和保持国家特性、国家风俗传统和各民族语言，宣扬墨西哥民族的价值观；并且推动民主精神，促进国家的团结和国际的友谊与合作。</w:t>
      </w:r>
    </w:p>
    <w:p w:rsidR="00000000" w:rsidRDefault="00457650">
      <w:pPr>
        <w:widowControl/>
        <w:tabs>
          <w:tab w:val="left" w:pos="630"/>
        </w:tabs>
        <w:spacing w:after="240" w:line="360" w:lineRule="exact"/>
        <w:rPr>
          <w:rFonts w:hint="eastAsia"/>
        </w:rPr>
      </w:pPr>
      <w:r>
        <w:t xml:space="preserve">866. </w:t>
      </w:r>
      <w:r>
        <w:tab/>
      </w:r>
      <w:r>
        <w:rPr>
          <w:rFonts w:hint="eastAsia"/>
        </w:rPr>
        <w:t>与此相关，作为国家文化和艺术委员会的目标和活动之一，</w:t>
      </w:r>
      <w:r>
        <w:rPr>
          <w:rFonts w:hint="eastAsia"/>
        </w:rPr>
        <w:t>2003</w:t>
      </w:r>
      <w:r>
        <w:rPr>
          <w:rFonts w:hint="eastAsia"/>
        </w:rPr>
        <w:t>年</w:t>
      </w:r>
      <w:r>
        <w:rPr>
          <w:rFonts w:hint="eastAsia"/>
        </w:rPr>
        <w:t>12</w:t>
      </w:r>
      <w:r>
        <w:rPr>
          <w:rFonts w:hint="eastAsia"/>
        </w:rPr>
        <w:t>月成立了国家保存、修复和博物馆科</w:t>
      </w:r>
      <w:r>
        <w:rPr>
          <w:rFonts w:hint="eastAsia"/>
        </w:rPr>
        <w:t>学学校新中心。它的面积超过</w:t>
      </w:r>
      <w:r>
        <w:rPr>
          <w:rFonts w:hint="eastAsia"/>
        </w:rPr>
        <w:t>10 000</w:t>
      </w:r>
      <w:r>
        <w:rPr>
          <w:rFonts w:hint="eastAsia"/>
        </w:rPr>
        <w:t>平方米，为学术界和该校提供了新的课堂和工作场所，以及设备完善的实验室、礼堂和一个适于进行修复方面教研的图书馆。</w:t>
      </w:r>
    </w:p>
    <w:p w:rsidR="00000000" w:rsidRDefault="00457650">
      <w:pPr>
        <w:widowControl/>
        <w:tabs>
          <w:tab w:val="left" w:pos="630"/>
        </w:tabs>
        <w:spacing w:after="240" w:line="360" w:lineRule="exact"/>
        <w:rPr>
          <w:rFonts w:hint="eastAsia"/>
        </w:rPr>
      </w:pPr>
      <w:r>
        <w:t>867.</w:t>
      </w:r>
      <w:r>
        <w:tab/>
      </w:r>
      <w:r>
        <w:rPr>
          <w:rFonts w:hint="eastAsia"/>
        </w:rPr>
        <w:t>另外奇瓦瓦国家人类学和历史研究所新设了社会人类学硕士学位。这是墨西哥北部首次开设人类学硕士学位课程，它是在国家人类学和历史研究所及</w:t>
      </w:r>
      <w:r>
        <w:rPr>
          <w:rFonts w:hint="eastAsia"/>
        </w:rPr>
        <w:t>CTESAS</w:t>
      </w:r>
      <w:r>
        <w:rPr>
          <w:rFonts w:hint="eastAsia"/>
        </w:rPr>
        <w:t>这两个机构的支持下并根据它们的经验设立的。</w:t>
      </w:r>
    </w:p>
    <w:p w:rsidR="00000000" w:rsidRDefault="00457650">
      <w:pPr>
        <w:widowControl/>
        <w:tabs>
          <w:tab w:val="left" w:pos="630"/>
        </w:tabs>
        <w:spacing w:after="240" w:line="360" w:lineRule="exact"/>
        <w:rPr>
          <w:rFonts w:hint="eastAsia"/>
        </w:rPr>
      </w:pPr>
      <w:r>
        <w:t>868.</w:t>
      </w:r>
      <w:r>
        <w:tab/>
      </w:r>
      <w:r>
        <w:rPr>
          <w:rFonts w:hint="eastAsia"/>
        </w:rPr>
        <w:t>对于科学研究，《墨西哥合众国宪法》第</w:t>
      </w:r>
      <w:r>
        <w:rPr>
          <w:rFonts w:hint="eastAsia"/>
        </w:rPr>
        <w:t>3</w:t>
      </w:r>
      <w:r>
        <w:rPr>
          <w:rFonts w:hint="eastAsia"/>
        </w:rPr>
        <w:t>条第</w:t>
      </w:r>
      <w:r>
        <w:rPr>
          <w:rFonts w:hint="eastAsia"/>
        </w:rPr>
        <w:t>5</w:t>
      </w:r>
      <w:r>
        <w:rPr>
          <w:rFonts w:hint="eastAsia"/>
        </w:rPr>
        <w:t>款规定国家应该支持科学技术研究。</w:t>
      </w:r>
    </w:p>
    <w:p w:rsidR="00000000" w:rsidRDefault="00457650">
      <w:pPr>
        <w:widowControl/>
        <w:tabs>
          <w:tab w:val="left" w:pos="630"/>
        </w:tabs>
        <w:spacing w:after="240" w:line="360" w:lineRule="exact"/>
        <w:rPr>
          <w:rFonts w:hint="eastAsia"/>
        </w:rPr>
      </w:pPr>
      <w:r>
        <w:t>869.</w:t>
      </w:r>
      <w:r>
        <w:tab/>
      </w:r>
      <w:r>
        <w:rPr>
          <w:rFonts w:hint="eastAsia"/>
        </w:rPr>
        <w:t>自从</w:t>
      </w:r>
      <w:r>
        <w:rPr>
          <w:rFonts w:hint="eastAsia"/>
        </w:rPr>
        <w:t>1970</w:t>
      </w:r>
      <w:r>
        <w:rPr>
          <w:rFonts w:hint="eastAsia"/>
        </w:rPr>
        <w:t>年创立国家科学技术委员会以来，为墨西哥科学技术体系能发挥</w:t>
      </w:r>
      <w:r>
        <w:rPr>
          <w:rFonts w:hint="eastAsia"/>
        </w:rPr>
        <w:t>作用，采用了多种标准和措施。但是，经过</w:t>
      </w:r>
      <w:r>
        <w:rPr>
          <w:rFonts w:hint="eastAsia"/>
        </w:rPr>
        <w:t>30</w:t>
      </w:r>
      <w:r>
        <w:rPr>
          <w:rFonts w:hint="eastAsia"/>
        </w:rPr>
        <w:t>年联邦政府才正式制定了一个法律框架，为其促进、加强和发展科学技术研究的主要工作方针奠定基础。</w:t>
      </w:r>
      <w:r>
        <w:rPr>
          <w:rFonts w:hint="eastAsia"/>
        </w:rPr>
        <w:t>1999</w:t>
      </w:r>
      <w:r>
        <w:rPr>
          <w:rFonts w:hint="eastAsia"/>
        </w:rPr>
        <w:t>年</w:t>
      </w:r>
      <w:r>
        <w:rPr>
          <w:rFonts w:hint="eastAsia"/>
        </w:rPr>
        <w:t>5</w:t>
      </w:r>
      <w:r>
        <w:rPr>
          <w:rFonts w:hint="eastAsia"/>
        </w:rPr>
        <w:t>月公布的《科学技术研究促进法》是科学咨询委员会、墨西哥科学院和国家科学技术委员会之间达成的协议框架的一部分，它综合了这一系统各行动者的意见，建立了长期意见交流机制，为开展促进科技发展的活动奠定了基础。该法涉及了如下六个最重要的方面：</w:t>
      </w:r>
    </w:p>
    <w:p w:rsidR="00000000" w:rsidRDefault="00457650" w:rsidP="00457650">
      <w:pPr>
        <w:widowControl/>
        <w:tabs>
          <w:tab w:val="left" w:pos="630"/>
        </w:tabs>
        <w:spacing w:after="240" w:line="360" w:lineRule="exact"/>
        <w:ind w:leftChars="250" w:left="31680" w:hangingChars="300" w:firstLine="31680"/>
        <w:rPr>
          <w:rFonts w:hint="eastAsia"/>
        </w:rPr>
      </w:pPr>
      <w:r>
        <w:t>（</w:t>
      </w:r>
      <w:r>
        <w:rPr>
          <w:rFonts w:hint="eastAsia"/>
        </w:rPr>
        <w:t>一</w:t>
      </w:r>
      <w:r>
        <w:t>）</w:t>
      </w:r>
      <w:r>
        <w:rPr>
          <w:rFonts w:hint="eastAsia"/>
        </w:rPr>
        <w:tab/>
      </w:r>
      <w:r>
        <w:rPr>
          <w:rFonts w:hint="eastAsia"/>
        </w:rPr>
        <w:t>特别科学技术方案。</w:t>
      </w:r>
    </w:p>
    <w:p w:rsidR="00000000" w:rsidRDefault="00457650" w:rsidP="00457650">
      <w:pPr>
        <w:widowControl/>
        <w:tabs>
          <w:tab w:val="left" w:pos="630"/>
        </w:tabs>
        <w:spacing w:after="240" w:line="360" w:lineRule="exact"/>
        <w:ind w:leftChars="250" w:left="31680" w:hangingChars="300" w:firstLine="31680"/>
        <w:rPr>
          <w:rFonts w:hint="eastAsia"/>
        </w:rPr>
      </w:pPr>
      <w:r>
        <w:t>（</w:t>
      </w:r>
      <w:r>
        <w:rPr>
          <w:rFonts w:hint="eastAsia"/>
        </w:rPr>
        <w:t>二</w:t>
      </w:r>
      <w:r>
        <w:t>）</w:t>
      </w:r>
      <w:r>
        <w:rPr>
          <w:rFonts w:hint="eastAsia"/>
        </w:rPr>
        <w:tab/>
      </w:r>
      <w:r>
        <w:rPr>
          <w:rFonts w:hint="eastAsia"/>
        </w:rPr>
        <w:t>长期科学技术论坛。</w:t>
      </w:r>
    </w:p>
    <w:p w:rsidR="00000000" w:rsidRDefault="00457650" w:rsidP="00457650">
      <w:pPr>
        <w:widowControl/>
        <w:tabs>
          <w:tab w:val="left" w:pos="630"/>
        </w:tabs>
        <w:spacing w:after="240" w:line="360" w:lineRule="exact"/>
        <w:ind w:leftChars="250" w:left="31680" w:hangingChars="300" w:firstLine="31680"/>
        <w:rPr>
          <w:rFonts w:hint="eastAsia"/>
        </w:rPr>
      </w:pPr>
      <w:r>
        <w:t>（</w:t>
      </w:r>
      <w:r>
        <w:rPr>
          <w:rFonts w:hint="eastAsia"/>
        </w:rPr>
        <w:t>三</w:t>
      </w:r>
      <w:r>
        <w:t>）</w:t>
      </w:r>
      <w:r>
        <w:rPr>
          <w:rFonts w:hint="eastAsia"/>
        </w:rPr>
        <w:tab/>
      </w:r>
      <w:r>
        <w:rPr>
          <w:rFonts w:hint="eastAsia"/>
        </w:rPr>
        <w:t>国家科学技术委员会基金以及科学研究和技术发展基金。</w:t>
      </w:r>
    </w:p>
    <w:p w:rsidR="00000000" w:rsidRDefault="00457650" w:rsidP="00457650">
      <w:pPr>
        <w:widowControl/>
        <w:tabs>
          <w:tab w:val="left" w:pos="630"/>
        </w:tabs>
        <w:spacing w:after="240" w:line="360" w:lineRule="exact"/>
        <w:ind w:leftChars="250" w:left="31680" w:hangingChars="300" w:firstLine="31680"/>
        <w:rPr>
          <w:rFonts w:hint="eastAsia"/>
        </w:rPr>
      </w:pPr>
      <w:r>
        <w:t>（</w:t>
      </w:r>
      <w:r>
        <w:rPr>
          <w:rFonts w:hint="eastAsia"/>
        </w:rPr>
        <w:t>四</w:t>
      </w:r>
      <w:r>
        <w:t>）</w:t>
      </w:r>
      <w:r>
        <w:tab/>
      </w:r>
      <w:r>
        <w:rPr>
          <w:rFonts w:hint="eastAsia"/>
        </w:rPr>
        <w:t>科学技术</w:t>
      </w:r>
      <w:r>
        <w:rPr>
          <w:rFonts w:hint="eastAsia"/>
        </w:rPr>
        <w:t>研究信息一体化系统。</w:t>
      </w:r>
    </w:p>
    <w:p w:rsidR="00000000" w:rsidRDefault="00457650" w:rsidP="00457650">
      <w:pPr>
        <w:widowControl/>
        <w:tabs>
          <w:tab w:val="left" w:pos="630"/>
        </w:tabs>
        <w:spacing w:after="240" w:line="360" w:lineRule="exact"/>
        <w:ind w:leftChars="250" w:left="31680" w:hangingChars="300" w:firstLine="31680"/>
        <w:rPr>
          <w:rFonts w:hint="eastAsia"/>
        </w:rPr>
      </w:pPr>
      <w:r>
        <w:t>（</w:t>
      </w:r>
      <w:r>
        <w:rPr>
          <w:rFonts w:hint="eastAsia"/>
        </w:rPr>
        <w:t>五</w:t>
      </w:r>
      <w:r>
        <w:t>）</w:t>
      </w:r>
      <w:r>
        <w:tab/>
      </w:r>
      <w:r>
        <w:rPr>
          <w:rFonts w:hint="eastAsia"/>
        </w:rPr>
        <w:t>国家科学技术机构和企业注册处。</w:t>
      </w:r>
    </w:p>
    <w:p w:rsidR="00000000" w:rsidRDefault="00457650" w:rsidP="00457650">
      <w:pPr>
        <w:widowControl/>
        <w:tabs>
          <w:tab w:val="left" w:pos="630"/>
        </w:tabs>
        <w:spacing w:after="240" w:line="360" w:lineRule="exact"/>
        <w:ind w:leftChars="250" w:left="31680" w:hangingChars="300" w:firstLine="31680"/>
        <w:rPr>
          <w:rFonts w:hint="eastAsia"/>
        </w:rPr>
      </w:pPr>
      <w:r>
        <w:t>（</w:t>
      </w:r>
      <w:r>
        <w:rPr>
          <w:rFonts w:hint="eastAsia"/>
        </w:rPr>
        <w:t>六</w:t>
      </w:r>
      <w:r>
        <w:t>）</w:t>
      </w:r>
      <w:r>
        <w:tab/>
      </w:r>
      <w:r>
        <w:rPr>
          <w:rFonts w:hint="eastAsia"/>
        </w:rPr>
        <w:t>公共研究中心。</w:t>
      </w:r>
    </w:p>
    <w:p w:rsidR="00000000" w:rsidRDefault="00457650">
      <w:pPr>
        <w:widowControl/>
        <w:tabs>
          <w:tab w:val="left" w:pos="630"/>
        </w:tabs>
        <w:spacing w:after="240" w:line="360" w:lineRule="exact"/>
        <w:rPr>
          <w:rFonts w:hint="eastAsia"/>
        </w:rPr>
      </w:pPr>
      <w:r>
        <w:t>870.</w:t>
      </w:r>
      <w:r>
        <w:tab/>
      </w:r>
      <w:r>
        <w:rPr>
          <w:rFonts w:hint="eastAsia"/>
        </w:rPr>
        <w:t>科学技术方案是在</w:t>
      </w:r>
      <w:r>
        <w:rPr>
          <w:rFonts w:hint="eastAsia"/>
        </w:rPr>
        <w:t>1995</w:t>
      </w:r>
      <w:r>
        <w:t>-</w:t>
      </w:r>
      <w:r>
        <w:rPr>
          <w:rFonts w:hint="eastAsia"/>
        </w:rPr>
        <w:t>2000</w:t>
      </w:r>
      <w:r>
        <w:rPr>
          <w:rFonts w:hint="eastAsia"/>
        </w:rPr>
        <w:t>年期间制定的。它主要针对国家科学技术研究的分散化。</w:t>
      </w:r>
    </w:p>
    <w:p w:rsidR="00000000" w:rsidRDefault="00457650">
      <w:pPr>
        <w:widowControl/>
        <w:tabs>
          <w:tab w:val="left" w:pos="630"/>
        </w:tabs>
        <w:spacing w:after="240" w:line="360" w:lineRule="exact"/>
        <w:rPr>
          <w:rFonts w:hint="eastAsia"/>
        </w:rPr>
      </w:pPr>
      <w:r>
        <w:t>871.</w:t>
      </w:r>
      <w:r>
        <w:tab/>
      </w:r>
      <w:r>
        <w:rPr>
          <w:rFonts w:hint="eastAsia"/>
        </w:rPr>
        <w:t>该方案的实施取得了一定的成效；但是，在同一时期，《科学研究促进法》导致成立了专业科学技术委员会。</w:t>
      </w:r>
    </w:p>
    <w:p w:rsidR="00000000" w:rsidRDefault="00457650">
      <w:pPr>
        <w:widowControl/>
        <w:tabs>
          <w:tab w:val="left" w:pos="630"/>
        </w:tabs>
        <w:spacing w:after="240" w:line="360" w:lineRule="exact"/>
        <w:rPr>
          <w:rFonts w:hint="eastAsia"/>
        </w:rPr>
      </w:pPr>
      <w:r>
        <w:rPr>
          <w:rFonts w:hint="eastAsia"/>
          <w:bCs/>
        </w:rPr>
        <w:tab/>
      </w:r>
      <w:r>
        <w:rPr>
          <w:rFonts w:hint="eastAsia"/>
        </w:rPr>
        <w:t>《科学技术法》的目的是：</w:t>
      </w:r>
    </w:p>
    <w:p w:rsidR="00000000" w:rsidRDefault="00457650" w:rsidP="00457650">
      <w:pPr>
        <w:widowControl/>
        <w:spacing w:after="240" w:line="360" w:lineRule="exact"/>
        <w:ind w:leftChars="300" w:left="31680" w:hangingChars="250" w:firstLine="31680"/>
        <w:rPr>
          <w:rFonts w:hint="eastAsia"/>
        </w:rPr>
      </w:pPr>
      <w:r>
        <w:rPr>
          <w:rFonts w:hint="eastAsia"/>
        </w:rPr>
        <w:t>一、</w:t>
      </w:r>
      <w:r>
        <w:rPr>
          <w:rFonts w:hint="eastAsia"/>
        </w:rPr>
        <w:tab/>
      </w:r>
      <w:r>
        <w:rPr>
          <w:rFonts w:hint="eastAsia"/>
        </w:rPr>
        <w:t>规范联邦政府必须颁发的用来鼓励、加强和发展国家整体科学技术研究的补助金。</w:t>
      </w:r>
    </w:p>
    <w:p w:rsidR="00000000" w:rsidRDefault="00457650" w:rsidP="00457650">
      <w:pPr>
        <w:widowControl/>
        <w:spacing w:after="240" w:line="360" w:lineRule="exact"/>
        <w:ind w:leftChars="300" w:left="31680" w:hangingChars="250" w:firstLine="31680"/>
      </w:pPr>
      <w:r>
        <w:rPr>
          <w:rFonts w:hint="eastAsia"/>
        </w:rPr>
        <w:t>二、</w:t>
      </w:r>
      <w:r>
        <w:rPr>
          <w:rFonts w:hint="eastAsia"/>
        </w:rPr>
        <w:tab/>
      </w:r>
      <w:r>
        <w:rPr>
          <w:rFonts w:hint="eastAsia"/>
        </w:rPr>
        <w:t>确定政府使用于履行其职责扶持科学技术研究的手段。</w:t>
      </w:r>
    </w:p>
    <w:p w:rsidR="00000000" w:rsidRDefault="00457650" w:rsidP="00457650">
      <w:pPr>
        <w:widowControl/>
        <w:spacing w:after="240" w:line="360" w:lineRule="exact"/>
        <w:ind w:leftChars="300" w:left="31680" w:hangingChars="250" w:firstLine="31680"/>
      </w:pPr>
      <w:r>
        <w:rPr>
          <w:rFonts w:hint="eastAsia"/>
        </w:rPr>
        <w:t>三、</w:t>
      </w:r>
      <w:r>
        <w:rPr>
          <w:rFonts w:hint="eastAsia"/>
        </w:rPr>
        <w:tab/>
      </w:r>
      <w:r>
        <w:rPr>
          <w:rFonts w:hint="eastAsia"/>
        </w:rPr>
        <w:t>建立活动协调机制，与联邦公共管理机构各部门和单位以及</w:t>
      </w:r>
      <w:r>
        <w:rPr>
          <w:rFonts w:hint="eastAsia"/>
        </w:rPr>
        <w:t>其他帮助制定科学技术发展政策计划的机构或开展此类活动的机构进行协调。</w:t>
      </w:r>
      <w:r>
        <w:t xml:space="preserve"> </w:t>
      </w:r>
    </w:p>
    <w:p w:rsidR="00000000" w:rsidRDefault="00457650" w:rsidP="00457650">
      <w:pPr>
        <w:widowControl/>
        <w:spacing w:after="240" w:line="360" w:lineRule="exact"/>
        <w:ind w:leftChars="300" w:left="31680" w:hangingChars="250" w:firstLine="31680"/>
      </w:pPr>
      <w:r>
        <w:rPr>
          <w:rFonts w:hint="eastAsia"/>
        </w:rPr>
        <w:t>四、</w:t>
      </w:r>
      <w:r>
        <w:rPr>
          <w:rFonts w:hint="eastAsia"/>
        </w:rPr>
        <w:tab/>
      </w:r>
      <w:r>
        <w:rPr>
          <w:rFonts w:hint="eastAsia"/>
        </w:rPr>
        <w:t>建立有关机构和机制，以便与联邦各州政府进行协调，方便高等教育机构科学和学术团体的联系和参加，方便制定推广、发展和应用科学技术政策的公共、社会和私人部门的联系和参加，以及培训科学技术专业人才。</w:t>
      </w:r>
    </w:p>
    <w:p w:rsidR="00000000" w:rsidRDefault="00457650" w:rsidP="00457650">
      <w:pPr>
        <w:widowControl/>
        <w:spacing w:after="240" w:line="360" w:lineRule="exact"/>
        <w:ind w:leftChars="300" w:left="31680" w:hangingChars="250" w:firstLine="31680"/>
      </w:pPr>
      <w:r>
        <w:rPr>
          <w:rFonts w:hint="eastAsia"/>
        </w:rPr>
        <w:t>五、</w:t>
      </w:r>
      <w:r>
        <w:rPr>
          <w:rFonts w:hint="eastAsia"/>
        </w:rPr>
        <w:tab/>
      </w:r>
      <w:r>
        <w:rPr>
          <w:rFonts w:hint="eastAsia"/>
        </w:rPr>
        <w:t>把科学技术研究与教育联系起来。</w:t>
      </w:r>
    </w:p>
    <w:p w:rsidR="00000000" w:rsidRDefault="00457650" w:rsidP="00457650">
      <w:pPr>
        <w:widowControl/>
        <w:spacing w:after="240" w:line="360" w:lineRule="exact"/>
        <w:ind w:leftChars="300" w:left="31680" w:hangingChars="250" w:firstLine="31680"/>
      </w:pPr>
      <w:r>
        <w:rPr>
          <w:rFonts w:hint="eastAsia"/>
        </w:rPr>
        <w:t>六、</w:t>
      </w:r>
      <w:r>
        <w:rPr>
          <w:rFonts w:hint="eastAsia"/>
        </w:rPr>
        <w:tab/>
      </w:r>
      <w:r>
        <w:rPr>
          <w:rFonts w:hint="eastAsia"/>
        </w:rPr>
        <w:t>培养并加强高等教育机构科学技术研究团体的能力，使研究成果符合具体规章规定的原则、计划、项目和内部规则。</w:t>
      </w:r>
    </w:p>
    <w:p w:rsidR="00000000" w:rsidRDefault="00457650" w:rsidP="00457650">
      <w:pPr>
        <w:widowControl/>
        <w:spacing w:after="240" w:line="360" w:lineRule="exact"/>
        <w:ind w:leftChars="300" w:left="31680" w:hangingChars="250" w:firstLine="31680"/>
      </w:pPr>
      <w:r>
        <w:rPr>
          <w:rFonts w:hint="eastAsia"/>
        </w:rPr>
        <w:t>七、</w:t>
      </w:r>
      <w:r>
        <w:rPr>
          <w:rFonts w:hint="eastAsia"/>
        </w:rPr>
        <w:tab/>
      </w:r>
      <w:r>
        <w:rPr>
          <w:rFonts w:hint="eastAsia"/>
        </w:rPr>
        <w:t>确定基本标准，用于确认作为公共研究中心的半国营机构所从事的科学技术研究。</w:t>
      </w:r>
    </w:p>
    <w:p w:rsidR="00000000" w:rsidRDefault="00457650" w:rsidP="00457650">
      <w:pPr>
        <w:widowControl/>
        <w:spacing w:after="240" w:line="360" w:lineRule="exact"/>
        <w:ind w:leftChars="300" w:left="31680" w:hangingChars="250" w:firstLine="31680"/>
      </w:pPr>
      <w:r>
        <w:rPr>
          <w:rFonts w:hint="eastAsia"/>
        </w:rPr>
        <w:t>八、</w:t>
      </w:r>
      <w:r>
        <w:rPr>
          <w:rFonts w:hint="eastAsia"/>
        </w:rPr>
        <w:tab/>
      </w:r>
      <w:r>
        <w:rPr>
          <w:rFonts w:hint="eastAsia"/>
        </w:rPr>
        <w:t>规范这些</w:t>
      </w:r>
      <w:r>
        <w:rPr>
          <w:rFonts w:hint="eastAsia"/>
        </w:rPr>
        <w:t>公共科学研究中心自有资源的使用以及第三方为资助技术研究发展所提供的资源的使用。</w:t>
      </w:r>
    </w:p>
    <w:p w:rsidR="00000000" w:rsidRDefault="00457650">
      <w:pPr>
        <w:widowControl/>
        <w:tabs>
          <w:tab w:val="left" w:pos="630"/>
        </w:tabs>
        <w:spacing w:after="240" w:line="360" w:lineRule="exact"/>
        <w:rPr>
          <w:rFonts w:hint="eastAsia"/>
        </w:rPr>
      </w:pPr>
      <w:r>
        <w:t>872.</w:t>
      </w:r>
      <w:r>
        <w:tab/>
      </w:r>
      <w:r>
        <w:rPr>
          <w:rFonts w:hint="eastAsia"/>
        </w:rPr>
        <w:t>该法规定以下是全国科学技术系统一体化的国家政策的基础：</w:t>
      </w:r>
    </w:p>
    <w:p w:rsidR="00000000" w:rsidRDefault="00457650" w:rsidP="00457650">
      <w:pPr>
        <w:widowControl/>
        <w:spacing w:after="240" w:line="360" w:lineRule="exact"/>
        <w:ind w:leftChars="300" w:left="31680" w:hangingChars="250" w:firstLine="31680"/>
      </w:pPr>
      <w:r>
        <w:rPr>
          <w:rFonts w:hint="eastAsia"/>
        </w:rPr>
        <w:t>一、</w:t>
      </w:r>
      <w:r>
        <w:rPr>
          <w:rFonts w:hint="eastAsia"/>
        </w:rPr>
        <w:tab/>
      </w:r>
      <w:r>
        <w:rPr>
          <w:rFonts w:hint="eastAsia"/>
        </w:rPr>
        <w:t>加强科学技术能力和研究人员的培训，以便解决国家的基本问题，促进国家发展，提高人民各方面的福利。</w:t>
      </w:r>
    </w:p>
    <w:p w:rsidR="00000000" w:rsidRDefault="00457650" w:rsidP="00457650">
      <w:pPr>
        <w:widowControl/>
        <w:spacing w:after="240" w:line="360" w:lineRule="exact"/>
        <w:ind w:leftChars="300" w:left="31680" w:hangingChars="250" w:firstLine="31680"/>
      </w:pPr>
      <w:r>
        <w:rPr>
          <w:rFonts w:hint="eastAsia"/>
        </w:rPr>
        <w:t>二、</w:t>
      </w:r>
      <w:r>
        <w:rPr>
          <w:rFonts w:hint="eastAsia"/>
        </w:rPr>
        <w:tab/>
      </w:r>
      <w:r>
        <w:rPr>
          <w:rFonts w:hint="eastAsia"/>
        </w:rPr>
        <w:t>促进与提升教育质量和开拓前沿知识有关的基础科学技术创新的发展和联系，使科学技术转化成社会一般文化必不可少的组成部分。</w:t>
      </w:r>
    </w:p>
    <w:p w:rsidR="00000000" w:rsidRDefault="00457650" w:rsidP="00457650">
      <w:pPr>
        <w:widowControl/>
        <w:spacing w:after="240" w:line="360" w:lineRule="exact"/>
        <w:ind w:leftChars="300" w:left="31680" w:hangingChars="250" w:firstLine="31680"/>
        <w:rPr>
          <w:rFonts w:hint="eastAsia"/>
        </w:rPr>
      </w:pPr>
      <w:r>
        <w:rPr>
          <w:rFonts w:hint="eastAsia"/>
        </w:rPr>
        <w:t>三、</w:t>
      </w:r>
      <w:r>
        <w:rPr>
          <w:rFonts w:hint="eastAsia"/>
        </w:rPr>
        <w:tab/>
      </w:r>
      <w:r>
        <w:rPr>
          <w:rFonts w:hint="eastAsia"/>
        </w:rPr>
        <w:t>把技术的发展与创新和生产过程结合起来，以增强国家生产部门的生产力和竞争力。</w:t>
      </w:r>
    </w:p>
    <w:p w:rsidR="00000000" w:rsidRDefault="00457650" w:rsidP="00457650">
      <w:pPr>
        <w:widowControl/>
        <w:spacing w:after="240" w:line="360" w:lineRule="exact"/>
        <w:ind w:leftChars="300" w:left="31680" w:hangingChars="250" w:firstLine="31680"/>
        <w:rPr>
          <w:rFonts w:hint="eastAsia"/>
        </w:rPr>
      </w:pPr>
      <w:r>
        <w:rPr>
          <w:rFonts w:hint="eastAsia"/>
        </w:rPr>
        <w:t>四、</w:t>
      </w:r>
      <w:r>
        <w:rPr>
          <w:rFonts w:hint="eastAsia"/>
        </w:rPr>
        <w:tab/>
      </w:r>
      <w:r>
        <w:rPr>
          <w:rFonts w:hint="eastAsia"/>
        </w:rPr>
        <w:t>各个部门，包括科学技术知识的创作者又包括科技知识的使</w:t>
      </w:r>
      <w:r>
        <w:rPr>
          <w:rFonts w:hint="eastAsia"/>
        </w:rPr>
        <w:t>用者，共同作出努力，从战略上加强各个知识领域，促进国家发展。</w:t>
      </w:r>
    </w:p>
    <w:p w:rsidR="00000000" w:rsidRDefault="00457650" w:rsidP="00457650">
      <w:pPr>
        <w:widowControl/>
        <w:spacing w:after="240" w:line="360" w:lineRule="exact"/>
        <w:ind w:leftChars="300" w:left="31680" w:hangingChars="250" w:firstLine="31680"/>
        <w:rPr>
          <w:rFonts w:hint="eastAsia"/>
        </w:rPr>
      </w:pPr>
      <w:r>
        <w:rPr>
          <w:rFonts w:hint="eastAsia"/>
        </w:rPr>
        <w:t>五、</w:t>
      </w:r>
      <w:r>
        <w:rPr>
          <w:rFonts w:hint="eastAsia"/>
        </w:rPr>
        <w:tab/>
      </w:r>
      <w:r>
        <w:rPr>
          <w:rFonts w:hint="eastAsia"/>
        </w:rPr>
        <w:t>通过分散科技活动的整体政策，促进区域发展。</w:t>
      </w:r>
    </w:p>
    <w:p w:rsidR="00000000" w:rsidRDefault="00457650" w:rsidP="00457650">
      <w:pPr>
        <w:widowControl/>
        <w:spacing w:after="240" w:line="360" w:lineRule="exact"/>
        <w:ind w:leftChars="300" w:left="31680" w:hangingChars="250" w:firstLine="31680"/>
        <w:rPr>
          <w:rFonts w:hint="eastAsia"/>
        </w:rPr>
      </w:pPr>
      <w:r>
        <w:rPr>
          <w:rFonts w:hint="eastAsia"/>
        </w:rPr>
        <w:t>六、</w:t>
      </w:r>
      <w:r>
        <w:rPr>
          <w:rFonts w:hint="eastAsia"/>
        </w:rPr>
        <w:tab/>
      </w:r>
      <w:r>
        <w:rPr>
          <w:rFonts w:hint="eastAsia"/>
        </w:rPr>
        <w:t>促进联邦政府从参与的角度确定科技资源的重点、分配和最佳使用。</w:t>
      </w:r>
    </w:p>
    <w:p w:rsidR="00000000" w:rsidRDefault="00457650">
      <w:pPr>
        <w:keepNext/>
        <w:widowControl/>
        <w:tabs>
          <w:tab w:val="left" w:pos="630"/>
        </w:tabs>
        <w:spacing w:after="240" w:line="360" w:lineRule="exact"/>
        <w:rPr>
          <w:rFonts w:eastAsia="SimHei" w:hint="eastAsia"/>
          <w:bCs/>
        </w:rPr>
      </w:pPr>
      <w:r>
        <w:rPr>
          <w:rFonts w:eastAsia="SimHei" w:hint="eastAsia"/>
          <w:bCs/>
        </w:rPr>
        <w:tab/>
      </w:r>
      <w:r>
        <w:rPr>
          <w:rFonts w:eastAsia="SimHei" w:hint="eastAsia"/>
          <w:bCs/>
        </w:rPr>
        <w:t>《建立国家科学技术委员会组织法》</w:t>
      </w:r>
    </w:p>
    <w:p w:rsidR="00000000" w:rsidRDefault="00457650">
      <w:pPr>
        <w:keepNext/>
        <w:widowControl/>
        <w:tabs>
          <w:tab w:val="left" w:pos="630"/>
        </w:tabs>
        <w:spacing w:after="240" w:line="360" w:lineRule="exact"/>
        <w:rPr>
          <w:rFonts w:hint="eastAsia"/>
        </w:rPr>
      </w:pPr>
      <w:r>
        <w:t>873.</w:t>
      </w:r>
      <w:r>
        <w:tab/>
      </w:r>
      <w:r>
        <w:rPr>
          <w:rFonts w:hint="eastAsia"/>
        </w:rPr>
        <w:t>国家科学技术委员会是</w:t>
      </w:r>
      <w:r>
        <w:rPr>
          <w:rFonts w:hint="eastAsia"/>
        </w:rPr>
        <w:t>1970</w:t>
      </w:r>
      <w:r>
        <w:rPr>
          <w:rFonts w:hint="eastAsia"/>
        </w:rPr>
        <w:t>年</w:t>
      </w:r>
      <w:r>
        <w:rPr>
          <w:rFonts w:hint="eastAsia"/>
        </w:rPr>
        <w:t>12</w:t>
      </w:r>
      <w:r>
        <w:rPr>
          <w:rFonts w:hint="eastAsia"/>
        </w:rPr>
        <w:t>月根据当年</w:t>
      </w:r>
      <w:r>
        <w:rPr>
          <w:rFonts w:hint="eastAsia"/>
        </w:rPr>
        <w:t>12</w:t>
      </w:r>
      <w:r>
        <w:rPr>
          <w:rFonts w:hint="eastAsia"/>
        </w:rPr>
        <w:t>月</w:t>
      </w:r>
      <w:r>
        <w:rPr>
          <w:rFonts w:hint="eastAsia"/>
        </w:rPr>
        <w:t>29</w:t>
      </w:r>
      <w:r>
        <w:rPr>
          <w:rFonts w:hint="eastAsia"/>
        </w:rPr>
        <w:t>日在《联邦政府公报》上发布的国会法案创建的，该法案于</w:t>
      </w:r>
      <w:r>
        <w:rPr>
          <w:rFonts w:hint="eastAsia"/>
        </w:rPr>
        <w:t>1974</w:t>
      </w:r>
      <w:r>
        <w:rPr>
          <w:rFonts w:hint="eastAsia"/>
        </w:rPr>
        <w:t>年</w:t>
      </w:r>
      <w:r>
        <w:rPr>
          <w:rFonts w:hint="eastAsia"/>
        </w:rPr>
        <w:t>12</w:t>
      </w:r>
      <w:r>
        <w:rPr>
          <w:rFonts w:hint="eastAsia"/>
        </w:rPr>
        <w:t>月</w:t>
      </w:r>
      <w:r>
        <w:rPr>
          <w:rFonts w:hint="eastAsia"/>
        </w:rPr>
        <w:t>27</w:t>
      </w:r>
      <w:r>
        <w:rPr>
          <w:rFonts w:hint="eastAsia"/>
        </w:rPr>
        <w:t>日根据颁布的法令修改。在此次修改中，对有关该机构理事会组成和职责的</w:t>
      </w:r>
      <w:r>
        <w:rPr>
          <w:rFonts w:hint="eastAsia"/>
        </w:rPr>
        <w:t>10</w:t>
      </w:r>
      <w:r>
        <w:rPr>
          <w:rFonts w:hint="eastAsia"/>
        </w:rPr>
        <w:t>项条款作了必要的更正。</w:t>
      </w:r>
    </w:p>
    <w:p w:rsidR="00000000" w:rsidRDefault="00457650">
      <w:pPr>
        <w:widowControl/>
        <w:tabs>
          <w:tab w:val="left" w:pos="630"/>
        </w:tabs>
        <w:spacing w:after="240" w:line="360" w:lineRule="exact"/>
        <w:rPr>
          <w:rFonts w:hint="eastAsia"/>
        </w:rPr>
      </w:pPr>
      <w:r>
        <w:t>874.</w:t>
      </w:r>
      <w:r>
        <w:tab/>
      </w:r>
      <w:r>
        <w:rPr>
          <w:rFonts w:hint="eastAsia"/>
        </w:rPr>
        <w:t>国家科学技术委员会的任务是进一步促进墨西哥的科学发展和技</w:t>
      </w:r>
      <w:r>
        <w:rPr>
          <w:rFonts w:hint="eastAsia"/>
        </w:rPr>
        <w:t>术现代化，培训高水平人才，提升和保持具体的研究项目，以及传播科学技术信息。</w:t>
      </w:r>
    </w:p>
    <w:p w:rsidR="00000000" w:rsidRDefault="00457650">
      <w:pPr>
        <w:widowControl/>
        <w:tabs>
          <w:tab w:val="left" w:pos="630"/>
        </w:tabs>
        <w:spacing w:after="240" w:line="360" w:lineRule="exact"/>
        <w:rPr>
          <w:rFonts w:hint="eastAsia"/>
        </w:rPr>
      </w:pPr>
      <w:r>
        <w:t>875.</w:t>
      </w:r>
      <w:r>
        <w:tab/>
      </w:r>
      <w:r>
        <w:rPr>
          <w:rFonts w:hint="eastAsia"/>
        </w:rPr>
        <w:t>国家科学技术委员会促进科学研究和技术发展的政策、行动和标准纳入了</w:t>
      </w:r>
      <w:r>
        <w:t>2000</w:t>
      </w:r>
      <w:r>
        <w:rPr>
          <w:rFonts w:hint="eastAsia"/>
        </w:rPr>
        <w:t>–</w:t>
      </w:r>
      <w:r>
        <w:t>2006</w:t>
      </w:r>
      <w:r>
        <w:rPr>
          <w:rFonts w:hint="eastAsia"/>
        </w:rPr>
        <w:t>年国家科学技术计划。</w:t>
      </w:r>
    </w:p>
    <w:p w:rsidR="00000000" w:rsidRDefault="00457650">
      <w:pPr>
        <w:widowControl/>
        <w:tabs>
          <w:tab w:val="left" w:pos="630"/>
        </w:tabs>
        <w:spacing w:after="240" w:line="360" w:lineRule="exact"/>
        <w:rPr>
          <w:rFonts w:hint="eastAsia"/>
        </w:rPr>
      </w:pPr>
      <w:r>
        <w:t>876.</w:t>
      </w:r>
      <w:r>
        <w:tab/>
      </w:r>
      <w:r>
        <w:rPr>
          <w:rFonts w:hint="eastAsia"/>
        </w:rPr>
        <w:t>国家科学技术委员会的目标是加强国家科学技术体系，满足国家的优先需要，找到针对具体问题和需要的解决办法，帮助提高人民的生活水平，它包括：</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制定该领域的国家政策。</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加强国家的科学技术能力。</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增强企业的质量、竞争力和创新力。</w:t>
      </w:r>
    </w:p>
    <w:p w:rsidR="00000000" w:rsidRDefault="00457650">
      <w:pPr>
        <w:widowControl/>
        <w:tabs>
          <w:tab w:val="left" w:pos="630"/>
        </w:tabs>
        <w:spacing w:after="240" w:line="360" w:lineRule="exact"/>
        <w:rPr>
          <w:rFonts w:hint="eastAsia"/>
        </w:rPr>
      </w:pPr>
      <w:r>
        <w:t>877.</w:t>
      </w:r>
      <w:r>
        <w:tab/>
        <w:t>2025</w:t>
      </w:r>
      <w:r>
        <w:rPr>
          <w:rFonts w:hint="eastAsia"/>
        </w:rPr>
        <w:t>年远景</w:t>
      </w:r>
    </w:p>
    <w:p w:rsidR="00000000" w:rsidRDefault="00457650">
      <w:pPr>
        <w:widowControl/>
        <w:tabs>
          <w:tab w:val="left" w:pos="630"/>
        </w:tabs>
        <w:spacing w:after="240" w:line="360" w:lineRule="exact"/>
        <w:rPr>
          <w:rFonts w:ascii="SimHei" w:eastAsia="SimHei" w:hint="eastAsia"/>
          <w:bCs/>
        </w:rPr>
      </w:pPr>
      <w:r>
        <w:rPr>
          <w:rFonts w:ascii="SimHei" w:eastAsia="SimHei" w:hint="eastAsia"/>
          <w:bCs/>
        </w:rPr>
        <w:tab/>
      </w:r>
      <w:r>
        <w:rPr>
          <w:rFonts w:ascii="SimHei" w:eastAsia="SimHei"/>
          <w:bCs/>
        </w:rPr>
        <w:t>2002</w:t>
      </w:r>
      <w:r>
        <w:rPr>
          <w:rFonts w:ascii="SimHei" w:eastAsia="SimHei" w:hint="eastAsia"/>
          <w:bCs/>
        </w:rPr>
        <w:t>年</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创立特别科学技术方案，这是全国进行积极协商的结果，科</w:t>
      </w:r>
      <w:r>
        <w:rPr>
          <w:rFonts w:hint="eastAsia"/>
        </w:rPr>
        <w:t>学家、技术专家、企业家、学者和地方长官协助制定了这一对墨西哥科学技术发展至关重要的方案。</w:t>
      </w:r>
    </w:p>
    <w:p w:rsidR="00000000" w:rsidRDefault="00457650">
      <w:pPr>
        <w:widowControl/>
        <w:tabs>
          <w:tab w:val="left" w:pos="630"/>
        </w:tabs>
        <w:spacing w:after="240" w:line="360" w:lineRule="exact"/>
        <w:rPr>
          <w:rFonts w:ascii="SimHei" w:eastAsia="SimHei" w:hint="eastAsia"/>
          <w:bCs/>
        </w:rPr>
      </w:pPr>
      <w:r>
        <w:rPr>
          <w:rFonts w:ascii="SimHei" w:eastAsia="SimHei" w:hint="eastAsia"/>
          <w:bCs/>
        </w:rPr>
        <w:tab/>
      </w:r>
      <w:r>
        <w:rPr>
          <w:rFonts w:ascii="SimHei" w:eastAsia="SimHei"/>
          <w:bCs/>
        </w:rPr>
        <w:t>2006</w:t>
      </w:r>
      <w:r>
        <w:rPr>
          <w:rFonts w:ascii="SimHei" w:eastAsia="SimHei" w:hint="eastAsia"/>
          <w:bCs/>
        </w:rPr>
        <w:t>年</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墨西哥将积极参加国际领域的知识创造、获取和传播活动，努力将科学技术领域的开支增至国内生产总值的</w:t>
      </w:r>
      <w:r>
        <w:rPr>
          <w:rFonts w:hint="eastAsia"/>
        </w:rPr>
        <w:t>1%</w:t>
      </w:r>
      <w:r>
        <w:rPr>
          <w:rFonts w:hint="eastAsia"/>
        </w:rPr>
        <w:t>。</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墨西哥的科学技术文化将大力弘扬，技术研究和发展将获得更大的成功。</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生产过程中对科技的利用将逐步促进国家的经济增长。</w:t>
      </w:r>
    </w:p>
    <w:p w:rsidR="00000000" w:rsidRDefault="00457650">
      <w:pPr>
        <w:keepLines/>
        <w:widowControl/>
        <w:tabs>
          <w:tab w:val="left" w:pos="630"/>
        </w:tabs>
        <w:spacing w:after="240" w:line="360" w:lineRule="exact"/>
        <w:rPr>
          <w:rFonts w:ascii="SimHei" w:eastAsia="SimHei" w:hint="eastAsia"/>
          <w:bCs/>
        </w:rPr>
      </w:pPr>
      <w:r>
        <w:rPr>
          <w:rFonts w:ascii="SimHei" w:eastAsia="SimHei" w:hint="eastAsia"/>
          <w:bCs/>
        </w:rPr>
        <w:tab/>
      </w:r>
      <w:r>
        <w:rPr>
          <w:rFonts w:ascii="SimHei" w:eastAsia="SimHei"/>
          <w:bCs/>
        </w:rPr>
        <w:t>2025</w:t>
      </w:r>
      <w:r>
        <w:rPr>
          <w:rFonts w:ascii="SimHei" w:eastAsia="SimHei" w:hint="eastAsia"/>
          <w:bCs/>
        </w:rPr>
        <w:t>年</w:t>
      </w:r>
    </w:p>
    <w:p w:rsidR="00000000" w:rsidRDefault="00457650" w:rsidP="00457650">
      <w:pPr>
        <w:keepLines/>
        <w:widowControl/>
        <w:numPr>
          <w:ilvl w:val="0"/>
          <w:numId w:val="1971"/>
        </w:numPr>
        <w:tabs>
          <w:tab w:val="clear" w:pos="900"/>
          <w:tab w:val="left" w:pos="1050"/>
        </w:tabs>
        <w:spacing w:after="240" w:line="360" w:lineRule="exact"/>
        <w:ind w:leftChars="300" w:left="31680"/>
      </w:pPr>
      <w:r>
        <w:rPr>
          <w:rFonts w:hint="eastAsia"/>
        </w:rPr>
        <w:t>墨西哥在研究和发展活动中的投入将达到国内总产值的</w:t>
      </w:r>
      <w:r>
        <w:rPr>
          <w:rFonts w:hint="eastAsia"/>
        </w:rPr>
        <w:t>2%</w:t>
      </w:r>
      <w:r>
        <w:rPr>
          <w:rFonts w:hint="eastAsia"/>
        </w:rPr>
        <w:t>。</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由于每个人的努力，墨西哥经济将成为世界十大经济体之一。</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墨西哥将成为世界上科学技术最发达的</w:t>
      </w:r>
      <w:r>
        <w:rPr>
          <w:rFonts w:hint="eastAsia"/>
        </w:rPr>
        <w:t>20</w:t>
      </w:r>
      <w:r>
        <w:rPr>
          <w:rFonts w:hint="eastAsia"/>
        </w:rPr>
        <w:t>个国家之一。</w:t>
      </w:r>
    </w:p>
    <w:p w:rsidR="00000000" w:rsidRDefault="00457650">
      <w:pPr>
        <w:keepNext/>
        <w:widowControl/>
        <w:tabs>
          <w:tab w:val="left" w:pos="630"/>
        </w:tabs>
        <w:spacing w:after="240" w:line="360" w:lineRule="exact"/>
        <w:rPr>
          <w:rFonts w:ascii="SimHei" w:eastAsia="SimHei"/>
          <w:bCs/>
        </w:rPr>
      </w:pPr>
      <w:r>
        <w:rPr>
          <w:rFonts w:ascii="SimHei" w:eastAsia="SimHei" w:hint="eastAsia"/>
          <w:bCs/>
        </w:rPr>
        <w:t>第</w:t>
      </w:r>
      <w:r>
        <w:rPr>
          <w:rFonts w:ascii="SimHei" w:eastAsia="SimHei" w:hint="eastAsia"/>
          <w:bCs/>
        </w:rPr>
        <w:t>70</w:t>
      </w:r>
      <w:r>
        <w:rPr>
          <w:rFonts w:ascii="SimHei" w:eastAsia="SimHei" w:hint="eastAsia"/>
          <w:bCs/>
        </w:rPr>
        <w:t>段</w:t>
      </w:r>
      <w:r>
        <w:rPr>
          <w:rFonts w:ascii="SimHei" w:eastAsia="SimHei"/>
          <w:bCs/>
        </w:rPr>
        <w:t xml:space="preserve"> </w:t>
      </w:r>
      <w:r>
        <w:rPr>
          <w:rFonts w:ascii="SimHei" w:eastAsia="SimHei"/>
          <w:bCs/>
        </w:rPr>
        <w:t>（</w:t>
      </w:r>
      <w:r>
        <w:rPr>
          <w:rFonts w:ascii="SimHei" w:eastAsia="SimHei"/>
          <w:bCs/>
        </w:rPr>
        <w:t>b</w:t>
      </w:r>
      <w:r>
        <w:rPr>
          <w:rFonts w:ascii="SimHei" w:eastAsia="SimHei"/>
          <w:bCs/>
        </w:rPr>
        <w:t>）</w:t>
      </w:r>
    </w:p>
    <w:p w:rsidR="00000000" w:rsidRDefault="00457650">
      <w:pPr>
        <w:keepNext/>
        <w:widowControl/>
        <w:tabs>
          <w:tab w:val="left" w:pos="630"/>
        </w:tabs>
        <w:spacing w:after="240" w:line="360" w:lineRule="exact"/>
      </w:pPr>
      <w:r>
        <w:t>878.</w:t>
      </w:r>
      <w:r>
        <w:tab/>
      </w:r>
      <w:r>
        <w:t>国家人类学和历史研究所</w:t>
      </w:r>
      <w:r>
        <w:rPr>
          <w:rFonts w:hint="eastAsia"/>
        </w:rPr>
        <w:t>在</w:t>
      </w:r>
      <w:r>
        <w:rPr>
          <w:rFonts w:hint="eastAsia"/>
        </w:rPr>
        <w:t>11</w:t>
      </w:r>
      <w:r>
        <w:rPr>
          <w:rFonts w:hint="eastAsia"/>
        </w:rPr>
        <w:t>个研讨会中开展了积极的学术活动，其中包括对非裔墨西哥人的研究：图像、字语形成、土著语言的语法、语言人类学、人类学和心理分析中的神话和宗教，跨民族研究和格雷罗州的人类学和历史研究。</w:t>
      </w:r>
    </w:p>
    <w:p w:rsidR="00000000" w:rsidRDefault="00457650">
      <w:pPr>
        <w:widowControl/>
        <w:tabs>
          <w:tab w:val="left" w:pos="630"/>
        </w:tabs>
        <w:spacing w:after="240" w:line="360" w:lineRule="exact"/>
        <w:rPr>
          <w:rFonts w:hint="eastAsia"/>
        </w:rPr>
      </w:pPr>
      <w:r>
        <w:t>879.</w:t>
      </w:r>
      <w:r>
        <w:tab/>
      </w:r>
      <w:r>
        <w:rPr>
          <w:rFonts w:hint="eastAsia"/>
        </w:rPr>
        <w:t>关于“奇卡诺人”研究和边疆问题的长期研讨会举办了各种讲习班，分析讨论全球化及其对经济文化所产生的影响以及理论上国际移徙的主要趋势。还举办了关于儿童和青少年问题的长期研讨会和暴力人类学课程并颁发证书，其目的在于解决这类社会问题，并控制其发生。“第一次健康大会——墨西哥东南部的疾病</w:t>
      </w:r>
      <w:r>
        <w:rPr>
          <w:rFonts w:hint="eastAsia"/>
        </w:rPr>
        <w:t>”讨论了前西班牙时代考古和生理人类学对健康和疾病的影响，以及从殖民时代到现在人们的健康状况。关于人类学和性科学的学位课程通过学术经验交流，改进了用来研究长期被忽视的课题和现象的手段，因为它妨碍对个人、团体和其他人的了解。研究人员还参加了许多国际学术论坛。</w:t>
      </w:r>
    </w:p>
    <w:p w:rsidR="00000000" w:rsidRDefault="00457650">
      <w:pPr>
        <w:widowControl/>
        <w:tabs>
          <w:tab w:val="left" w:pos="630"/>
        </w:tabs>
        <w:spacing w:after="240" w:line="360" w:lineRule="exact"/>
        <w:rPr>
          <w:rFonts w:hint="eastAsia"/>
        </w:rPr>
      </w:pPr>
      <w:r>
        <w:t>880.</w:t>
      </w:r>
      <w:r>
        <w:tab/>
      </w:r>
      <w:r>
        <w:rPr>
          <w:rFonts w:hint="eastAsia"/>
        </w:rPr>
        <w:t>大众和土著文化局利用会议、研讨会和其他活动来促进大众和土著文化创作者之间的交流。当作者或创作者完成了一个项目或一件作品并正式向他人致谢时，这体现出互惠创作的成果显著。</w:t>
      </w:r>
    </w:p>
    <w:p w:rsidR="00000000" w:rsidRDefault="00457650">
      <w:pPr>
        <w:widowControl/>
        <w:tabs>
          <w:tab w:val="left" w:pos="630"/>
        </w:tabs>
        <w:spacing w:after="240" w:line="360" w:lineRule="exact"/>
        <w:rPr>
          <w:rFonts w:ascii="SimHei" w:eastAsia="SimHei"/>
          <w:bCs/>
        </w:rPr>
      </w:pPr>
      <w:r>
        <w:rPr>
          <w:rFonts w:ascii="SimHei" w:eastAsia="SimHei" w:hint="eastAsia"/>
          <w:bCs/>
        </w:rPr>
        <w:t>第</w:t>
      </w:r>
      <w:r>
        <w:rPr>
          <w:rFonts w:ascii="SimHei" w:eastAsia="SimHei" w:hint="eastAsia"/>
          <w:bCs/>
        </w:rPr>
        <w:t>70</w:t>
      </w:r>
      <w:r>
        <w:rPr>
          <w:rFonts w:ascii="SimHei" w:eastAsia="SimHei" w:hint="eastAsia"/>
          <w:bCs/>
        </w:rPr>
        <w:t>段</w:t>
      </w:r>
      <w:r>
        <w:rPr>
          <w:rFonts w:ascii="SimHei" w:eastAsia="SimHei"/>
          <w:bCs/>
        </w:rPr>
        <w:t>（</w:t>
      </w:r>
      <w:r>
        <w:rPr>
          <w:rFonts w:ascii="SimHei" w:eastAsia="SimHei"/>
          <w:bCs/>
        </w:rPr>
        <w:t>c</w:t>
      </w:r>
      <w:r>
        <w:rPr>
          <w:rFonts w:ascii="SimHei" w:eastAsia="SimHei"/>
          <w:bCs/>
        </w:rPr>
        <w:t>）</w:t>
      </w:r>
    </w:p>
    <w:p w:rsidR="00000000" w:rsidRDefault="00457650">
      <w:pPr>
        <w:widowControl/>
        <w:tabs>
          <w:tab w:val="left" w:pos="630"/>
        </w:tabs>
        <w:spacing w:after="240" w:line="360" w:lineRule="exact"/>
        <w:rPr>
          <w:rFonts w:hint="eastAsia"/>
        </w:rPr>
      </w:pPr>
      <w:r>
        <w:t>881.</w:t>
      </w:r>
      <w:r>
        <w:tab/>
      </w:r>
      <w:r>
        <w:rPr>
          <w:rFonts w:hint="eastAsia"/>
        </w:rPr>
        <w:t>国家文化和艺术委员会通过</w:t>
      </w:r>
      <w:r>
        <w:t>国家人类学和历史研究所</w:t>
      </w:r>
      <w:r>
        <w:rPr>
          <w:rFonts w:hint="eastAsia"/>
        </w:rPr>
        <w:t>，为</w:t>
      </w:r>
      <w:r>
        <w:rPr>
          <w:rFonts w:hint="eastAsia"/>
        </w:rPr>
        <w:t>2</w:t>
      </w:r>
      <w:r>
        <w:rPr>
          <w:rFonts w:hint="eastAsia"/>
        </w:rPr>
        <w:t>003</w:t>
      </w:r>
      <w:r>
        <w:rPr>
          <w:rFonts w:hint="eastAsia"/>
        </w:rPr>
        <w:t>年</w:t>
      </w:r>
      <w:r>
        <w:rPr>
          <w:rFonts w:hint="eastAsia"/>
        </w:rPr>
        <w:t>1</w:t>
      </w:r>
      <w:r>
        <w:rPr>
          <w:rFonts w:hint="eastAsia"/>
        </w:rPr>
        <w:t>月</w:t>
      </w:r>
      <w:r>
        <w:rPr>
          <w:rFonts w:hint="eastAsia"/>
        </w:rPr>
        <w:t>22</w:t>
      </w:r>
      <w:r>
        <w:rPr>
          <w:rFonts w:hint="eastAsia"/>
        </w:rPr>
        <w:t>日墨西哥人类科学院的正式创建提供了支助。这是拉丁美洲第一个人类学科学院，由该学院研究员</w:t>
      </w:r>
      <w:r>
        <w:t>贝琪兹</w:t>
      </w:r>
      <w:r>
        <w:rPr>
          <w:rFonts w:hint="eastAsia"/>
        </w:rPr>
        <w:t>·</w:t>
      </w:r>
      <w:r>
        <w:t>芭巴</w:t>
      </w:r>
      <w:r>
        <w:rPr>
          <w:rFonts w:hint="eastAsia"/>
        </w:rPr>
        <w:t>·阿瓦特金博士任院长。科学院由</w:t>
      </w:r>
      <w:r>
        <w:rPr>
          <w:rFonts w:hint="eastAsia"/>
        </w:rPr>
        <w:t>42</w:t>
      </w:r>
      <w:r>
        <w:rPr>
          <w:rFonts w:hint="eastAsia"/>
        </w:rPr>
        <w:t>名国内和国际人类学领域著名人士组成，并得到</w:t>
      </w:r>
      <w:r>
        <w:t>国家人类学和历史研究所</w:t>
      </w:r>
      <w:r>
        <w:rPr>
          <w:rFonts w:hint="eastAsia"/>
        </w:rPr>
        <w:t>、墨西哥自治国立大学和墨西哥科学院、西班牙</w:t>
      </w:r>
      <w:r>
        <w:t>-</w:t>
      </w:r>
      <w:r>
        <w:rPr>
          <w:rFonts w:hint="eastAsia"/>
        </w:rPr>
        <w:t>美洲科学、艺术和文学院以及墨西哥历史学院的支持。它的职责之一是在墨西哥促进人类科学的传播并在海外宣传墨西哥研究者取得的进展。</w:t>
      </w:r>
    </w:p>
    <w:p w:rsidR="00000000" w:rsidRDefault="00457650">
      <w:pPr>
        <w:widowControl/>
        <w:tabs>
          <w:tab w:val="left" w:pos="630"/>
        </w:tabs>
        <w:spacing w:after="240" w:line="360" w:lineRule="exact"/>
        <w:rPr>
          <w:rFonts w:hint="eastAsia"/>
        </w:rPr>
      </w:pPr>
      <w:r>
        <w:t>882.</w:t>
      </w:r>
      <w:r>
        <w:tab/>
      </w:r>
      <w:r>
        <w:rPr>
          <w:rFonts w:hint="eastAsia"/>
        </w:rPr>
        <w:t>大众和土著文化局设立了多项基金用于帮助创作者，其中有支持城市和社区文化方案和“国家大众文化方案”。它还为在文学、工艺美术</w:t>
      </w:r>
      <w:r>
        <w:rPr>
          <w:rFonts w:hint="eastAsia"/>
        </w:rPr>
        <w:t>、戏剧、音乐等若干领域成立文化协会提供了法律指导和一般建议。</w:t>
      </w:r>
    </w:p>
    <w:p w:rsidR="00000000" w:rsidRDefault="00457650">
      <w:pPr>
        <w:widowControl/>
        <w:tabs>
          <w:tab w:val="left" w:pos="630"/>
        </w:tabs>
        <w:spacing w:after="240" w:line="360" w:lineRule="exact"/>
        <w:rPr>
          <w:rFonts w:hint="eastAsia"/>
        </w:rPr>
      </w:pPr>
      <w:r>
        <w:t>883.</w:t>
      </w:r>
      <w:r>
        <w:tab/>
      </w:r>
      <w:r>
        <w:rPr>
          <w:rFonts w:hint="eastAsia"/>
        </w:rPr>
        <w:t>国家版权局对组建保护国内外作者和相关权利持有人的集体管理团体及其运行进行了授权，保证它们遵守《联邦版权法》和版权局的规章。目前有</w:t>
      </w:r>
      <w:r>
        <w:rPr>
          <w:rFonts w:hint="eastAsia"/>
        </w:rPr>
        <w:t>12</w:t>
      </w:r>
      <w:r>
        <w:rPr>
          <w:rFonts w:hint="eastAsia"/>
        </w:rPr>
        <w:t>个集体管理版权和相关权利的团体。</w:t>
      </w:r>
    </w:p>
    <w:p w:rsidR="00000000" w:rsidRDefault="00457650">
      <w:pPr>
        <w:widowControl/>
        <w:tabs>
          <w:tab w:val="left" w:pos="630"/>
        </w:tabs>
        <w:spacing w:after="240" w:line="360" w:lineRule="exact"/>
        <w:rPr>
          <w:rFonts w:hint="eastAsia"/>
        </w:rPr>
      </w:pPr>
      <w:r>
        <w:t>884.</w:t>
      </w:r>
      <w:r>
        <w:tab/>
        <w:t>2001-2006</w:t>
      </w:r>
      <w:r>
        <w:rPr>
          <w:rFonts w:hint="eastAsia"/>
        </w:rPr>
        <w:t>年特别科学技术计划努力建立和扩大科技研究领域的能力，通过专门的教师和研究人员开展培训。同时还建立了一个机构系统，负责联络联邦公共管理机构各部门和各实体的研究中心、州立大学和高等教育机构以及各私营公司和大学的研究中心。</w:t>
      </w:r>
    </w:p>
    <w:p w:rsidR="00000000" w:rsidRDefault="00457650">
      <w:pPr>
        <w:widowControl/>
        <w:tabs>
          <w:tab w:val="left" w:pos="630"/>
        </w:tabs>
        <w:spacing w:after="240" w:line="360" w:lineRule="exact"/>
        <w:rPr>
          <w:rFonts w:hint="eastAsia"/>
        </w:rPr>
      </w:pPr>
      <w:r>
        <w:t>885.</w:t>
      </w:r>
      <w:r>
        <w:tab/>
      </w:r>
      <w:r>
        <w:rPr>
          <w:rFonts w:hint="eastAsia"/>
        </w:rPr>
        <w:t>尽管这些机构有所发</w:t>
      </w:r>
      <w:r>
        <w:rPr>
          <w:rFonts w:hint="eastAsia"/>
        </w:rPr>
        <w:t>展，但世界科学技术前进的步伐要求墨西哥建立更多专门的现代化基地，以促进科学技术研究的发展，并为这些活动分配更多的资源。尖端科学知识和技术的发展不仅是动态的，而且还日益专业化和多样化。</w:t>
      </w:r>
    </w:p>
    <w:p w:rsidR="00000000" w:rsidRDefault="00457650">
      <w:pPr>
        <w:widowControl/>
        <w:tabs>
          <w:tab w:val="left" w:pos="630"/>
        </w:tabs>
        <w:spacing w:after="240" w:line="360" w:lineRule="exact"/>
        <w:rPr>
          <w:rFonts w:hint="eastAsia"/>
        </w:rPr>
      </w:pPr>
      <w:r>
        <w:t>886.</w:t>
      </w:r>
      <w:r>
        <w:tab/>
      </w:r>
      <w:r>
        <w:rPr>
          <w:rFonts w:hint="eastAsia"/>
        </w:rPr>
        <w:t>特别科学技术方案是联邦政府在该领域的基本规划工具。其目标是综合和协调促进墨西哥科学技术活动方面的工作，它创建的目的是保证到</w:t>
      </w:r>
      <w:r>
        <w:rPr>
          <w:rFonts w:hint="eastAsia"/>
        </w:rPr>
        <w:t>2006</w:t>
      </w:r>
      <w:r>
        <w:rPr>
          <w:rFonts w:hint="eastAsia"/>
        </w:rPr>
        <w:t>年国家在实验研究和发展方面的投资达到国内总产值的</w:t>
      </w:r>
      <w:r>
        <w:rPr>
          <w:rFonts w:hint="eastAsia"/>
        </w:rPr>
        <w:t>1%</w:t>
      </w:r>
      <w:r>
        <w:rPr>
          <w:rFonts w:hint="eastAsia"/>
        </w:rPr>
        <w:t>，这需要为联邦政府的投资占</w:t>
      </w:r>
      <w:r>
        <w:rPr>
          <w:rFonts w:hint="eastAsia"/>
        </w:rPr>
        <w:t>60%</w:t>
      </w:r>
      <w:r>
        <w:rPr>
          <w:rFonts w:hint="eastAsia"/>
        </w:rPr>
        <w:t>，私营部门的投资占</w:t>
      </w:r>
      <w:r>
        <w:rPr>
          <w:rFonts w:hint="eastAsia"/>
        </w:rPr>
        <w:t>40%</w:t>
      </w:r>
      <w:r>
        <w:rPr>
          <w:rFonts w:hint="eastAsia"/>
        </w:rPr>
        <w:t>。如果国内总产值的年均增长率能达到</w:t>
      </w:r>
      <w:r>
        <w:rPr>
          <w:rFonts w:hint="eastAsia"/>
        </w:rPr>
        <w:t>5%</w:t>
      </w:r>
      <w:r>
        <w:rPr>
          <w:rFonts w:hint="eastAsia"/>
        </w:rPr>
        <w:t>，就能实现实验研究和发展投资年均增长</w:t>
      </w:r>
      <w:r>
        <w:rPr>
          <w:rFonts w:hint="eastAsia"/>
        </w:rPr>
        <w:t>22%</w:t>
      </w:r>
      <w:r>
        <w:rPr>
          <w:rFonts w:hint="eastAsia"/>
        </w:rPr>
        <w:t>的目标。</w:t>
      </w:r>
    </w:p>
    <w:p w:rsidR="00000000" w:rsidRDefault="00457650">
      <w:pPr>
        <w:widowControl/>
        <w:tabs>
          <w:tab w:val="left" w:pos="630"/>
        </w:tabs>
        <w:spacing w:after="240" w:line="360" w:lineRule="exact"/>
        <w:rPr>
          <w:rFonts w:hint="eastAsia"/>
        </w:rPr>
      </w:pPr>
      <w:r>
        <w:t>887.</w:t>
      </w:r>
      <w:r>
        <w:tab/>
      </w:r>
      <w:r>
        <w:rPr>
          <w:rFonts w:hint="eastAsia"/>
        </w:rPr>
        <w:t>该方案还提出了科学技术方面的战略、行动方针和部门项目，以便有效实现每项支出的目标，高质量地培训科学技术研究生。另外还有</w:t>
      </w:r>
      <w:r>
        <w:t>2001-2006</w:t>
      </w:r>
      <w:r>
        <w:rPr>
          <w:rFonts w:hint="eastAsia"/>
        </w:rPr>
        <w:t>年期间的实施进展检测指标。</w:t>
      </w:r>
    </w:p>
    <w:p w:rsidR="00000000" w:rsidRDefault="00457650">
      <w:pPr>
        <w:widowControl/>
        <w:tabs>
          <w:tab w:val="left" w:pos="630"/>
        </w:tabs>
        <w:spacing w:after="240" w:line="360" w:lineRule="exact"/>
        <w:rPr>
          <w:rFonts w:hint="eastAsia"/>
        </w:rPr>
      </w:pPr>
      <w:r>
        <w:t>888.</w:t>
      </w:r>
      <w:r>
        <w:tab/>
      </w:r>
      <w:r>
        <w:rPr>
          <w:rFonts w:hint="eastAsia"/>
        </w:rPr>
        <w:t>尽管重点放在增加科学技术投资上，但该方案还规定为提高资源利用效率和成效进行明确的结构改革。</w:t>
      </w:r>
    </w:p>
    <w:p w:rsidR="00000000" w:rsidRDefault="00457650">
      <w:pPr>
        <w:widowControl/>
        <w:tabs>
          <w:tab w:val="left" w:pos="630"/>
        </w:tabs>
        <w:spacing w:after="240" w:line="360" w:lineRule="exact"/>
        <w:rPr>
          <w:rFonts w:hint="eastAsia"/>
        </w:rPr>
      </w:pPr>
      <w:r>
        <w:t>889.</w:t>
      </w:r>
      <w:r>
        <w:tab/>
      </w:r>
      <w:r>
        <w:rPr>
          <w:rFonts w:hint="eastAsia"/>
        </w:rPr>
        <w:t>这一任务只有通过社会、学术部门、生产部门、州政府和联邦政府的联合努力才能实现。必须让这些参与者相信它们的科技投资会获得丰厚的社会和个人回报。在</w:t>
      </w:r>
      <w:r>
        <w:rPr>
          <w:rFonts w:hint="eastAsia"/>
        </w:rPr>
        <w:t>2006</w:t>
      </w:r>
      <w:r>
        <w:rPr>
          <w:rFonts w:hint="eastAsia"/>
        </w:rPr>
        <w:t>年以前，墨西哥必须大量增加研究和技术发展方面的专门人员，并增加对基</w:t>
      </w:r>
      <w:r>
        <w:rPr>
          <w:rFonts w:hint="eastAsia"/>
        </w:rPr>
        <w:t>础设施和实验室的投资。只有这样，墨西哥才能在提倡竞争和开放并要求致力于科学技术的“新经济”中取得成功。</w:t>
      </w:r>
    </w:p>
    <w:p w:rsidR="00000000" w:rsidRDefault="00457650">
      <w:pPr>
        <w:widowControl/>
        <w:tabs>
          <w:tab w:val="left" w:pos="630"/>
        </w:tabs>
        <w:spacing w:after="240" w:line="360" w:lineRule="exact"/>
        <w:rPr>
          <w:rFonts w:hint="eastAsia"/>
        </w:rPr>
      </w:pPr>
      <w:r>
        <w:t>890.</w:t>
      </w:r>
      <w:r>
        <w:tab/>
      </w:r>
      <w:r>
        <w:rPr>
          <w:rFonts w:hint="eastAsia"/>
        </w:rPr>
        <w:t>特别科学技术方案帮助联邦公共管理机构各部门和各实体更有效地进行科技投资，避免重复并充分利用协同效应。该方案还体现了生产部门和公共部门所做的努力，这些部门把技术进步融入国家企业的生产过程，以及对生产和教育机构日益急需的人才的培养中。联邦政府和州政府之间的合作反映在应对和满足这些需要的联合行动中。</w:t>
      </w:r>
    </w:p>
    <w:p w:rsidR="00000000" w:rsidRDefault="00457650">
      <w:pPr>
        <w:keepNext/>
        <w:widowControl/>
        <w:tabs>
          <w:tab w:val="left" w:pos="630"/>
        </w:tabs>
        <w:spacing w:after="240" w:line="360" w:lineRule="exact"/>
        <w:rPr>
          <w:rFonts w:ascii="SimHei" w:eastAsia="SimHei" w:hint="eastAsia"/>
          <w:bCs/>
        </w:rPr>
      </w:pPr>
      <w:r>
        <w:rPr>
          <w:rFonts w:ascii="SimHei" w:eastAsia="SimHei" w:hint="eastAsia"/>
          <w:bCs/>
        </w:rPr>
        <w:tab/>
      </w:r>
      <w:r>
        <w:rPr>
          <w:rFonts w:ascii="SimHei" w:eastAsia="SimHei" w:hint="eastAsia"/>
          <w:bCs/>
        </w:rPr>
        <w:t>困难</w:t>
      </w:r>
    </w:p>
    <w:p w:rsidR="00000000" w:rsidRDefault="00457650">
      <w:pPr>
        <w:keepNext/>
        <w:widowControl/>
        <w:tabs>
          <w:tab w:val="left" w:pos="630"/>
        </w:tabs>
        <w:spacing w:after="240" w:line="360" w:lineRule="exact"/>
        <w:rPr>
          <w:rFonts w:hint="eastAsia"/>
        </w:rPr>
      </w:pPr>
      <w:r>
        <w:t>891.</w:t>
      </w:r>
      <w:r>
        <w:tab/>
      </w:r>
      <w:r>
        <w:rPr>
          <w:rFonts w:hint="eastAsia"/>
        </w:rPr>
        <w:t>实现上述目标需要：</w:t>
      </w:r>
    </w:p>
    <w:p w:rsidR="00000000" w:rsidRDefault="00457650" w:rsidP="00457650">
      <w:pPr>
        <w:widowControl/>
        <w:tabs>
          <w:tab w:val="left" w:pos="630"/>
        </w:tabs>
        <w:spacing w:after="240" w:line="360" w:lineRule="exact"/>
        <w:ind w:leftChars="300" w:left="31680" w:hangingChars="200" w:firstLine="31680"/>
        <w:rPr>
          <w:rFonts w:hint="eastAsia"/>
        </w:rPr>
      </w:pPr>
      <w:r>
        <w:t>1.</w:t>
      </w:r>
      <w:r>
        <w:tab/>
      </w:r>
      <w:r>
        <w:rPr>
          <w:rFonts w:hint="eastAsia"/>
        </w:rPr>
        <w:t>政府为部门基金、联合基金和机构基金提供资源，以增加实验研究</w:t>
      </w:r>
      <w:r>
        <w:rPr>
          <w:rFonts w:hint="eastAsia"/>
        </w:rPr>
        <w:t>和发展方面的联邦投资。</w:t>
      </w:r>
    </w:p>
    <w:p w:rsidR="00000000" w:rsidRDefault="00457650" w:rsidP="00457650">
      <w:pPr>
        <w:widowControl/>
        <w:tabs>
          <w:tab w:val="left" w:pos="630"/>
        </w:tabs>
        <w:spacing w:after="240" w:line="360" w:lineRule="exact"/>
        <w:ind w:leftChars="300" w:left="31680" w:hangingChars="200" w:firstLine="31680"/>
        <w:rPr>
          <w:rFonts w:hint="eastAsia"/>
        </w:rPr>
      </w:pPr>
      <w:r>
        <w:t>2.</w:t>
      </w:r>
      <w:r>
        <w:tab/>
      </w:r>
      <w:r>
        <w:rPr>
          <w:rFonts w:hint="eastAsia"/>
        </w:rPr>
        <w:t>私人生产部门在实验研究发展方面的投资每年增加</w:t>
      </w:r>
      <w:r>
        <w:rPr>
          <w:rFonts w:hint="eastAsia"/>
        </w:rPr>
        <w:t>33%</w:t>
      </w:r>
      <w:r>
        <w:rPr>
          <w:rFonts w:hint="eastAsia"/>
        </w:rPr>
        <w:t>，这意味着大公司必须至少将其营业额的</w:t>
      </w:r>
      <w:r>
        <w:rPr>
          <w:rFonts w:hint="eastAsia"/>
        </w:rPr>
        <w:t>1%</w:t>
      </w:r>
      <w:r>
        <w:rPr>
          <w:rFonts w:hint="eastAsia"/>
        </w:rPr>
        <w:t>用于此类活动。</w:t>
      </w:r>
    </w:p>
    <w:p w:rsidR="00000000" w:rsidRDefault="00457650">
      <w:pPr>
        <w:widowControl/>
        <w:tabs>
          <w:tab w:val="left" w:pos="630"/>
        </w:tabs>
        <w:spacing w:after="240" w:line="360" w:lineRule="exact"/>
        <w:rPr>
          <w:rFonts w:hint="eastAsia"/>
        </w:rPr>
      </w:pPr>
      <w:r>
        <w:t>892.</w:t>
      </w:r>
      <w:r>
        <w:tab/>
      </w:r>
      <w:r>
        <w:rPr>
          <w:rFonts w:hint="eastAsia"/>
        </w:rPr>
        <w:t>若要充分满足研究机构和组织的支助要求，还需要进一步增加资源。</w:t>
      </w:r>
    </w:p>
    <w:p w:rsidR="00000000" w:rsidRDefault="00457650">
      <w:pPr>
        <w:keepNext/>
        <w:widowControl/>
        <w:tabs>
          <w:tab w:val="left" w:pos="630"/>
        </w:tabs>
        <w:spacing w:after="240" w:line="360" w:lineRule="exact"/>
        <w:rPr>
          <w:rFonts w:ascii="SimHei" w:eastAsia="SimHei"/>
          <w:bCs/>
        </w:rPr>
      </w:pPr>
      <w:r>
        <w:rPr>
          <w:rFonts w:ascii="SimHei" w:eastAsia="SimHei" w:hint="eastAsia"/>
          <w:bCs/>
        </w:rPr>
        <w:t>第</w:t>
      </w:r>
      <w:r>
        <w:rPr>
          <w:rFonts w:ascii="SimHei" w:eastAsia="SimHei" w:hint="eastAsia"/>
          <w:bCs/>
        </w:rPr>
        <w:t>71</w:t>
      </w:r>
      <w:r>
        <w:rPr>
          <w:rFonts w:ascii="SimHei" w:eastAsia="SimHei" w:hint="eastAsia"/>
          <w:bCs/>
        </w:rPr>
        <w:t>段</w:t>
      </w:r>
      <w:r>
        <w:rPr>
          <w:rFonts w:ascii="SimHei" w:eastAsia="SimHei"/>
          <w:bCs/>
        </w:rPr>
        <w:t>（</w:t>
      </w:r>
      <w:r>
        <w:rPr>
          <w:rFonts w:ascii="SimHei" w:eastAsia="SimHei"/>
          <w:bCs/>
        </w:rPr>
        <w:t>a</w:t>
      </w:r>
      <w:r>
        <w:rPr>
          <w:rFonts w:ascii="SimHei" w:eastAsia="SimHei"/>
          <w:bCs/>
        </w:rPr>
        <w:t>）</w:t>
      </w:r>
    </w:p>
    <w:p w:rsidR="00000000" w:rsidRDefault="00457650">
      <w:pPr>
        <w:keepNext/>
        <w:widowControl/>
        <w:tabs>
          <w:tab w:val="left" w:pos="630"/>
        </w:tabs>
        <w:spacing w:after="240" w:line="360" w:lineRule="exact"/>
        <w:rPr>
          <w:rFonts w:hint="eastAsia"/>
          <w:spacing w:val="-2"/>
        </w:rPr>
      </w:pPr>
      <w:r>
        <w:rPr>
          <w:spacing w:val="-2"/>
        </w:rPr>
        <w:t>893.</w:t>
      </w:r>
      <w:r>
        <w:rPr>
          <w:spacing w:val="-2"/>
        </w:rPr>
        <w:tab/>
      </w:r>
      <w:r>
        <w:rPr>
          <w:rFonts w:hint="eastAsia"/>
          <w:spacing w:val="-2"/>
        </w:rPr>
        <w:t>国家文化和艺术委员会积极参加了与实施文化合作方案的国家举行的双边会议，并在此基础上开展合作活动。它的代表还参加了多边和区域国际论坛，阐述墨西哥的立场，特别是文化多样性和保护保存有形无形文化遗产方面的观点。</w:t>
      </w:r>
    </w:p>
    <w:p w:rsidR="00000000" w:rsidRDefault="00457650">
      <w:pPr>
        <w:widowControl/>
        <w:tabs>
          <w:tab w:val="left" w:pos="630"/>
        </w:tabs>
        <w:spacing w:after="240" w:line="360" w:lineRule="exact"/>
        <w:rPr>
          <w:rFonts w:hint="eastAsia"/>
        </w:rPr>
      </w:pPr>
      <w:r>
        <w:t>894.</w:t>
      </w:r>
      <w:r>
        <w:tab/>
      </w:r>
      <w:r>
        <w:rPr>
          <w:rFonts w:hint="eastAsia"/>
        </w:rPr>
        <w:t>国际合作一直是墨西哥外交政策的一个工具，这一点已于</w:t>
      </w:r>
      <w:r>
        <w:rPr>
          <w:rFonts w:hint="eastAsia"/>
        </w:rPr>
        <w:t>1998</w:t>
      </w:r>
      <w:r>
        <w:rPr>
          <w:rFonts w:hint="eastAsia"/>
        </w:rPr>
        <w:t>年列</w:t>
      </w:r>
      <w:r>
        <w:rPr>
          <w:rFonts w:hint="eastAsia"/>
        </w:rPr>
        <w:t>入《宪法》第</w:t>
      </w:r>
      <w:r>
        <w:rPr>
          <w:rFonts w:hint="eastAsia"/>
        </w:rPr>
        <w:t>89</w:t>
      </w:r>
      <w:r>
        <w:rPr>
          <w:rFonts w:hint="eastAsia"/>
        </w:rPr>
        <w:t>条。它被认为是加强国际团结的一项主要措施，是对国家发展努力的补充。为此，国家文化和艺术委员会与各国家签署了大约</w:t>
      </w:r>
      <w:r>
        <w:rPr>
          <w:rFonts w:hint="eastAsia"/>
        </w:rPr>
        <w:t>130</w:t>
      </w:r>
      <w:r>
        <w:rPr>
          <w:rFonts w:hint="eastAsia"/>
        </w:rPr>
        <w:t>项跨机构合作协议，相关领域包括考古、人类学、文化遗产、艺术园地、广播、电视和电影。</w:t>
      </w:r>
    </w:p>
    <w:p w:rsidR="00000000" w:rsidRDefault="00457650">
      <w:pPr>
        <w:widowControl/>
        <w:tabs>
          <w:tab w:val="left" w:pos="630"/>
        </w:tabs>
        <w:spacing w:after="240" w:line="360" w:lineRule="exact"/>
        <w:rPr>
          <w:rFonts w:hint="eastAsia"/>
        </w:rPr>
      </w:pPr>
      <w:r>
        <w:t>895.</w:t>
      </w:r>
      <w:r>
        <w:tab/>
      </w:r>
      <w:r>
        <w:rPr>
          <w:rFonts w:hint="eastAsia"/>
        </w:rPr>
        <w:t>还在以下方面开展了合作：</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在</w:t>
      </w:r>
      <w:r>
        <w:rPr>
          <w:rFonts w:hint="eastAsia"/>
        </w:rPr>
        <w:t>1998</w:t>
      </w:r>
      <w:r>
        <w:rPr>
          <w:rFonts w:hint="eastAsia"/>
        </w:rPr>
        <w:t>年</w:t>
      </w:r>
      <w:r>
        <w:rPr>
          <w:rFonts w:hint="eastAsia"/>
        </w:rPr>
        <w:t>6</w:t>
      </w:r>
      <w:r>
        <w:rPr>
          <w:rFonts w:hint="eastAsia"/>
        </w:rPr>
        <w:t>月</w:t>
      </w:r>
      <w:r>
        <w:rPr>
          <w:rFonts w:hint="eastAsia"/>
        </w:rPr>
        <w:t>10</w:t>
      </w:r>
      <w:r>
        <w:rPr>
          <w:rFonts w:hint="eastAsia"/>
        </w:rPr>
        <w:t>日和</w:t>
      </w:r>
      <w:r>
        <w:rPr>
          <w:rFonts w:hint="eastAsia"/>
        </w:rPr>
        <w:t>11</w:t>
      </w:r>
      <w:r>
        <w:rPr>
          <w:rFonts w:hint="eastAsia"/>
        </w:rPr>
        <w:t>日在华盛顿特区举行的“墨西哥</w:t>
      </w:r>
      <w:r>
        <w:t>-</w:t>
      </w:r>
      <w:r>
        <w:rPr>
          <w:rFonts w:hint="eastAsia"/>
        </w:rPr>
        <w:t>美国双边委员会”第</w:t>
      </w:r>
      <w:r>
        <w:rPr>
          <w:rFonts w:hint="eastAsia"/>
        </w:rPr>
        <w:t>15</w:t>
      </w:r>
      <w:r>
        <w:rPr>
          <w:rFonts w:hint="eastAsia"/>
        </w:rPr>
        <w:t>次会议上，</w:t>
      </w:r>
      <w:r>
        <w:t>国家人类学和历史研究所</w:t>
      </w:r>
      <w:r>
        <w:rPr>
          <w:rFonts w:hint="eastAsia"/>
        </w:rPr>
        <w:t>和美国国家公园管理局之间签订了合作协议，进行专家交流和举行文化活动。</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于</w:t>
      </w:r>
      <w:r>
        <w:rPr>
          <w:rFonts w:hint="eastAsia"/>
        </w:rPr>
        <w:t>2001</w:t>
      </w:r>
      <w:r>
        <w:rPr>
          <w:rFonts w:hint="eastAsia"/>
        </w:rPr>
        <w:t>年签署了一项协议，通过</w:t>
      </w:r>
      <w:r>
        <w:t>国家人类学和历史研究所</w:t>
      </w:r>
      <w:r>
        <w:rPr>
          <w:rFonts w:hint="eastAsia"/>
        </w:rPr>
        <w:t>在</w:t>
      </w:r>
      <w:r>
        <w:t>圣路易斯波托亚</w:t>
      </w:r>
      <w:r>
        <w:rPr>
          <w:rFonts w:hint="eastAsia"/>
        </w:rPr>
        <w:t>州政府、</w:t>
      </w:r>
      <w:r>
        <w:t>Banamex</w:t>
      </w:r>
      <w:r>
        <w:rPr>
          <w:rFonts w:hint="eastAsia"/>
        </w:rPr>
        <w:t>文化促进协会和国家文化和艺术委员会之间设立一个信托基金，来推动</w:t>
      </w:r>
      <w:r>
        <w:t>Tamtok</w:t>
      </w:r>
      <w:r>
        <w:rPr>
          <w:rFonts w:hint="eastAsia"/>
        </w:rPr>
        <w:t>考古遗址的研究。</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为了防止保存在教堂的联邦可移动财产被盗，</w:t>
      </w:r>
      <w:r>
        <w:rPr>
          <w:rFonts w:hint="eastAsia"/>
        </w:rPr>
        <w:t>2001</w:t>
      </w:r>
      <w:r>
        <w:rPr>
          <w:rFonts w:hint="eastAsia"/>
        </w:rPr>
        <w:t>年</w:t>
      </w:r>
      <w:r>
        <w:t>特拉斯卡拉</w:t>
      </w:r>
      <w:r>
        <w:rPr>
          <w:rFonts w:hint="eastAsia"/>
        </w:rPr>
        <w:t>州政府、当地大主教和</w:t>
      </w:r>
      <w:r>
        <w:t>国家人类学和历史研究所</w:t>
      </w:r>
      <w:r>
        <w:rPr>
          <w:rFonts w:hint="eastAsia"/>
        </w:rPr>
        <w:t>签署了一项协议，决定采取联合行动打击类似犯罪活动。</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另外，在</w:t>
      </w:r>
      <w:r>
        <w:rPr>
          <w:rFonts w:hint="eastAsia"/>
        </w:rPr>
        <w:t>2002</w:t>
      </w:r>
      <w:r>
        <w:rPr>
          <w:rFonts w:hint="eastAsia"/>
        </w:rPr>
        <w:t>年，</w:t>
      </w:r>
      <w:r>
        <w:t>特拉斯卡拉</w:t>
      </w:r>
      <w:r>
        <w:rPr>
          <w:rFonts w:hint="eastAsia"/>
        </w:rPr>
        <w:t>州政府签订了一个合作协议，这是第一个此类联邦协议。它涉及当地宗教区域可移动财产的登记造册，以及防止此类遗产的转让、破坏、抢劫或非法运输。</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另外，</w:t>
      </w:r>
      <w:r>
        <w:rPr>
          <w:rFonts w:hint="eastAsia"/>
        </w:rPr>
        <w:t>2001</w:t>
      </w:r>
      <w:r>
        <w:rPr>
          <w:rFonts w:hint="eastAsia"/>
        </w:rPr>
        <w:t>年</w:t>
      </w:r>
      <w:r>
        <w:t>普埃布拉</w:t>
      </w:r>
      <w:r>
        <w:rPr>
          <w:rFonts w:hint="eastAsia"/>
        </w:rPr>
        <w:t>州和该州大主教也签署了合作协议，保证通过对神职机构和负责清点</w:t>
      </w:r>
      <w:r>
        <w:rPr>
          <w:rFonts w:hint="eastAsia"/>
        </w:rPr>
        <w:t>登记教堂动产的州政府工作人员进行培训，保护宗教艺术。</w:t>
      </w:r>
    </w:p>
    <w:p w:rsidR="00000000" w:rsidRDefault="00457650">
      <w:pPr>
        <w:widowControl/>
        <w:tabs>
          <w:tab w:val="left" w:pos="630"/>
        </w:tabs>
        <w:spacing w:after="240" w:line="360" w:lineRule="exact"/>
        <w:rPr>
          <w:rFonts w:hint="eastAsia"/>
        </w:rPr>
      </w:pPr>
      <w:r>
        <w:t>896.</w:t>
      </w:r>
      <w:r>
        <w:tab/>
      </w:r>
      <w:r>
        <w:rPr>
          <w:rFonts w:hint="eastAsia"/>
        </w:rPr>
        <w:t>国家版权局在国际领域确立了它的战略地位，以便通过参与墨西哥政策的制定，表明墨西哥作家团体的观点和利益，并表明它在国际论坛和组织所持的立场，其中包括：</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世界知识产权组织</w:t>
      </w:r>
      <w:r>
        <w:t>（</w:t>
      </w:r>
      <w:r>
        <w:t>WIPO</w:t>
      </w:r>
      <w:r>
        <w:t>）</w:t>
      </w:r>
      <w:r>
        <w:rPr>
          <w:rFonts w:hint="eastAsia"/>
        </w:rPr>
        <w:t>，</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美洲自由贸易区</w:t>
      </w:r>
      <w:r>
        <w:t>,</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亚太经济合作论坛</w:t>
      </w:r>
      <w:r>
        <w:t>（</w:t>
      </w:r>
      <w:r>
        <w:t>APEC</w:t>
      </w:r>
      <w:r>
        <w:t>）</w:t>
      </w:r>
      <w:r>
        <w:rPr>
          <w:rFonts w:hint="eastAsia"/>
        </w:rPr>
        <w:t>。</w:t>
      </w:r>
    </w:p>
    <w:p w:rsidR="00000000" w:rsidRDefault="00457650">
      <w:pPr>
        <w:widowControl/>
        <w:tabs>
          <w:tab w:val="left" w:pos="630"/>
        </w:tabs>
        <w:spacing w:after="240" w:line="360" w:lineRule="exact"/>
        <w:rPr>
          <w:rFonts w:hint="eastAsia"/>
        </w:rPr>
      </w:pPr>
      <w:r>
        <w:t>897.</w:t>
      </w:r>
      <w:r>
        <w:tab/>
      </w:r>
      <w:r>
        <w:rPr>
          <w:rFonts w:hint="eastAsia"/>
        </w:rPr>
        <w:t>它还积极参加了涉及工业产权的自由贸易协定的谈判。</w:t>
      </w:r>
    </w:p>
    <w:p w:rsidR="00000000" w:rsidRDefault="00457650">
      <w:pPr>
        <w:widowControl/>
        <w:tabs>
          <w:tab w:val="left" w:pos="630"/>
        </w:tabs>
        <w:spacing w:after="240" w:line="360" w:lineRule="exact"/>
        <w:rPr>
          <w:rFonts w:hint="eastAsia"/>
        </w:rPr>
      </w:pPr>
      <w:r>
        <w:t>898.</w:t>
      </w:r>
      <w:r>
        <w:tab/>
      </w:r>
      <w:r>
        <w:rPr>
          <w:rFonts w:hint="eastAsia"/>
        </w:rPr>
        <w:t>“国际合作”一词指分散的国家社会在寻求经济发展和社会福利领域的共同利益时进行交流而形成的一系列行动，或者联合国系统各国际组织与区域、政府间和非政府</w:t>
      </w:r>
      <w:r>
        <w:rPr>
          <w:rFonts w:hint="eastAsia"/>
        </w:rPr>
        <w:t>组织开展的有利于特定国际利益的行动。因此说，国际合作就是动员财力、人力和技术资源，促进国际发展。</w:t>
      </w:r>
    </w:p>
    <w:p w:rsidR="00000000" w:rsidRDefault="00457650">
      <w:pPr>
        <w:widowControl/>
        <w:tabs>
          <w:tab w:val="left" w:pos="630"/>
        </w:tabs>
        <w:spacing w:after="240" w:line="360" w:lineRule="exact"/>
        <w:rPr>
          <w:rFonts w:hint="eastAsia"/>
        </w:rPr>
      </w:pPr>
      <w:r>
        <w:t>899.</w:t>
      </w:r>
      <w:r>
        <w:tab/>
      </w:r>
      <w:r>
        <w:rPr>
          <w:rFonts w:hint="eastAsia"/>
        </w:rPr>
        <w:t>目前可以区分的国际发展合作领域包括：科学、技术、工艺、教育、文化、交通、能源、金融和贸易。这里特别令人感兴趣的是技术和科学合作，它有助于国家融入动态的国际变化之中，它的特点是科学知识的显著进步、技术的变革以及随后的生产工艺变革。</w:t>
      </w:r>
    </w:p>
    <w:p w:rsidR="00000000" w:rsidRDefault="00457650">
      <w:pPr>
        <w:widowControl/>
        <w:tabs>
          <w:tab w:val="left" w:pos="630"/>
        </w:tabs>
        <w:spacing w:after="240" w:line="360" w:lineRule="exact"/>
        <w:rPr>
          <w:rFonts w:hint="eastAsia"/>
        </w:rPr>
      </w:pPr>
      <w:r>
        <w:t>900.</w:t>
      </w:r>
      <w:r>
        <w:tab/>
      </w:r>
      <w:r>
        <w:rPr>
          <w:rFonts w:hint="eastAsia"/>
        </w:rPr>
        <w:t>技术和科学合作包括资源、知识、专长、技术和经验的交流，这可以在最广泛的领域使国家的能力与国际能力联系起来；它聚集了发展扩大尖端科学知识的机制，并促进了技术产品的共同</w:t>
      </w:r>
      <w:r>
        <w:rPr>
          <w:rFonts w:hint="eastAsia"/>
        </w:rPr>
        <w:t>开发。</w:t>
      </w:r>
    </w:p>
    <w:p w:rsidR="00000000" w:rsidRDefault="00457650">
      <w:pPr>
        <w:widowControl/>
        <w:tabs>
          <w:tab w:val="left" w:pos="630"/>
        </w:tabs>
        <w:spacing w:after="240" w:line="360" w:lineRule="exact"/>
        <w:rPr>
          <w:rFonts w:hint="eastAsia"/>
        </w:rPr>
      </w:pPr>
      <w:r>
        <w:t>901.</w:t>
      </w:r>
      <w:r>
        <w:tab/>
      </w:r>
      <w:r>
        <w:rPr>
          <w:rFonts w:hint="eastAsia"/>
        </w:rPr>
        <w:t>对墨西哥而言，国际合作是其外交政策的基本手段和行动机制，有助于促进、扩大、加强和推进与世界其他国家的交流，推动社会的发展。这一主张是有道理的，事实证明，国际合作被奉为制定标准的原则之一，根据《墨西哥合众国宪法》第</w:t>
      </w:r>
      <w:r>
        <w:rPr>
          <w:rFonts w:hint="eastAsia"/>
        </w:rPr>
        <w:t>89</w:t>
      </w:r>
      <w:r>
        <w:rPr>
          <w:rFonts w:hint="eastAsia"/>
        </w:rPr>
        <w:t>条第</w:t>
      </w:r>
      <w:r>
        <w:rPr>
          <w:rFonts w:hint="eastAsia"/>
        </w:rPr>
        <w:t>10</w:t>
      </w:r>
      <w:r>
        <w:rPr>
          <w:rFonts w:hint="eastAsia"/>
        </w:rPr>
        <w:t>款，行政部门在推行外交政策时必须遵从这项原则。</w:t>
      </w:r>
    </w:p>
    <w:p w:rsidR="00000000" w:rsidRDefault="00457650">
      <w:pPr>
        <w:widowControl/>
        <w:tabs>
          <w:tab w:val="left" w:pos="630"/>
        </w:tabs>
        <w:spacing w:after="240" w:line="360" w:lineRule="exact"/>
        <w:rPr>
          <w:rFonts w:hint="eastAsia"/>
        </w:rPr>
      </w:pPr>
      <w:r>
        <w:t>902.</w:t>
      </w:r>
      <w:r>
        <w:tab/>
      </w:r>
      <w:r>
        <w:rPr>
          <w:rFonts w:hint="eastAsia"/>
        </w:rPr>
        <w:t>墨西哥国际技术合作和科学政策的目标是促进加强国家的能力，实施有利于社会综合持久发展的计划，并促进外交关系的均衡发展。</w:t>
      </w:r>
    </w:p>
    <w:p w:rsidR="00000000" w:rsidRDefault="00457650">
      <w:pPr>
        <w:widowControl/>
        <w:tabs>
          <w:tab w:val="left" w:pos="630"/>
        </w:tabs>
        <w:spacing w:after="240" w:line="360" w:lineRule="exact"/>
        <w:rPr>
          <w:rFonts w:hint="eastAsia"/>
        </w:rPr>
      </w:pPr>
      <w:r>
        <w:t>903.</w:t>
      </w:r>
      <w:r>
        <w:tab/>
      </w:r>
      <w:r>
        <w:rPr>
          <w:rFonts w:hint="eastAsia"/>
        </w:rPr>
        <w:t>技术和科学合作局隶属于经济关系和国际合作署，它负责协助墨西哥在技术、科学和工艺各个领</w:t>
      </w:r>
      <w:r>
        <w:rPr>
          <w:rFonts w:hint="eastAsia"/>
        </w:rPr>
        <w:t>域与工业化国家、半发达国家和发展中国家以及多边组织和国际论坛进行合作。</w:t>
      </w:r>
    </w:p>
    <w:p w:rsidR="00000000" w:rsidRDefault="00457650">
      <w:pPr>
        <w:widowControl/>
        <w:tabs>
          <w:tab w:val="left" w:pos="630"/>
        </w:tabs>
        <w:spacing w:after="240" w:line="360" w:lineRule="exact"/>
        <w:rPr>
          <w:rFonts w:hint="eastAsia"/>
        </w:rPr>
      </w:pPr>
      <w:r>
        <w:t>904.</w:t>
      </w:r>
      <w:r>
        <w:tab/>
      </w:r>
      <w:r>
        <w:rPr>
          <w:rFonts w:hint="eastAsia"/>
        </w:rPr>
        <w:t>墨西哥国际合作战略的基础是，各国通过经验、能力和人才的交流，实现互惠，加强联系，减少实施综合性人类发展项目的代价。</w:t>
      </w:r>
    </w:p>
    <w:p w:rsidR="00000000" w:rsidRDefault="00457650">
      <w:pPr>
        <w:widowControl/>
        <w:tabs>
          <w:tab w:val="left" w:pos="630"/>
        </w:tabs>
        <w:spacing w:after="240" w:line="360" w:lineRule="exact"/>
        <w:rPr>
          <w:rFonts w:hint="eastAsia"/>
        </w:rPr>
      </w:pPr>
      <w:r>
        <w:t>905.</w:t>
      </w:r>
      <w:r>
        <w:tab/>
      </w:r>
      <w:r>
        <w:rPr>
          <w:rFonts w:hint="eastAsia"/>
        </w:rPr>
        <w:t>技术和科学合作局致力于四个领域的双边、地区和多边技术、科学及技术合作。技术、科学和技术合作通过以下方式完成：</w:t>
      </w:r>
    </w:p>
    <w:p w:rsidR="00000000" w:rsidRDefault="00457650" w:rsidP="00457650">
      <w:pPr>
        <w:widowControl/>
        <w:tabs>
          <w:tab w:val="left" w:pos="630"/>
        </w:tabs>
        <w:spacing w:after="240" w:line="360" w:lineRule="exact"/>
        <w:ind w:leftChars="300" w:left="31680" w:hangingChars="200" w:firstLine="31680"/>
        <w:rPr>
          <w:rFonts w:hint="eastAsia"/>
        </w:rPr>
      </w:pPr>
      <w:r>
        <w:t>A.</w:t>
      </w:r>
      <w:r>
        <w:tab/>
      </w:r>
      <w:r>
        <w:rPr>
          <w:rFonts w:hint="eastAsia"/>
        </w:rPr>
        <w:t>墨西哥与工业化国家的合作采取联合参与、共同筹资和自我可持续发展的形式。合作项目主要在国家发展计划确定的优先部门执行，合作活动旨在促进社会参与、整合技术、吸收尖端技术，以及为最弱势地区和群体</w:t>
      </w:r>
      <w:r>
        <w:rPr>
          <w:rFonts w:hint="eastAsia"/>
        </w:rPr>
        <w:t>的社会发展做出贡献。</w:t>
      </w:r>
    </w:p>
    <w:p w:rsidR="00000000" w:rsidRDefault="00457650" w:rsidP="00457650">
      <w:pPr>
        <w:widowControl/>
        <w:tabs>
          <w:tab w:val="left" w:pos="630"/>
        </w:tabs>
        <w:spacing w:after="240" w:line="360" w:lineRule="exact"/>
        <w:ind w:leftChars="300" w:left="31680" w:hangingChars="200" w:firstLine="31680"/>
        <w:rPr>
          <w:rFonts w:hint="eastAsia"/>
        </w:rPr>
      </w:pPr>
      <w:r>
        <w:t>B.</w:t>
      </w:r>
      <w:r>
        <w:tab/>
      </w:r>
      <w:r>
        <w:rPr>
          <w:rFonts w:hint="eastAsia"/>
        </w:rPr>
        <w:t>它还力求促进各联邦、州和学术机构及管理当局、技术发展中心以及旨在促进民间社会妇女更广泛参与的私营部门中心的联合参与。</w:t>
      </w:r>
    </w:p>
    <w:p w:rsidR="00000000" w:rsidRDefault="00457650" w:rsidP="00457650">
      <w:pPr>
        <w:widowControl/>
        <w:tabs>
          <w:tab w:val="left" w:pos="630"/>
        </w:tabs>
        <w:spacing w:after="240" w:line="360" w:lineRule="exact"/>
        <w:ind w:leftChars="300" w:left="31680" w:hangingChars="200" w:firstLine="31680"/>
        <w:rPr>
          <w:rFonts w:hint="eastAsia"/>
        </w:rPr>
      </w:pPr>
      <w:r>
        <w:t>C.</w:t>
      </w:r>
      <w:r>
        <w:tab/>
      </w:r>
      <w:r>
        <w:rPr>
          <w:rFonts w:hint="eastAsia"/>
        </w:rPr>
        <w:t>墨西哥很多公共机构都在与半发达国家和发展中国家共同开展技术合作、科学和技术活动及项目。衡量这类项目的标准包括结构能力的补充性、适宜性、相关性和生存能力，以及互利合作筹资。</w:t>
      </w:r>
    </w:p>
    <w:p w:rsidR="00000000" w:rsidRDefault="00457650" w:rsidP="00457650">
      <w:pPr>
        <w:widowControl/>
        <w:tabs>
          <w:tab w:val="left" w:pos="630"/>
        </w:tabs>
        <w:spacing w:after="240" w:line="360" w:lineRule="exact"/>
        <w:ind w:leftChars="300" w:left="31680" w:hangingChars="200" w:firstLine="31680"/>
        <w:rPr>
          <w:rFonts w:hint="eastAsia"/>
        </w:rPr>
      </w:pPr>
      <w:r>
        <w:t>D.</w:t>
      </w:r>
      <w:r>
        <w:tab/>
      </w:r>
      <w:r>
        <w:rPr>
          <w:rFonts w:hint="eastAsia"/>
        </w:rPr>
        <w:t>墨西哥正在促进并执行与较不发达国家，尤其是中美洲和加勒比地区各国的合作项目，以便使他们能够受益于国家经验与能力，并找到发展问题的解决方案。</w:t>
      </w:r>
    </w:p>
    <w:p w:rsidR="00000000" w:rsidRDefault="00457650" w:rsidP="00457650">
      <w:pPr>
        <w:widowControl/>
        <w:tabs>
          <w:tab w:val="left" w:pos="630"/>
        </w:tabs>
        <w:spacing w:after="240" w:line="360" w:lineRule="exact"/>
        <w:ind w:leftChars="300" w:left="31680" w:hangingChars="200" w:firstLine="31680"/>
        <w:rPr>
          <w:rFonts w:hint="eastAsia"/>
        </w:rPr>
      </w:pPr>
      <w:r>
        <w:t>E.</w:t>
      </w:r>
      <w:r>
        <w:tab/>
      </w:r>
      <w:r>
        <w:rPr>
          <w:rFonts w:hint="eastAsia"/>
        </w:rPr>
        <w:t>在多边合作领域，也在大力促进与联合国</w:t>
      </w:r>
      <w:r>
        <w:rPr>
          <w:rFonts w:hint="eastAsia"/>
        </w:rPr>
        <w:t>系统各组织以及其他区域组织和国际论坛合作，实现联合参与、共同筹资和自行可持续发展。在这一范围内开展的活动有着双重目的：使国家公共和私营部门单位与机构获益，以及多边利益共享。</w:t>
      </w:r>
    </w:p>
    <w:p w:rsidR="00000000" w:rsidRDefault="00457650">
      <w:pPr>
        <w:widowControl/>
        <w:tabs>
          <w:tab w:val="left" w:pos="630"/>
        </w:tabs>
        <w:spacing w:after="240" w:line="360" w:lineRule="exact"/>
        <w:rPr>
          <w:rFonts w:hint="eastAsia"/>
        </w:rPr>
      </w:pPr>
      <w:r>
        <w:t>906.</w:t>
      </w:r>
      <w:r>
        <w:tab/>
      </w:r>
      <w:r>
        <w:rPr>
          <w:rFonts w:hint="eastAsia"/>
        </w:rPr>
        <w:t>目前可以对国际发展合作各个领域进行区分，这些领域包括科学、技术、科技、教育、文化、交通、能源、金融和贸易。这里特别重要的是科学技术合作，这种合作有助于国家融入蓬勃的国际发展进程，大力促进科学知识的发展和技术变革，并使生产工艺发生转换。</w:t>
      </w:r>
    </w:p>
    <w:p w:rsidR="00000000" w:rsidRDefault="00457650">
      <w:pPr>
        <w:widowControl/>
        <w:tabs>
          <w:tab w:val="left" w:pos="630"/>
        </w:tabs>
        <w:spacing w:after="240" w:line="360" w:lineRule="exact"/>
        <w:rPr>
          <w:rFonts w:hint="eastAsia"/>
        </w:rPr>
      </w:pPr>
      <w:r>
        <w:t>907.</w:t>
      </w:r>
      <w:r>
        <w:tab/>
      </w:r>
      <w:r>
        <w:rPr>
          <w:rFonts w:hint="eastAsia"/>
        </w:rPr>
        <w:t>科学技术合作包括资源、知识、专长、技术和经验等方面的交流，这有助于将各个领域的国家</w:t>
      </w:r>
      <w:r>
        <w:rPr>
          <w:rFonts w:hint="eastAsia"/>
        </w:rPr>
        <w:t>能力和国际能力联系起来，并将发展机制和尖端科学知识的扩展结合在一起。</w:t>
      </w:r>
    </w:p>
    <w:p w:rsidR="00000000" w:rsidRDefault="00457650">
      <w:pPr>
        <w:widowControl/>
        <w:tabs>
          <w:tab w:val="left" w:pos="630"/>
        </w:tabs>
        <w:spacing w:after="240" w:line="360" w:lineRule="exact"/>
        <w:rPr>
          <w:rFonts w:hint="eastAsia"/>
        </w:rPr>
      </w:pPr>
      <w:r>
        <w:t>908.</w:t>
      </w:r>
      <w:r>
        <w:tab/>
      </w:r>
      <w:r>
        <w:rPr>
          <w:rFonts w:hint="eastAsia"/>
        </w:rPr>
        <w:t>政府科学技术合作协议是合作项目谈判与执行的基本法律依据，墨西哥目前生效的合作协议有</w:t>
      </w:r>
      <w:r>
        <w:rPr>
          <w:rFonts w:hint="eastAsia"/>
        </w:rPr>
        <w:t>83</w:t>
      </w:r>
      <w:r>
        <w:rPr>
          <w:rFonts w:hint="eastAsia"/>
        </w:rPr>
        <w:t>项。</w:t>
      </w:r>
    </w:p>
    <w:p w:rsidR="00000000" w:rsidRDefault="00457650">
      <w:pPr>
        <w:widowControl/>
        <w:tabs>
          <w:tab w:val="left" w:pos="630"/>
        </w:tabs>
        <w:spacing w:after="240" w:line="360" w:lineRule="exact"/>
        <w:rPr>
          <w:rFonts w:hint="eastAsia"/>
        </w:rPr>
      </w:pPr>
      <w:r>
        <w:t>909.</w:t>
      </w:r>
      <w:r>
        <w:tab/>
      </w:r>
      <w:r>
        <w:rPr>
          <w:rFonts w:hint="eastAsia"/>
        </w:rPr>
        <w:t>我国在合作活动中采用了以下方法，以便在国际合作中更有效地利用资源：</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补充：合作是对国家努力的支助性补充，必须避免产生依赖性。</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自我可持续发展：当一个发展进程启动之后，要利用自身的资源将其维持下去，就需要进行合作。</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联合筹资：各方必须联合为项目发展提供所需的财政资源，这方面没有援助计划。</w:t>
      </w:r>
    </w:p>
    <w:p w:rsidR="00000000" w:rsidRDefault="00457650" w:rsidP="00457650">
      <w:pPr>
        <w:widowControl/>
        <w:numPr>
          <w:ilvl w:val="0"/>
          <w:numId w:val="1971"/>
        </w:numPr>
        <w:tabs>
          <w:tab w:val="clear" w:pos="900"/>
          <w:tab w:val="left" w:pos="1050"/>
        </w:tabs>
        <w:spacing w:after="240" w:line="360" w:lineRule="exact"/>
        <w:ind w:leftChars="300" w:left="31680"/>
      </w:pPr>
      <w:r>
        <w:rPr>
          <w:rFonts w:hint="eastAsia"/>
        </w:rPr>
        <w:t>采取合作做法。</w:t>
      </w:r>
    </w:p>
    <w:p w:rsidR="00000000" w:rsidRDefault="00457650">
      <w:pPr>
        <w:widowControl/>
        <w:tabs>
          <w:tab w:val="left" w:pos="630"/>
        </w:tabs>
        <w:spacing w:after="240" w:line="360" w:lineRule="exact"/>
        <w:rPr>
          <w:rFonts w:hint="eastAsia"/>
        </w:rPr>
      </w:pPr>
      <w:r>
        <w:t>910.</w:t>
      </w:r>
      <w:r>
        <w:tab/>
      </w:r>
      <w:r>
        <w:rPr>
          <w:rFonts w:hint="eastAsia"/>
        </w:rPr>
        <w:t>作为</w:t>
      </w:r>
      <w:r>
        <w:rPr>
          <w:rFonts w:eastAsia="SimHei" w:hint="eastAsia"/>
          <w:bCs/>
        </w:rPr>
        <w:t>接受</w:t>
      </w:r>
      <w:r>
        <w:rPr>
          <w:rFonts w:hint="eastAsia"/>
        </w:rPr>
        <w:t>方，墨西</w:t>
      </w:r>
      <w:r>
        <w:rPr>
          <w:rFonts w:hint="eastAsia"/>
        </w:rPr>
        <w:t>哥接受来自工业化国家和国际组织的技术合作，以执行国家项目，强化内部能力，吸收尖端技术并推动最弱势地区和群体的社会发展。</w:t>
      </w:r>
    </w:p>
    <w:p w:rsidR="00000000" w:rsidRDefault="00457650">
      <w:pPr>
        <w:widowControl/>
        <w:tabs>
          <w:tab w:val="left" w:pos="630"/>
        </w:tabs>
        <w:spacing w:after="240" w:line="360" w:lineRule="exact"/>
        <w:rPr>
          <w:rFonts w:hint="eastAsia"/>
        </w:rPr>
      </w:pPr>
      <w:r>
        <w:t>911.</w:t>
      </w:r>
      <w:r>
        <w:tab/>
      </w:r>
      <w:r>
        <w:rPr>
          <w:rFonts w:hint="eastAsia"/>
        </w:rPr>
        <w:t>在</w:t>
      </w:r>
      <w:r>
        <w:rPr>
          <w:rFonts w:eastAsia="SimHei" w:hint="eastAsia"/>
          <w:bCs/>
        </w:rPr>
        <w:t>给予</w:t>
      </w:r>
      <w:r>
        <w:rPr>
          <w:rFonts w:hint="eastAsia"/>
        </w:rPr>
        <w:t>方面，墨西哥政府执行各种有助于较不发达国家，尤其是中美洲和加勒比地区各国的双边和地区方案，与这些国家互惠互利。</w:t>
      </w:r>
    </w:p>
    <w:p w:rsidR="00000000" w:rsidRDefault="00457650" w:rsidP="00457650">
      <w:pPr>
        <w:widowControl/>
        <w:numPr>
          <w:ilvl w:val="0"/>
          <w:numId w:val="1971"/>
        </w:numPr>
        <w:tabs>
          <w:tab w:val="clear" w:pos="900"/>
          <w:tab w:val="left" w:pos="1050"/>
        </w:tabs>
        <w:spacing w:after="240" w:line="360" w:lineRule="exact"/>
        <w:ind w:leftChars="300" w:left="31680"/>
        <w:rPr>
          <w:rFonts w:hint="eastAsia"/>
        </w:rPr>
      </w:pPr>
      <w:r>
        <w:rPr>
          <w:rFonts w:eastAsia="SimHei" w:hint="eastAsia"/>
          <w:bCs/>
        </w:rPr>
        <w:t>横向合作</w:t>
      </w:r>
      <w:r>
        <w:rPr>
          <w:rFonts w:hint="eastAsia"/>
          <w:bCs/>
        </w:rPr>
        <w:t>。</w:t>
      </w:r>
      <w:r>
        <w:rPr>
          <w:rFonts w:hint="eastAsia"/>
        </w:rPr>
        <w:t>在这种情况下，我们与有着相同问题和利益的发展中国家的相应机构共同完成合作项目，尤其是南美洲和东南亚项目的执行在优先部门得到加强，同时还开展技术合作并促进人力资源培训活动。</w:t>
      </w:r>
    </w:p>
    <w:p w:rsidR="00000000" w:rsidRDefault="00457650" w:rsidP="00457650">
      <w:pPr>
        <w:widowControl/>
        <w:numPr>
          <w:ilvl w:val="0"/>
          <w:numId w:val="1971"/>
        </w:numPr>
        <w:tabs>
          <w:tab w:val="clear" w:pos="900"/>
          <w:tab w:val="left" w:pos="1050"/>
        </w:tabs>
        <w:spacing w:after="240" w:line="360" w:lineRule="exact"/>
        <w:ind w:leftChars="300" w:left="31680"/>
        <w:rPr>
          <w:rFonts w:hint="eastAsia"/>
        </w:rPr>
      </w:pPr>
      <w:r>
        <w:rPr>
          <w:rFonts w:eastAsia="SimHei" w:hint="eastAsia"/>
          <w:bCs/>
        </w:rPr>
        <w:t>三方合作或三边合作</w:t>
      </w:r>
      <w:r>
        <w:rPr>
          <w:rFonts w:hint="eastAsia"/>
        </w:rPr>
        <w:t>。这类合作的进行需要三方参与：首先是请求国，其次是提供大量财政资</w:t>
      </w:r>
      <w:r>
        <w:rPr>
          <w:rFonts w:hint="eastAsia"/>
        </w:rPr>
        <w:t>源的国家，再有就是墨西哥，墨西哥更适合通过它的专家或培训计划提供知识和经验。这种类型的方案目前正在进行中，合作方主要是日本政府。</w:t>
      </w:r>
    </w:p>
    <w:p w:rsidR="00000000" w:rsidRDefault="00457650">
      <w:pPr>
        <w:keepNext/>
        <w:widowControl/>
        <w:tabs>
          <w:tab w:val="left" w:pos="630"/>
        </w:tabs>
        <w:spacing w:after="240" w:line="360" w:lineRule="exact"/>
        <w:rPr>
          <w:rFonts w:hint="eastAsia"/>
        </w:rPr>
      </w:pPr>
      <w:r>
        <w:t>91</w:t>
      </w:r>
      <w:r>
        <w:rPr>
          <w:rFonts w:hint="eastAsia"/>
        </w:rPr>
        <w:t>2</w:t>
      </w:r>
      <w:r>
        <w:t>.</w:t>
      </w:r>
      <w:r>
        <w:rPr>
          <w:rFonts w:hint="eastAsia"/>
        </w:rPr>
        <w:tab/>
      </w:r>
      <w:r>
        <w:rPr>
          <w:rFonts w:hint="eastAsia"/>
        </w:rPr>
        <w:t>通常情况下通过以下方式开展国际合作：</w:t>
      </w:r>
    </w:p>
    <w:p w:rsidR="00000000" w:rsidRDefault="00457650" w:rsidP="00457650">
      <w:pPr>
        <w:keepNext/>
        <w:widowControl/>
        <w:numPr>
          <w:ilvl w:val="0"/>
          <w:numId w:val="1898"/>
        </w:numPr>
        <w:tabs>
          <w:tab w:val="clear" w:pos="900"/>
          <w:tab w:val="left" w:pos="1050"/>
        </w:tabs>
        <w:spacing w:after="240" w:line="360" w:lineRule="exact"/>
        <w:ind w:leftChars="300" w:left="31680" w:firstLine="0"/>
        <w:rPr>
          <w:rFonts w:hint="eastAsia"/>
        </w:rPr>
      </w:pPr>
      <w:r>
        <w:rPr>
          <w:rFonts w:hint="eastAsia"/>
        </w:rPr>
        <w:t>专家交流；</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短期逗留和开办技术课程；</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信息、文件和材料交流；</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可行性初步研究和可行性研究</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预测和判断；</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会议和讨论会–讲习班；</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人力资源培训；</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项目执行所需的设备和材料（少量），以及</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科学研究。</w:t>
      </w:r>
    </w:p>
    <w:p w:rsidR="00000000" w:rsidRDefault="00457650">
      <w:pPr>
        <w:widowControl/>
        <w:tabs>
          <w:tab w:val="left" w:pos="630"/>
        </w:tabs>
        <w:spacing w:after="240" w:line="360" w:lineRule="exact"/>
        <w:rPr>
          <w:rFonts w:hint="eastAsia"/>
        </w:rPr>
      </w:pPr>
      <w:r>
        <w:rPr>
          <w:rFonts w:hint="eastAsia"/>
        </w:rPr>
        <w:t>913.</w:t>
      </w:r>
      <w:r>
        <w:rPr>
          <w:rFonts w:hint="eastAsia"/>
        </w:rPr>
        <w:tab/>
      </w:r>
      <w:r>
        <w:rPr>
          <w:rFonts w:hint="eastAsia"/>
        </w:rPr>
        <w:t>墨西哥政府根据上述做法和前一段所列示的方法，签署了</w:t>
      </w:r>
      <w:r>
        <w:rPr>
          <w:rFonts w:hint="eastAsia"/>
        </w:rPr>
        <w:t>83</w:t>
      </w:r>
      <w:r>
        <w:rPr>
          <w:rFonts w:hint="eastAsia"/>
        </w:rPr>
        <w:t>个科学技术合作项目，这些项目有助于它协调与各国和国际组织的关系。</w:t>
      </w:r>
    </w:p>
    <w:p w:rsidR="00000000" w:rsidRDefault="00457650">
      <w:pPr>
        <w:widowControl/>
        <w:tabs>
          <w:tab w:val="left" w:pos="630"/>
        </w:tabs>
        <w:spacing w:after="240" w:line="360" w:lineRule="exact"/>
        <w:rPr>
          <w:rFonts w:hint="eastAsia"/>
        </w:rPr>
      </w:pPr>
      <w:r>
        <w:rPr>
          <w:rFonts w:hint="eastAsia"/>
        </w:rPr>
        <w:t>914.</w:t>
      </w:r>
      <w:r>
        <w:rPr>
          <w:rFonts w:hint="eastAsia"/>
        </w:rPr>
        <w:tab/>
      </w:r>
      <w:r>
        <w:rPr>
          <w:rFonts w:hint="eastAsia"/>
        </w:rPr>
        <w:tab/>
      </w:r>
      <w:r>
        <w:rPr>
          <w:rFonts w:hint="eastAsia"/>
        </w:rPr>
        <w:t>这</w:t>
      </w:r>
      <w:r>
        <w:rPr>
          <w:rFonts w:hint="eastAsia"/>
        </w:rPr>
        <w:t>83</w:t>
      </w:r>
      <w:r>
        <w:rPr>
          <w:rFonts w:hint="eastAsia"/>
        </w:rPr>
        <w:t>项协议包括总共</w:t>
      </w:r>
      <w:r>
        <w:rPr>
          <w:rFonts w:hint="eastAsia"/>
        </w:rPr>
        <w:t>2 294</w:t>
      </w:r>
      <w:r>
        <w:rPr>
          <w:rFonts w:hint="eastAsia"/>
        </w:rPr>
        <w:t>个独立的活动和项目，其中活动数量为</w:t>
      </w:r>
      <w:r>
        <w:rPr>
          <w:rFonts w:hint="eastAsia"/>
        </w:rPr>
        <w:t>635</w:t>
      </w:r>
      <w:r>
        <w:rPr>
          <w:rFonts w:hint="eastAsia"/>
        </w:rPr>
        <w:t>个，项目数量为</w:t>
      </w:r>
      <w:r>
        <w:rPr>
          <w:rFonts w:hint="eastAsia"/>
        </w:rPr>
        <w:t>1 659</w:t>
      </w:r>
      <w:r>
        <w:rPr>
          <w:rFonts w:hint="eastAsia"/>
        </w:rPr>
        <w:t>个。正在进行中的有</w:t>
      </w:r>
      <w:r>
        <w:rPr>
          <w:rFonts w:hint="eastAsia"/>
        </w:rPr>
        <w:t>732</w:t>
      </w:r>
      <w:r>
        <w:rPr>
          <w:rFonts w:hint="eastAsia"/>
        </w:rPr>
        <w:t>个，已于</w:t>
      </w:r>
      <w:r>
        <w:rPr>
          <w:rFonts w:hint="eastAsia"/>
        </w:rPr>
        <w:t>2004</w:t>
      </w:r>
      <w:r>
        <w:rPr>
          <w:rFonts w:hint="eastAsia"/>
        </w:rPr>
        <w:t>年完成的有</w:t>
      </w:r>
      <w:r>
        <w:rPr>
          <w:rFonts w:hint="eastAsia"/>
        </w:rPr>
        <w:t>259</w:t>
      </w:r>
      <w:r>
        <w:rPr>
          <w:rFonts w:hint="eastAsia"/>
        </w:rPr>
        <w:t>个。</w:t>
      </w:r>
    </w:p>
    <w:p w:rsidR="00000000" w:rsidRDefault="00457650">
      <w:pPr>
        <w:keepNext/>
        <w:keepLines/>
        <w:widowControl/>
        <w:tabs>
          <w:tab w:val="left" w:pos="630"/>
        </w:tabs>
        <w:spacing w:after="240" w:line="340" w:lineRule="exact"/>
        <w:jc w:val="center"/>
        <w:rPr>
          <w:rFonts w:ascii="KaiTi_GB2312" w:eastAsia="KaiTi_GB2312" w:hint="eastAsia"/>
        </w:rPr>
      </w:pPr>
      <w:r>
        <w:rPr>
          <w:rFonts w:ascii="SimHei" w:eastAsia="SimHei" w:hint="eastAsia"/>
          <w:bCs/>
        </w:rPr>
        <w:t>1</w:t>
      </w:r>
      <w:r>
        <w:rPr>
          <w:rFonts w:ascii="SimHei" w:eastAsia="SimHei" w:hint="eastAsia"/>
          <w:bCs/>
        </w:rPr>
        <w:t>．</w:t>
      </w:r>
      <w:r>
        <w:rPr>
          <w:rFonts w:ascii="SimHei" w:eastAsia="SimHei" w:hint="eastAsia"/>
          <w:bCs/>
        </w:rPr>
        <w:t xml:space="preserve"> </w:t>
      </w:r>
      <w:r>
        <w:rPr>
          <w:rFonts w:ascii="SimHei" w:eastAsia="SimHei" w:hint="eastAsia"/>
          <w:bCs/>
        </w:rPr>
        <w:t>按地区分列的合作协议</w:t>
      </w:r>
      <w:r>
        <w:rPr>
          <w:rFonts w:ascii="SimHei" w:eastAsia="SimHei"/>
          <w:bCs/>
        </w:rPr>
        <w:br/>
      </w:r>
      <w:r>
        <w:rPr>
          <w:rFonts w:ascii="KaiTi_GB2312" w:eastAsia="KaiTi_GB2312" w:hint="eastAsia"/>
        </w:rPr>
        <w:t>（</w:t>
      </w:r>
      <w:r>
        <w:rPr>
          <w:rFonts w:ascii="KaiTi_GB2312" w:eastAsia="KaiTi_GB2312" w:hint="eastAsia"/>
        </w:rPr>
        <w:t>2004</w:t>
      </w:r>
      <w:r>
        <w:rPr>
          <w:rFonts w:ascii="KaiTi_GB2312" w:eastAsia="KaiTi_GB2312" w:hint="eastAsia"/>
        </w:rPr>
        <w:t>年</w:t>
      </w:r>
      <w:r>
        <w:rPr>
          <w:rFonts w:ascii="KaiTi_GB2312" w:eastAsia="KaiTi_GB2312" w:hint="eastAsia"/>
        </w:rPr>
        <w:t>10</w:t>
      </w:r>
      <w:r>
        <w:rPr>
          <w:rFonts w:ascii="KaiTi_GB2312" w:eastAsia="KaiTi_GB2312" w:hint="eastAsia"/>
        </w:rPr>
        <w:t>月）</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0"/>
        <w:gridCol w:w="2280"/>
      </w:tblGrid>
      <w:tr w:rsidR="00000000">
        <w:tblPrEx>
          <w:tblCellMar>
            <w:top w:w="0" w:type="dxa"/>
            <w:bottom w:w="0" w:type="dxa"/>
          </w:tblCellMar>
        </w:tblPrEx>
        <w:trPr>
          <w:trHeight w:val="432"/>
        </w:trPr>
        <w:tc>
          <w:tcPr>
            <w:tcW w:w="4200" w:type="dxa"/>
          </w:tcPr>
          <w:p w:rsidR="00000000" w:rsidRDefault="00457650">
            <w:pPr>
              <w:pStyle w:val="a3"/>
              <w:keepNext/>
              <w:keepLines/>
              <w:widowControl/>
              <w:tabs>
                <w:tab w:val="left" w:pos="630"/>
              </w:tabs>
              <w:adjustRightInd w:val="0"/>
              <w:spacing w:before="40" w:after="40" w:line="300" w:lineRule="exact"/>
              <w:textAlignment w:val="baseline"/>
              <w:rPr>
                <w:rFonts w:hint="eastAsia"/>
                <w:kern w:val="0"/>
                <w:szCs w:val="20"/>
              </w:rPr>
            </w:pPr>
            <w:r>
              <w:rPr>
                <w:rFonts w:hint="eastAsia"/>
                <w:kern w:val="0"/>
                <w:szCs w:val="20"/>
              </w:rPr>
              <w:t>非洲和中东</w:t>
            </w:r>
          </w:p>
        </w:tc>
        <w:tc>
          <w:tcPr>
            <w:tcW w:w="2280" w:type="dxa"/>
          </w:tcPr>
          <w:p w:rsidR="00000000" w:rsidRDefault="00457650" w:rsidP="00457650">
            <w:pPr>
              <w:pStyle w:val="Header"/>
              <w:keepNext/>
              <w:keepLines/>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6</w:t>
            </w:r>
          </w:p>
        </w:tc>
      </w:tr>
      <w:tr w:rsidR="00000000">
        <w:tblPrEx>
          <w:tblCellMar>
            <w:top w:w="0" w:type="dxa"/>
            <w:bottom w:w="0" w:type="dxa"/>
          </w:tblCellMar>
        </w:tblPrEx>
        <w:trPr>
          <w:trHeight w:val="429"/>
        </w:trPr>
        <w:tc>
          <w:tcPr>
            <w:tcW w:w="4200" w:type="dxa"/>
          </w:tcPr>
          <w:p w:rsidR="00000000" w:rsidRDefault="00457650">
            <w:pPr>
              <w:widowControl/>
              <w:tabs>
                <w:tab w:val="left" w:pos="630"/>
              </w:tabs>
              <w:spacing w:before="40" w:after="40" w:line="300" w:lineRule="exact"/>
              <w:rPr>
                <w:rFonts w:hint="eastAsia"/>
                <w:sz w:val="18"/>
              </w:rPr>
            </w:pPr>
            <w:r>
              <w:rPr>
                <w:rFonts w:hint="eastAsia"/>
                <w:sz w:val="18"/>
              </w:rPr>
              <w:t>亚洲–太平洋</w:t>
            </w:r>
          </w:p>
        </w:tc>
        <w:tc>
          <w:tcPr>
            <w:tcW w:w="2280" w:type="dxa"/>
          </w:tcPr>
          <w:p w:rsidR="00000000" w:rsidRDefault="00457650" w:rsidP="00457650">
            <w:pPr>
              <w:widowControl/>
              <w:tabs>
                <w:tab w:val="left" w:pos="630"/>
              </w:tabs>
              <w:spacing w:before="40" w:after="40" w:line="300" w:lineRule="exact"/>
              <w:ind w:rightChars="348" w:right="31680"/>
              <w:jc w:val="right"/>
              <w:rPr>
                <w:rFonts w:hint="eastAsia"/>
                <w:sz w:val="18"/>
              </w:rPr>
            </w:pPr>
            <w:r>
              <w:rPr>
                <w:rFonts w:hint="eastAsia"/>
                <w:sz w:val="18"/>
              </w:rPr>
              <w:t>8</w:t>
            </w:r>
          </w:p>
        </w:tc>
      </w:tr>
      <w:tr w:rsidR="00000000">
        <w:tblPrEx>
          <w:tblCellMar>
            <w:top w:w="0" w:type="dxa"/>
            <w:bottom w:w="0" w:type="dxa"/>
          </w:tblCellMar>
        </w:tblPrEx>
        <w:trPr>
          <w:trHeight w:val="429"/>
        </w:trPr>
        <w:tc>
          <w:tcPr>
            <w:tcW w:w="4200" w:type="dxa"/>
          </w:tcPr>
          <w:p w:rsidR="00000000" w:rsidRDefault="00457650">
            <w:pPr>
              <w:widowControl/>
              <w:tabs>
                <w:tab w:val="left" w:pos="630"/>
              </w:tabs>
              <w:spacing w:before="40" w:after="40" w:line="300" w:lineRule="exact"/>
              <w:rPr>
                <w:rFonts w:hint="eastAsia"/>
                <w:sz w:val="18"/>
              </w:rPr>
            </w:pPr>
            <w:r>
              <w:rPr>
                <w:rFonts w:hint="eastAsia"/>
                <w:sz w:val="18"/>
              </w:rPr>
              <w:t>中美洲和加勒比</w:t>
            </w:r>
          </w:p>
        </w:tc>
        <w:tc>
          <w:tcPr>
            <w:tcW w:w="2280" w:type="dxa"/>
          </w:tcPr>
          <w:p w:rsidR="00000000" w:rsidRDefault="00457650" w:rsidP="00457650">
            <w:pPr>
              <w:widowControl/>
              <w:tabs>
                <w:tab w:val="left" w:pos="630"/>
              </w:tabs>
              <w:spacing w:before="40" w:after="40" w:line="300" w:lineRule="exact"/>
              <w:ind w:rightChars="348" w:right="31680"/>
              <w:jc w:val="right"/>
              <w:rPr>
                <w:rFonts w:hint="eastAsia"/>
                <w:sz w:val="18"/>
              </w:rPr>
            </w:pPr>
            <w:r>
              <w:rPr>
                <w:rFonts w:hint="eastAsia"/>
                <w:sz w:val="18"/>
              </w:rPr>
              <w:t>31</w:t>
            </w:r>
          </w:p>
        </w:tc>
      </w:tr>
      <w:tr w:rsidR="00000000">
        <w:tblPrEx>
          <w:tblCellMar>
            <w:top w:w="0" w:type="dxa"/>
            <w:bottom w:w="0" w:type="dxa"/>
          </w:tblCellMar>
        </w:tblPrEx>
        <w:trPr>
          <w:trHeight w:val="429"/>
        </w:trPr>
        <w:tc>
          <w:tcPr>
            <w:tcW w:w="4200" w:type="dxa"/>
          </w:tcPr>
          <w:p w:rsidR="00000000" w:rsidRDefault="00457650">
            <w:pPr>
              <w:widowControl/>
              <w:tabs>
                <w:tab w:val="left" w:pos="630"/>
              </w:tabs>
              <w:spacing w:before="40" w:after="40" w:line="300" w:lineRule="exact"/>
              <w:rPr>
                <w:rFonts w:hint="eastAsia"/>
                <w:sz w:val="18"/>
              </w:rPr>
            </w:pPr>
            <w:r>
              <w:rPr>
                <w:rFonts w:hint="eastAsia"/>
                <w:sz w:val="18"/>
              </w:rPr>
              <w:t>东欧和中欧</w:t>
            </w:r>
          </w:p>
        </w:tc>
        <w:tc>
          <w:tcPr>
            <w:tcW w:w="2280" w:type="dxa"/>
          </w:tcPr>
          <w:p w:rsidR="00000000" w:rsidRDefault="00457650" w:rsidP="00457650">
            <w:pPr>
              <w:widowControl/>
              <w:tabs>
                <w:tab w:val="left" w:pos="630"/>
              </w:tabs>
              <w:spacing w:before="40" w:after="40" w:line="300" w:lineRule="exact"/>
              <w:ind w:rightChars="348" w:right="31680"/>
              <w:jc w:val="right"/>
              <w:rPr>
                <w:rFonts w:hint="eastAsia"/>
                <w:sz w:val="18"/>
              </w:rPr>
            </w:pPr>
            <w:r>
              <w:rPr>
                <w:rFonts w:hint="eastAsia"/>
                <w:sz w:val="18"/>
              </w:rPr>
              <w:t>10</w:t>
            </w:r>
          </w:p>
        </w:tc>
      </w:tr>
      <w:tr w:rsidR="00000000">
        <w:tblPrEx>
          <w:tblCellMar>
            <w:top w:w="0" w:type="dxa"/>
            <w:bottom w:w="0" w:type="dxa"/>
          </w:tblCellMar>
        </w:tblPrEx>
        <w:trPr>
          <w:trHeight w:val="429"/>
        </w:trPr>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工业化国家</w:t>
            </w:r>
          </w:p>
        </w:tc>
        <w:tc>
          <w:tcPr>
            <w:tcW w:w="2280" w:type="dxa"/>
          </w:tcPr>
          <w:p w:rsidR="00000000" w:rsidRDefault="00457650" w:rsidP="00457650">
            <w:pPr>
              <w:widowControl/>
              <w:tabs>
                <w:tab w:val="left" w:pos="630"/>
              </w:tabs>
              <w:spacing w:before="40" w:after="40" w:line="300" w:lineRule="exact"/>
              <w:ind w:rightChars="348" w:right="31680"/>
              <w:jc w:val="right"/>
              <w:rPr>
                <w:rFonts w:hint="eastAsia"/>
                <w:sz w:val="18"/>
              </w:rPr>
            </w:pPr>
            <w:r>
              <w:rPr>
                <w:rFonts w:hint="eastAsia"/>
                <w:sz w:val="18"/>
              </w:rPr>
              <w:t>14</w:t>
            </w:r>
          </w:p>
        </w:tc>
      </w:tr>
      <w:tr w:rsidR="00000000">
        <w:tblPrEx>
          <w:tblCellMar>
            <w:top w:w="0" w:type="dxa"/>
            <w:bottom w:w="0" w:type="dxa"/>
          </w:tblCellMar>
        </w:tblPrEx>
        <w:trPr>
          <w:trHeight w:val="429"/>
        </w:trPr>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国际组织</w:t>
            </w:r>
          </w:p>
        </w:tc>
        <w:tc>
          <w:tcPr>
            <w:tcW w:w="2280" w:type="dxa"/>
          </w:tcPr>
          <w:p w:rsidR="00000000" w:rsidRDefault="00457650" w:rsidP="00457650">
            <w:pPr>
              <w:widowControl/>
              <w:tabs>
                <w:tab w:val="left" w:pos="630"/>
              </w:tabs>
              <w:spacing w:before="40" w:after="40" w:line="300" w:lineRule="exact"/>
              <w:ind w:rightChars="348" w:right="31680"/>
              <w:jc w:val="right"/>
              <w:rPr>
                <w:rFonts w:hint="eastAsia"/>
                <w:sz w:val="18"/>
              </w:rPr>
            </w:pPr>
            <w:r>
              <w:rPr>
                <w:rFonts w:hint="eastAsia"/>
                <w:sz w:val="18"/>
              </w:rPr>
              <w:t>4</w:t>
            </w:r>
          </w:p>
        </w:tc>
      </w:tr>
      <w:tr w:rsidR="00000000">
        <w:tblPrEx>
          <w:tblCellMar>
            <w:top w:w="0" w:type="dxa"/>
            <w:bottom w:w="0" w:type="dxa"/>
          </w:tblCellMar>
        </w:tblPrEx>
        <w:trPr>
          <w:trHeight w:val="429"/>
        </w:trPr>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南美洲</w:t>
            </w:r>
          </w:p>
        </w:tc>
        <w:tc>
          <w:tcPr>
            <w:tcW w:w="2280" w:type="dxa"/>
          </w:tcPr>
          <w:p w:rsidR="00000000" w:rsidRDefault="00457650" w:rsidP="00457650">
            <w:pPr>
              <w:widowControl/>
              <w:tabs>
                <w:tab w:val="left" w:pos="630"/>
              </w:tabs>
              <w:spacing w:before="40" w:after="40" w:line="300" w:lineRule="exact"/>
              <w:ind w:rightChars="348" w:right="31680"/>
              <w:jc w:val="right"/>
              <w:rPr>
                <w:rFonts w:hint="eastAsia"/>
                <w:sz w:val="18"/>
              </w:rPr>
            </w:pPr>
            <w:r>
              <w:rPr>
                <w:rFonts w:hint="eastAsia"/>
                <w:sz w:val="18"/>
              </w:rPr>
              <w:t>10</w:t>
            </w:r>
          </w:p>
        </w:tc>
      </w:tr>
      <w:tr w:rsidR="00000000">
        <w:tblPrEx>
          <w:tblCellMar>
            <w:top w:w="0" w:type="dxa"/>
            <w:bottom w:w="0" w:type="dxa"/>
          </w:tblCellMar>
        </w:tblPrEx>
        <w:trPr>
          <w:trHeight w:val="429"/>
        </w:trPr>
        <w:tc>
          <w:tcPr>
            <w:tcW w:w="4200" w:type="dxa"/>
          </w:tcPr>
          <w:p w:rsidR="00000000" w:rsidRDefault="00457650">
            <w:pPr>
              <w:widowControl/>
              <w:tabs>
                <w:tab w:val="left" w:pos="630"/>
              </w:tabs>
              <w:spacing w:before="40" w:after="40" w:line="300" w:lineRule="exact"/>
              <w:rPr>
                <w:rFonts w:ascii="SimHei" w:eastAsia="SimHei" w:hint="eastAsia"/>
                <w:bCs/>
                <w:sz w:val="18"/>
              </w:rPr>
            </w:pPr>
            <w:r>
              <w:rPr>
                <w:rFonts w:ascii="SimHei" w:eastAsia="SimHei" w:hint="eastAsia"/>
                <w:bCs/>
                <w:sz w:val="18"/>
              </w:rPr>
              <w:t>共计</w:t>
            </w:r>
          </w:p>
        </w:tc>
        <w:tc>
          <w:tcPr>
            <w:tcW w:w="2280" w:type="dxa"/>
          </w:tcPr>
          <w:p w:rsidR="00000000" w:rsidRDefault="00457650" w:rsidP="00457650">
            <w:pPr>
              <w:widowControl/>
              <w:tabs>
                <w:tab w:val="left" w:pos="630"/>
              </w:tabs>
              <w:spacing w:before="40" w:after="40" w:line="300" w:lineRule="exact"/>
              <w:ind w:rightChars="348" w:right="31680"/>
              <w:jc w:val="right"/>
              <w:rPr>
                <w:rFonts w:ascii="SimHei" w:eastAsia="SimHei" w:hint="eastAsia"/>
                <w:bCs/>
                <w:sz w:val="18"/>
              </w:rPr>
            </w:pPr>
            <w:r>
              <w:rPr>
                <w:rFonts w:ascii="SimHei" w:eastAsia="SimHei" w:hint="eastAsia"/>
                <w:bCs/>
                <w:sz w:val="18"/>
              </w:rPr>
              <w:t>83</w:t>
            </w:r>
          </w:p>
        </w:tc>
      </w:tr>
    </w:tbl>
    <w:p w:rsidR="00000000" w:rsidRDefault="00457650">
      <w:pPr>
        <w:keepNext/>
        <w:keepLines/>
        <w:widowControl/>
        <w:tabs>
          <w:tab w:val="left" w:pos="630"/>
        </w:tabs>
        <w:spacing w:before="120" w:after="240" w:line="360" w:lineRule="exact"/>
        <w:jc w:val="center"/>
        <w:rPr>
          <w:rFonts w:ascii="KaiTi_GB2312" w:eastAsia="KaiTi_GB2312" w:hint="eastAsia"/>
          <w:bCs/>
        </w:rPr>
      </w:pPr>
      <w:r>
        <w:rPr>
          <w:rFonts w:ascii="SimHei" w:eastAsia="SimHei" w:hint="eastAsia"/>
          <w:bCs/>
        </w:rPr>
        <w:t>2</w:t>
      </w:r>
      <w:r>
        <w:rPr>
          <w:rFonts w:ascii="SimHei" w:eastAsia="SimHei" w:hint="eastAsia"/>
          <w:bCs/>
        </w:rPr>
        <w:t>．按情况和背景分列的合作项目</w:t>
      </w:r>
      <w:r>
        <w:rPr>
          <w:rFonts w:ascii="SimHei" w:eastAsia="SimHei"/>
          <w:bCs/>
        </w:rPr>
        <w:br/>
      </w:r>
      <w:r>
        <w:rPr>
          <w:rFonts w:ascii="KaiTi_GB2312" w:eastAsia="KaiTi_GB2312" w:hint="eastAsia"/>
          <w:bCs/>
        </w:rPr>
        <w:t>（</w:t>
      </w:r>
      <w:r>
        <w:rPr>
          <w:rFonts w:ascii="KaiTi_GB2312" w:eastAsia="KaiTi_GB2312" w:hint="eastAsia"/>
          <w:bCs/>
        </w:rPr>
        <w:t>2004</w:t>
      </w:r>
      <w:r>
        <w:rPr>
          <w:rFonts w:ascii="KaiTi_GB2312" w:eastAsia="KaiTi_GB2312" w:hint="eastAsia"/>
          <w:bCs/>
        </w:rPr>
        <w:t>年</w:t>
      </w:r>
      <w:r>
        <w:rPr>
          <w:rFonts w:ascii="KaiTi_GB2312" w:eastAsia="KaiTi_GB2312" w:hint="eastAsia"/>
          <w:bCs/>
        </w:rPr>
        <w:t>10</w:t>
      </w:r>
      <w:r>
        <w:rPr>
          <w:rFonts w:ascii="KaiTi_GB2312" w:eastAsia="KaiTi_GB2312" w:hint="eastAsia"/>
          <w:bCs/>
        </w:rPr>
        <w:t>月）</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0"/>
        <w:gridCol w:w="2280"/>
      </w:tblGrid>
      <w:tr w:rsidR="00000000">
        <w:tblPrEx>
          <w:tblCellMar>
            <w:top w:w="0" w:type="dxa"/>
            <w:bottom w:w="0" w:type="dxa"/>
          </w:tblCellMar>
        </w:tblPrEx>
        <w:tc>
          <w:tcPr>
            <w:tcW w:w="6480" w:type="dxa"/>
            <w:gridSpan w:val="2"/>
          </w:tcPr>
          <w:p w:rsidR="00000000" w:rsidRDefault="00457650">
            <w:pPr>
              <w:pStyle w:val="a3"/>
              <w:keepNext/>
              <w:keepLines/>
              <w:widowControl/>
              <w:tabs>
                <w:tab w:val="left" w:pos="630"/>
              </w:tabs>
              <w:adjustRightInd w:val="0"/>
              <w:spacing w:before="40" w:after="40" w:line="280" w:lineRule="exact"/>
              <w:textAlignment w:val="baseline"/>
              <w:rPr>
                <w:rFonts w:eastAsia="SimHei" w:hint="eastAsia"/>
                <w:bCs/>
                <w:kern w:val="0"/>
                <w:szCs w:val="20"/>
              </w:rPr>
            </w:pPr>
            <w:r>
              <w:rPr>
                <w:rFonts w:eastAsia="SimHei" w:hint="eastAsia"/>
                <w:bCs/>
                <w:kern w:val="0"/>
                <w:szCs w:val="20"/>
              </w:rPr>
              <w:t>项目</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hint="eastAsia"/>
                <w:sz w:val="18"/>
              </w:rPr>
            </w:pPr>
            <w:r>
              <w:rPr>
                <w:rFonts w:hint="eastAsia"/>
                <w:sz w:val="18"/>
              </w:rPr>
              <w:t>预备项目</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hint="eastAsia"/>
              </w:rPr>
            </w:pPr>
            <w:r>
              <w:rPr>
                <w:rFonts w:hint="eastAsia"/>
              </w:rPr>
              <w:t>377</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hint="eastAsia"/>
                <w:sz w:val="18"/>
              </w:rPr>
            </w:pPr>
            <w:r>
              <w:rPr>
                <w:rFonts w:hint="eastAsia"/>
                <w:sz w:val="18"/>
              </w:rPr>
              <w:t>已批准</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hint="eastAsia"/>
              </w:rPr>
            </w:pPr>
            <w:r>
              <w:rPr>
                <w:rFonts w:hint="eastAsia"/>
              </w:rPr>
              <w:t>169</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ascii="SimHei" w:eastAsia="SimHei" w:hint="eastAsia"/>
                <w:bCs/>
                <w:sz w:val="18"/>
              </w:rPr>
            </w:pPr>
            <w:r>
              <w:rPr>
                <w:rFonts w:ascii="SimHei" w:eastAsia="SimHei" w:hint="eastAsia"/>
                <w:bCs/>
                <w:sz w:val="18"/>
              </w:rPr>
              <w:t>执行中</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ascii="SimHei" w:eastAsia="SimHei" w:hint="eastAsia"/>
              </w:rPr>
            </w:pPr>
            <w:r>
              <w:rPr>
                <w:rFonts w:ascii="SimHei" w:eastAsia="SimHei" w:hint="eastAsia"/>
              </w:rPr>
              <w:t>621</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hint="eastAsia"/>
                <w:sz w:val="18"/>
              </w:rPr>
            </w:pPr>
            <w:r>
              <w:rPr>
                <w:rFonts w:hint="eastAsia"/>
                <w:sz w:val="18"/>
              </w:rPr>
              <w:t>已完成</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hint="eastAsia"/>
              </w:rPr>
            </w:pPr>
            <w:r>
              <w:rPr>
                <w:rFonts w:hint="eastAsia"/>
              </w:rPr>
              <w:t>259</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hint="eastAsia"/>
                <w:sz w:val="18"/>
              </w:rPr>
            </w:pPr>
            <w:r>
              <w:rPr>
                <w:rFonts w:hint="eastAsia"/>
                <w:sz w:val="18"/>
              </w:rPr>
              <w:t>已取消</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hint="eastAsia"/>
              </w:rPr>
            </w:pPr>
            <w:r>
              <w:rPr>
                <w:rFonts w:hint="eastAsia"/>
              </w:rPr>
              <w:t>233</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ascii="SimHei" w:eastAsia="SimHei" w:hint="eastAsia"/>
                <w:bCs/>
                <w:sz w:val="18"/>
              </w:rPr>
            </w:pPr>
            <w:r>
              <w:rPr>
                <w:rFonts w:ascii="SimHei" w:eastAsia="SimHei" w:hint="eastAsia"/>
                <w:bCs/>
                <w:sz w:val="18"/>
              </w:rPr>
              <w:t>共计</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ascii="SimHei" w:eastAsia="SimHei" w:hint="eastAsia"/>
              </w:rPr>
            </w:pPr>
            <w:r>
              <w:rPr>
                <w:rFonts w:ascii="SimHei" w:eastAsia="SimHei" w:hint="eastAsia"/>
              </w:rPr>
              <w:t>1 659</w:t>
            </w:r>
          </w:p>
        </w:tc>
      </w:tr>
      <w:tr w:rsidR="00000000">
        <w:tblPrEx>
          <w:tblCellMar>
            <w:top w:w="0" w:type="dxa"/>
            <w:bottom w:w="0" w:type="dxa"/>
          </w:tblCellMar>
        </w:tblPrEx>
        <w:tc>
          <w:tcPr>
            <w:tcW w:w="6480" w:type="dxa"/>
            <w:gridSpan w:val="2"/>
          </w:tcPr>
          <w:p w:rsidR="00000000" w:rsidRDefault="00457650">
            <w:pPr>
              <w:widowControl/>
              <w:tabs>
                <w:tab w:val="left" w:pos="630"/>
              </w:tabs>
              <w:spacing w:before="40" w:after="40" w:line="280" w:lineRule="exact"/>
              <w:rPr>
                <w:rFonts w:ascii="SimHei" w:eastAsia="SimHei" w:hint="eastAsia"/>
                <w:bCs/>
                <w:sz w:val="18"/>
              </w:rPr>
            </w:pPr>
            <w:r>
              <w:rPr>
                <w:rFonts w:ascii="SimHei" w:eastAsia="SimHei" w:hint="eastAsia"/>
                <w:bCs/>
                <w:sz w:val="18"/>
              </w:rPr>
              <w:t>个别活动</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hint="eastAsia"/>
                <w:sz w:val="18"/>
              </w:rPr>
            </w:pPr>
            <w:r>
              <w:rPr>
                <w:rFonts w:hint="eastAsia"/>
                <w:sz w:val="18"/>
              </w:rPr>
              <w:t>预备项目</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hint="eastAsia"/>
              </w:rPr>
            </w:pPr>
            <w:r>
              <w:rPr>
                <w:rFonts w:hint="eastAsia"/>
              </w:rPr>
              <w:t>137</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hint="eastAsia"/>
                <w:sz w:val="18"/>
              </w:rPr>
            </w:pPr>
            <w:r>
              <w:rPr>
                <w:rFonts w:hint="eastAsia"/>
                <w:sz w:val="18"/>
              </w:rPr>
              <w:t>已批准</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hint="eastAsia"/>
              </w:rPr>
            </w:pPr>
            <w:r>
              <w:rPr>
                <w:rFonts w:hint="eastAsia"/>
              </w:rPr>
              <w:t>92</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ascii="SimHei" w:eastAsia="SimHei" w:hint="eastAsia"/>
                <w:bCs/>
                <w:sz w:val="18"/>
              </w:rPr>
            </w:pPr>
            <w:r>
              <w:rPr>
                <w:rFonts w:ascii="SimHei" w:eastAsia="SimHei" w:hint="eastAsia"/>
                <w:bCs/>
                <w:sz w:val="18"/>
              </w:rPr>
              <w:t>执行中</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ascii="SimHei" w:eastAsia="SimHei" w:hint="eastAsia"/>
              </w:rPr>
            </w:pPr>
            <w:r>
              <w:rPr>
                <w:rFonts w:ascii="SimHei" w:eastAsia="SimHei" w:hint="eastAsia"/>
              </w:rPr>
              <w:t>111</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hint="eastAsia"/>
                <w:sz w:val="18"/>
              </w:rPr>
            </w:pPr>
            <w:r>
              <w:rPr>
                <w:rFonts w:hint="eastAsia"/>
                <w:sz w:val="18"/>
              </w:rPr>
              <w:t>已完成</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hint="eastAsia"/>
              </w:rPr>
            </w:pPr>
            <w:r>
              <w:rPr>
                <w:rFonts w:hint="eastAsia"/>
              </w:rPr>
              <w:t>166</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hint="eastAsia"/>
                <w:sz w:val="18"/>
              </w:rPr>
            </w:pPr>
            <w:r>
              <w:rPr>
                <w:rFonts w:hint="eastAsia"/>
                <w:sz w:val="18"/>
              </w:rPr>
              <w:t>已取消</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hint="eastAsia"/>
              </w:rPr>
            </w:pPr>
            <w:r>
              <w:rPr>
                <w:rFonts w:hint="eastAsia"/>
              </w:rPr>
              <w:t>129</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ascii="SimHei" w:eastAsia="SimHei" w:hint="eastAsia"/>
                <w:bCs/>
                <w:sz w:val="18"/>
              </w:rPr>
            </w:pPr>
            <w:r>
              <w:rPr>
                <w:rFonts w:ascii="SimHei" w:eastAsia="SimHei" w:hint="eastAsia"/>
                <w:bCs/>
                <w:sz w:val="18"/>
              </w:rPr>
              <w:t>共计</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ascii="SimHei" w:eastAsia="SimHei" w:hint="eastAsia"/>
              </w:rPr>
            </w:pPr>
            <w:r>
              <w:rPr>
                <w:rFonts w:ascii="SimHei" w:eastAsia="SimHei" w:hint="eastAsia"/>
              </w:rPr>
              <w:t>635</w:t>
            </w:r>
          </w:p>
        </w:tc>
      </w:tr>
      <w:tr w:rsidR="00000000">
        <w:tblPrEx>
          <w:tblCellMar>
            <w:top w:w="0" w:type="dxa"/>
            <w:bottom w:w="0" w:type="dxa"/>
          </w:tblCellMar>
        </w:tblPrEx>
        <w:tc>
          <w:tcPr>
            <w:tcW w:w="6480" w:type="dxa"/>
            <w:gridSpan w:val="2"/>
          </w:tcPr>
          <w:p w:rsidR="00000000" w:rsidRDefault="00457650">
            <w:pPr>
              <w:widowControl/>
              <w:tabs>
                <w:tab w:val="left" w:pos="630"/>
              </w:tabs>
              <w:spacing w:before="40" w:after="40" w:line="280" w:lineRule="exact"/>
              <w:rPr>
                <w:rFonts w:ascii="SimHei" w:eastAsia="SimHei" w:hint="eastAsia"/>
                <w:bCs/>
                <w:sz w:val="18"/>
              </w:rPr>
            </w:pPr>
            <w:r>
              <w:rPr>
                <w:rFonts w:ascii="SimHei" w:eastAsia="SimHei" w:hint="eastAsia"/>
                <w:bCs/>
                <w:sz w:val="18"/>
              </w:rPr>
              <w:t>项目或个别活动</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hint="eastAsia"/>
                <w:sz w:val="18"/>
              </w:rPr>
            </w:pPr>
            <w:r>
              <w:rPr>
                <w:rFonts w:hint="eastAsia"/>
                <w:sz w:val="18"/>
              </w:rPr>
              <w:t>预备项目</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hint="eastAsia"/>
              </w:rPr>
            </w:pPr>
            <w:r>
              <w:rPr>
                <w:rFonts w:hint="eastAsia"/>
              </w:rPr>
              <w:t>514</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hint="eastAsia"/>
                <w:sz w:val="18"/>
              </w:rPr>
            </w:pPr>
            <w:r>
              <w:rPr>
                <w:rFonts w:hint="eastAsia"/>
                <w:sz w:val="18"/>
              </w:rPr>
              <w:t>已批准</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hint="eastAsia"/>
              </w:rPr>
            </w:pPr>
            <w:r>
              <w:rPr>
                <w:rFonts w:hint="eastAsia"/>
              </w:rPr>
              <w:t>261</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ascii="SimHei" w:eastAsia="SimHei" w:hint="eastAsia"/>
                <w:bCs/>
                <w:sz w:val="18"/>
              </w:rPr>
            </w:pPr>
            <w:r>
              <w:rPr>
                <w:rFonts w:ascii="SimHei" w:eastAsia="SimHei" w:hint="eastAsia"/>
                <w:bCs/>
                <w:sz w:val="18"/>
              </w:rPr>
              <w:t>执行中</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ascii="SimHei" w:eastAsia="SimHei" w:hint="eastAsia"/>
              </w:rPr>
            </w:pPr>
            <w:r>
              <w:rPr>
                <w:rFonts w:ascii="SimHei" w:eastAsia="SimHei" w:hint="eastAsia"/>
              </w:rPr>
              <w:t>732</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hint="eastAsia"/>
                <w:sz w:val="18"/>
              </w:rPr>
            </w:pPr>
            <w:r>
              <w:rPr>
                <w:rFonts w:hint="eastAsia"/>
                <w:sz w:val="18"/>
              </w:rPr>
              <w:t>已完成</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hint="eastAsia"/>
              </w:rPr>
            </w:pPr>
            <w:r>
              <w:rPr>
                <w:rFonts w:hint="eastAsia"/>
              </w:rPr>
              <w:t>425</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hint="eastAsia"/>
                <w:sz w:val="18"/>
              </w:rPr>
            </w:pPr>
            <w:r>
              <w:rPr>
                <w:rFonts w:hint="eastAsia"/>
                <w:sz w:val="18"/>
              </w:rPr>
              <w:t>已取消</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hint="eastAsia"/>
              </w:rPr>
            </w:pPr>
            <w:r>
              <w:rPr>
                <w:rFonts w:hint="eastAsia"/>
              </w:rPr>
              <w:t>362</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ascii="SimHei" w:eastAsia="SimHei" w:hint="eastAsia"/>
                <w:bCs/>
                <w:sz w:val="18"/>
              </w:rPr>
            </w:pPr>
            <w:r>
              <w:rPr>
                <w:rFonts w:ascii="SimHei" w:eastAsia="SimHei" w:hint="eastAsia"/>
                <w:bCs/>
                <w:sz w:val="18"/>
              </w:rPr>
              <w:t>共计</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ascii="SimHei" w:eastAsia="SimHei" w:hint="eastAsia"/>
              </w:rPr>
            </w:pPr>
            <w:r>
              <w:rPr>
                <w:rFonts w:ascii="SimHei" w:eastAsia="SimHei" w:hint="eastAsia"/>
              </w:rPr>
              <w:t>2 294</w:t>
            </w:r>
          </w:p>
        </w:tc>
      </w:tr>
      <w:tr w:rsidR="00000000">
        <w:tblPrEx>
          <w:tblCellMar>
            <w:top w:w="0" w:type="dxa"/>
            <w:bottom w:w="0" w:type="dxa"/>
          </w:tblCellMar>
        </w:tblPrEx>
        <w:tc>
          <w:tcPr>
            <w:tcW w:w="6480" w:type="dxa"/>
            <w:gridSpan w:val="2"/>
          </w:tcPr>
          <w:p w:rsidR="00000000" w:rsidRDefault="00457650">
            <w:pPr>
              <w:widowControl/>
              <w:tabs>
                <w:tab w:val="left" w:pos="630"/>
              </w:tabs>
              <w:spacing w:before="40" w:after="40" w:line="280" w:lineRule="exact"/>
              <w:rPr>
                <w:rFonts w:ascii="SimHei" w:eastAsia="SimHei" w:hint="eastAsia"/>
                <w:bCs/>
                <w:sz w:val="18"/>
              </w:rPr>
            </w:pPr>
            <w:r>
              <w:rPr>
                <w:rFonts w:ascii="SimHei" w:eastAsia="SimHei" w:hint="eastAsia"/>
                <w:bCs/>
                <w:sz w:val="18"/>
              </w:rPr>
              <w:t>按背景分列的项目和个别活动</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hint="eastAsia"/>
                <w:sz w:val="18"/>
              </w:rPr>
            </w:pPr>
            <w:r>
              <w:rPr>
                <w:rFonts w:hint="eastAsia"/>
                <w:sz w:val="18"/>
              </w:rPr>
              <w:t>双边</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hint="eastAsia"/>
              </w:rPr>
            </w:pPr>
            <w:r>
              <w:rPr>
                <w:rFonts w:hint="eastAsia"/>
              </w:rPr>
              <w:t>508</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hint="eastAsia"/>
                <w:sz w:val="18"/>
              </w:rPr>
            </w:pPr>
            <w:r>
              <w:rPr>
                <w:rFonts w:hint="eastAsia"/>
                <w:sz w:val="18"/>
              </w:rPr>
              <w:t>多边</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hint="eastAsia"/>
              </w:rPr>
            </w:pPr>
            <w:r>
              <w:rPr>
                <w:rFonts w:hint="eastAsia"/>
              </w:rPr>
              <w:t>133</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hint="eastAsia"/>
                <w:sz w:val="18"/>
              </w:rPr>
            </w:pPr>
            <w:r>
              <w:rPr>
                <w:rFonts w:hint="eastAsia"/>
                <w:sz w:val="18"/>
              </w:rPr>
              <w:t>地区</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hint="eastAsia"/>
              </w:rPr>
            </w:pPr>
            <w:r>
              <w:rPr>
                <w:rFonts w:hint="eastAsia"/>
              </w:rPr>
              <w:t>84</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hint="eastAsia"/>
                <w:sz w:val="18"/>
              </w:rPr>
            </w:pPr>
            <w:r>
              <w:rPr>
                <w:rFonts w:hint="eastAsia"/>
                <w:sz w:val="18"/>
              </w:rPr>
              <w:t>三边</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hint="eastAsia"/>
              </w:rPr>
            </w:pPr>
            <w:r>
              <w:rPr>
                <w:rFonts w:hint="eastAsia"/>
              </w:rPr>
              <w:t>7</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280" w:lineRule="exact"/>
              <w:rPr>
                <w:rFonts w:ascii="SimHei" w:eastAsia="SimHei" w:hint="eastAsia"/>
                <w:bCs/>
                <w:sz w:val="18"/>
              </w:rPr>
            </w:pPr>
            <w:r>
              <w:rPr>
                <w:rFonts w:ascii="SimHei" w:eastAsia="SimHei" w:hint="eastAsia"/>
                <w:bCs/>
                <w:sz w:val="18"/>
              </w:rPr>
              <w:t>共计</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280" w:lineRule="exact"/>
              <w:ind w:rightChars="348" w:right="31680"/>
              <w:jc w:val="right"/>
              <w:rPr>
                <w:rFonts w:ascii="SimHei" w:eastAsia="SimHei" w:hint="eastAsia"/>
              </w:rPr>
            </w:pPr>
            <w:r>
              <w:rPr>
                <w:rFonts w:ascii="SimHei" w:eastAsia="SimHei" w:hint="eastAsia"/>
              </w:rPr>
              <w:t>732</w:t>
            </w:r>
          </w:p>
        </w:tc>
      </w:tr>
    </w:tbl>
    <w:p w:rsidR="00000000" w:rsidRDefault="00457650">
      <w:pPr>
        <w:keepNext/>
        <w:keepLines/>
        <w:widowControl/>
        <w:tabs>
          <w:tab w:val="left" w:pos="630"/>
        </w:tabs>
        <w:spacing w:before="120" w:after="240" w:line="360" w:lineRule="exact"/>
        <w:jc w:val="center"/>
        <w:rPr>
          <w:rFonts w:ascii="KaiTi_GB2312" w:eastAsia="KaiTi_GB2312" w:hint="eastAsia"/>
        </w:rPr>
      </w:pPr>
      <w:r>
        <w:rPr>
          <w:rFonts w:ascii="SimHei" w:eastAsia="SimHei" w:hint="eastAsia"/>
          <w:bCs/>
        </w:rPr>
        <w:t>3</w:t>
      </w:r>
      <w:r>
        <w:rPr>
          <w:rFonts w:ascii="SimHei" w:eastAsia="SimHei" w:hint="eastAsia"/>
          <w:bCs/>
        </w:rPr>
        <w:t>．由国家</w:t>
      </w:r>
      <w:r>
        <w:rPr>
          <w:rFonts w:ascii="SimHei" w:eastAsia="SimHei" w:hint="eastAsia"/>
          <w:bCs/>
        </w:rPr>
        <w:t>/</w:t>
      </w:r>
      <w:r>
        <w:rPr>
          <w:rFonts w:ascii="SimHei" w:eastAsia="SimHei" w:hint="eastAsia"/>
          <w:bCs/>
        </w:rPr>
        <w:t>组织</w:t>
      </w:r>
      <w:r>
        <w:rPr>
          <w:rFonts w:ascii="SimHei" w:eastAsia="SimHei" w:hint="eastAsia"/>
          <w:bCs/>
        </w:rPr>
        <w:t>/</w:t>
      </w:r>
      <w:r>
        <w:rPr>
          <w:rFonts w:ascii="SimHei" w:eastAsia="SimHei" w:hint="eastAsia"/>
          <w:bCs/>
        </w:rPr>
        <w:t>论坛执行的合作项目</w:t>
      </w:r>
      <w:r>
        <w:rPr>
          <w:rFonts w:ascii="SimHei" w:eastAsia="SimHei"/>
          <w:bCs/>
        </w:rPr>
        <w:br/>
      </w:r>
      <w:r>
        <w:rPr>
          <w:rFonts w:ascii="KaiTi_GB2312" w:eastAsia="KaiTi_GB2312" w:hint="eastAsia"/>
        </w:rPr>
        <w:t>（</w:t>
      </w:r>
      <w:r>
        <w:rPr>
          <w:rFonts w:ascii="KaiTi_GB2312" w:eastAsia="KaiTi_GB2312" w:hint="eastAsia"/>
        </w:rPr>
        <w:t>2004</w:t>
      </w:r>
      <w:r>
        <w:rPr>
          <w:rFonts w:ascii="KaiTi_GB2312" w:eastAsia="KaiTi_GB2312" w:hint="eastAsia"/>
        </w:rPr>
        <w:t>年</w:t>
      </w:r>
      <w:r>
        <w:rPr>
          <w:rFonts w:ascii="KaiTi_GB2312" w:eastAsia="KaiTi_GB2312" w:hint="eastAsia"/>
        </w:rPr>
        <w:t>10</w:t>
      </w:r>
      <w:r>
        <w:rPr>
          <w:rFonts w:ascii="KaiTi_GB2312" w:eastAsia="KaiTi_GB2312" w:hint="eastAsia"/>
        </w:rPr>
        <w:t>月）</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0"/>
        <w:gridCol w:w="2280"/>
      </w:tblGrid>
      <w:tr w:rsidR="00000000">
        <w:tblPrEx>
          <w:tblCellMar>
            <w:top w:w="0" w:type="dxa"/>
            <w:bottom w:w="0" w:type="dxa"/>
          </w:tblCellMar>
        </w:tblPrEx>
        <w:tc>
          <w:tcPr>
            <w:tcW w:w="6480" w:type="dxa"/>
            <w:gridSpan w:val="2"/>
          </w:tcPr>
          <w:p w:rsidR="00000000" w:rsidRDefault="00457650">
            <w:pPr>
              <w:pStyle w:val="a3"/>
              <w:keepNext/>
              <w:keepLines/>
              <w:widowControl/>
              <w:tabs>
                <w:tab w:val="left" w:pos="630"/>
              </w:tabs>
              <w:adjustRightInd w:val="0"/>
              <w:spacing w:before="20" w:after="20" w:line="280" w:lineRule="exact"/>
              <w:textAlignment w:val="baseline"/>
              <w:rPr>
                <w:rFonts w:eastAsia="SimHei" w:hint="eastAsia"/>
                <w:bCs/>
                <w:kern w:val="0"/>
                <w:szCs w:val="20"/>
              </w:rPr>
            </w:pPr>
            <w:r>
              <w:rPr>
                <w:rFonts w:eastAsia="SimHei" w:hint="eastAsia"/>
                <w:bCs/>
                <w:kern w:val="0"/>
                <w:szCs w:val="20"/>
              </w:rPr>
              <w:t>欧洲</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欧洲联盟</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23</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芬兰</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法国</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16</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德国</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41</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大不列颠</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意大利</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24</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葡萄牙</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2</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西班牙</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15</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瑞典</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0</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ascii="SimHei" w:eastAsia="SimHei" w:hint="eastAsia"/>
                <w:bCs/>
                <w:sz w:val="18"/>
              </w:rPr>
            </w:pPr>
            <w:r>
              <w:rPr>
                <w:rFonts w:ascii="SimHei" w:eastAsia="SimHei"/>
                <w:bCs/>
                <w:sz w:val="18"/>
              </w:rPr>
              <w:tab/>
            </w:r>
            <w:r>
              <w:rPr>
                <w:rFonts w:ascii="SimHei" w:eastAsia="SimHei" w:hint="eastAsia"/>
                <w:bCs/>
                <w:sz w:val="18"/>
              </w:rPr>
              <w:t>小计</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ascii="SimHei" w:eastAsia="SimHei" w:hint="eastAsia"/>
              </w:rPr>
            </w:pPr>
            <w:r>
              <w:rPr>
                <w:rFonts w:ascii="SimHei" w:eastAsia="SimHei" w:hint="eastAsia"/>
              </w:rPr>
              <w:t>123</w:t>
            </w:r>
          </w:p>
        </w:tc>
      </w:tr>
      <w:tr w:rsidR="00000000">
        <w:tblPrEx>
          <w:tblCellMar>
            <w:top w:w="0" w:type="dxa"/>
            <w:bottom w:w="0" w:type="dxa"/>
          </w:tblCellMar>
        </w:tblPrEx>
        <w:tc>
          <w:tcPr>
            <w:tcW w:w="6480" w:type="dxa"/>
            <w:gridSpan w:val="2"/>
          </w:tcPr>
          <w:p w:rsidR="00000000" w:rsidRDefault="00457650">
            <w:pPr>
              <w:widowControl/>
              <w:tabs>
                <w:tab w:val="left" w:pos="630"/>
              </w:tabs>
              <w:spacing w:before="20" w:after="20" w:line="280" w:lineRule="exact"/>
              <w:rPr>
                <w:rFonts w:ascii="SimHei" w:eastAsia="SimHei" w:hint="eastAsia"/>
                <w:bCs/>
                <w:sz w:val="18"/>
              </w:rPr>
            </w:pPr>
            <w:r>
              <w:rPr>
                <w:rFonts w:ascii="SimHei" w:eastAsia="SimHei" w:hint="eastAsia"/>
                <w:bCs/>
                <w:sz w:val="18"/>
              </w:rPr>
              <w:t>中欧和东欧</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捷克共和国</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3</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匈牙利</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7</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波兰</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3</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俄罗斯联邦</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3</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ascii="SimHei" w:eastAsia="SimHei" w:hint="eastAsia"/>
                <w:bCs/>
                <w:sz w:val="18"/>
              </w:rPr>
            </w:pPr>
            <w:r>
              <w:rPr>
                <w:rFonts w:ascii="SimHei" w:eastAsia="SimHei"/>
                <w:bCs/>
                <w:sz w:val="18"/>
              </w:rPr>
              <w:tab/>
            </w:r>
            <w:r>
              <w:rPr>
                <w:rFonts w:ascii="SimHei" w:eastAsia="SimHei" w:hint="eastAsia"/>
                <w:bCs/>
                <w:sz w:val="18"/>
              </w:rPr>
              <w:t>小计</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ascii="SimHei" w:eastAsia="SimHei" w:hint="eastAsia"/>
              </w:rPr>
            </w:pPr>
            <w:r>
              <w:rPr>
                <w:rFonts w:ascii="SimHei" w:eastAsia="SimHei" w:hint="eastAsia"/>
              </w:rPr>
              <w:t>16</w:t>
            </w:r>
          </w:p>
        </w:tc>
      </w:tr>
      <w:tr w:rsidR="00000000">
        <w:tblPrEx>
          <w:tblCellMar>
            <w:top w:w="0" w:type="dxa"/>
            <w:bottom w:w="0" w:type="dxa"/>
          </w:tblCellMar>
        </w:tblPrEx>
        <w:tc>
          <w:tcPr>
            <w:tcW w:w="6480" w:type="dxa"/>
            <w:gridSpan w:val="2"/>
          </w:tcPr>
          <w:p w:rsidR="00000000" w:rsidRDefault="00457650">
            <w:pPr>
              <w:pStyle w:val="a3"/>
              <w:keepLines/>
              <w:widowControl/>
              <w:tabs>
                <w:tab w:val="left" w:pos="630"/>
              </w:tabs>
              <w:adjustRightInd w:val="0"/>
              <w:spacing w:before="20" w:after="20" w:line="280" w:lineRule="exact"/>
              <w:textAlignment w:val="baseline"/>
              <w:rPr>
                <w:rFonts w:ascii="SimHei" w:eastAsia="SimHei" w:hint="eastAsia"/>
                <w:bCs/>
                <w:kern w:val="0"/>
                <w:szCs w:val="20"/>
              </w:rPr>
            </w:pPr>
            <w:r>
              <w:rPr>
                <w:rFonts w:ascii="SimHei" w:eastAsia="SimHei" w:hint="eastAsia"/>
                <w:bCs/>
                <w:kern w:val="0"/>
                <w:szCs w:val="20"/>
              </w:rPr>
              <w:t>亚洲–太平洋</w:t>
            </w:r>
          </w:p>
        </w:tc>
      </w:tr>
      <w:tr w:rsidR="00000000">
        <w:tblPrEx>
          <w:tblCellMar>
            <w:top w:w="0" w:type="dxa"/>
            <w:bottom w:w="0" w:type="dxa"/>
          </w:tblCellMar>
        </w:tblPrEx>
        <w:tc>
          <w:tcPr>
            <w:tcW w:w="4200" w:type="dxa"/>
            <w:tcBorders>
              <w:right w:val="single" w:sz="4" w:space="0" w:color="auto"/>
            </w:tcBorders>
          </w:tcPr>
          <w:p w:rsidR="00000000" w:rsidRDefault="00457650">
            <w:pPr>
              <w:keepLines/>
              <w:widowControl/>
              <w:tabs>
                <w:tab w:val="left" w:pos="630"/>
              </w:tabs>
              <w:spacing w:before="20" w:after="20" w:line="280" w:lineRule="exact"/>
              <w:rPr>
                <w:rFonts w:hint="eastAsia"/>
                <w:sz w:val="18"/>
              </w:rPr>
            </w:pPr>
            <w:r>
              <w:rPr>
                <w:rFonts w:hint="eastAsia"/>
                <w:sz w:val="18"/>
              </w:rPr>
              <w:t>澳大利亚</w:t>
            </w:r>
          </w:p>
        </w:tc>
        <w:tc>
          <w:tcPr>
            <w:tcW w:w="2280" w:type="dxa"/>
            <w:tcBorders>
              <w:top w:val="single" w:sz="4" w:space="0" w:color="auto"/>
              <w:left w:val="single" w:sz="4" w:space="0" w:color="auto"/>
            </w:tcBorders>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w:t>
            </w:r>
          </w:p>
        </w:tc>
      </w:tr>
      <w:tr w:rsidR="00000000">
        <w:tblPrEx>
          <w:tblCellMar>
            <w:top w:w="0" w:type="dxa"/>
            <w:bottom w:w="0" w:type="dxa"/>
          </w:tblCellMar>
        </w:tblPrEx>
        <w:tc>
          <w:tcPr>
            <w:tcW w:w="4200" w:type="dxa"/>
          </w:tcPr>
          <w:p w:rsidR="00000000" w:rsidRDefault="00457650">
            <w:pPr>
              <w:keepLines/>
              <w:widowControl/>
              <w:tabs>
                <w:tab w:val="left" w:pos="630"/>
              </w:tabs>
              <w:spacing w:before="20" w:after="20" w:line="280" w:lineRule="exact"/>
              <w:rPr>
                <w:rFonts w:hint="eastAsia"/>
                <w:sz w:val="18"/>
              </w:rPr>
            </w:pPr>
            <w:r>
              <w:rPr>
                <w:rFonts w:hint="eastAsia"/>
                <w:sz w:val="18"/>
              </w:rPr>
              <w:t>中国</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w:t>
            </w:r>
          </w:p>
        </w:tc>
      </w:tr>
      <w:tr w:rsidR="00000000">
        <w:tblPrEx>
          <w:tblCellMar>
            <w:top w:w="0" w:type="dxa"/>
            <w:bottom w:w="0" w:type="dxa"/>
          </w:tblCellMar>
        </w:tblPrEx>
        <w:tc>
          <w:tcPr>
            <w:tcW w:w="4200" w:type="dxa"/>
          </w:tcPr>
          <w:p w:rsidR="00000000" w:rsidRDefault="00457650">
            <w:pPr>
              <w:keepLines/>
              <w:widowControl/>
              <w:tabs>
                <w:tab w:val="left" w:pos="630"/>
              </w:tabs>
              <w:spacing w:before="20" w:after="20" w:line="280" w:lineRule="exact"/>
              <w:rPr>
                <w:rFonts w:hint="eastAsia"/>
                <w:sz w:val="18"/>
              </w:rPr>
            </w:pPr>
            <w:r>
              <w:rPr>
                <w:rFonts w:hint="eastAsia"/>
                <w:sz w:val="18"/>
              </w:rPr>
              <w:t>印度</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5</w:t>
            </w:r>
          </w:p>
        </w:tc>
      </w:tr>
      <w:tr w:rsidR="00000000">
        <w:tblPrEx>
          <w:tblCellMar>
            <w:top w:w="0" w:type="dxa"/>
            <w:bottom w:w="0" w:type="dxa"/>
          </w:tblCellMar>
        </w:tblPrEx>
        <w:tc>
          <w:tcPr>
            <w:tcW w:w="4200" w:type="dxa"/>
          </w:tcPr>
          <w:p w:rsidR="00000000" w:rsidRDefault="00457650">
            <w:pPr>
              <w:keepLines/>
              <w:widowControl/>
              <w:tabs>
                <w:tab w:val="left" w:pos="630"/>
              </w:tabs>
              <w:spacing w:before="20" w:after="20" w:line="280" w:lineRule="exact"/>
              <w:rPr>
                <w:rFonts w:hint="eastAsia"/>
                <w:sz w:val="18"/>
              </w:rPr>
            </w:pPr>
            <w:r>
              <w:rPr>
                <w:rFonts w:hint="eastAsia"/>
                <w:sz w:val="18"/>
              </w:rPr>
              <w:t>日本</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44</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大韩民国</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3</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新西兰</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ascii="SimHei" w:eastAsia="SimHei" w:hint="eastAsia"/>
                <w:bCs/>
                <w:sz w:val="18"/>
              </w:rPr>
            </w:pPr>
            <w:r>
              <w:rPr>
                <w:rFonts w:ascii="SimHei" w:eastAsia="SimHei"/>
                <w:bCs/>
                <w:sz w:val="18"/>
              </w:rPr>
              <w:tab/>
            </w:r>
            <w:r>
              <w:rPr>
                <w:rFonts w:ascii="SimHei" w:eastAsia="SimHei" w:hint="eastAsia"/>
                <w:bCs/>
                <w:sz w:val="18"/>
              </w:rPr>
              <w:t>小计</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ascii="SimHei" w:eastAsia="SimHei" w:hint="eastAsia"/>
                <w:bCs/>
              </w:rPr>
            </w:pPr>
            <w:r>
              <w:rPr>
                <w:rFonts w:ascii="SimHei" w:eastAsia="SimHei" w:hint="eastAsia"/>
                <w:bCs/>
              </w:rPr>
              <w:t>55</w:t>
            </w:r>
          </w:p>
        </w:tc>
      </w:tr>
      <w:tr w:rsidR="00000000">
        <w:tblPrEx>
          <w:tblCellMar>
            <w:top w:w="0" w:type="dxa"/>
            <w:bottom w:w="0" w:type="dxa"/>
          </w:tblCellMar>
        </w:tblPrEx>
        <w:tc>
          <w:tcPr>
            <w:tcW w:w="6480" w:type="dxa"/>
            <w:gridSpan w:val="2"/>
          </w:tcPr>
          <w:p w:rsidR="00000000" w:rsidRDefault="00457650">
            <w:pPr>
              <w:widowControl/>
              <w:tabs>
                <w:tab w:val="left" w:pos="630"/>
              </w:tabs>
              <w:spacing w:before="20" w:after="20" w:line="280" w:lineRule="exact"/>
              <w:rPr>
                <w:rFonts w:ascii="SimHei" w:eastAsia="SimHei" w:hint="eastAsia"/>
                <w:bCs/>
                <w:sz w:val="18"/>
              </w:rPr>
            </w:pPr>
            <w:r>
              <w:rPr>
                <w:rFonts w:ascii="SimHei" w:eastAsia="SimHei" w:hint="eastAsia"/>
                <w:bCs/>
                <w:sz w:val="18"/>
              </w:rPr>
              <w:t>北美洲</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加拿大</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10</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墨西哥</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美利坚合众国</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28</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ascii="SimHei" w:eastAsia="SimHei" w:hint="eastAsia"/>
                <w:bCs/>
                <w:sz w:val="18"/>
              </w:rPr>
            </w:pPr>
            <w:r>
              <w:rPr>
                <w:rFonts w:ascii="SimHei" w:eastAsia="SimHei"/>
                <w:bCs/>
                <w:sz w:val="18"/>
              </w:rPr>
              <w:tab/>
            </w:r>
            <w:r>
              <w:rPr>
                <w:rFonts w:ascii="SimHei" w:eastAsia="SimHei" w:hint="eastAsia"/>
                <w:bCs/>
                <w:sz w:val="18"/>
              </w:rPr>
              <w:t>小计</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ascii="SimHei" w:eastAsia="SimHei" w:hint="eastAsia"/>
              </w:rPr>
            </w:pPr>
            <w:r>
              <w:rPr>
                <w:rFonts w:ascii="SimHei" w:eastAsia="SimHei" w:hint="eastAsia"/>
              </w:rPr>
              <w:t>39</w:t>
            </w:r>
          </w:p>
        </w:tc>
      </w:tr>
      <w:tr w:rsidR="00000000">
        <w:tblPrEx>
          <w:tblCellMar>
            <w:top w:w="0" w:type="dxa"/>
            <w:bottom w:w="0" w:type="dxa"/>
          </w:tblCellMar>
        </w:tblPrEx>
        <w:tc>
          <w:tcPr>
            <w:tcW w:w="6480" w:type="dxa"/>
            <w:gridSpan w:val="2"/>
            <w:tcBorders>
              <w:bottom w:val="single" w:sz="4" w:space="0" w:color="auto"/>
            </w:tcBorders>
          </w:tcPr>
          <w:p w:rsidR="00000000" w:rsidRDefault="00457650">
            <w:pPr>
              <w:widowControl/>
              <w:tabs>
                <w:tab w:val="left" w:pos="630"/>
              </w:tabs>
              <w:spacing w:before="20" w:after="20" w:line="280" w:lineRule="exact"/>
              <w:rPr>
                <w:rFonts w:ascii="SimHei" w:eastAsia="SimHei" w:hint="eastAsia"/>
                <w:bCs/>
                <w:sz w:val="18"/>
              </w:rPr>
            </w:pPr>
            <w:r>
              <w:rPr>
                <w:rFonts w:ascii="SimHei" w:eastAsia="SimHei" w:hint="eastAsia"/>
                <w:bCs/>
                <w:sz w:val="18"/>
              </w:rPr>
              <w:t>非洲和中东</w:t>
            </w:r>
          </w:p>
        </w:tc>
      </w:tr>
      <w:tr w:rsidR="00000000">
        <w:tblPrEx>
          <w:tblCellMar>
            <w:top w:w="0" w:type="dxa"/>
            <w:bottom w:w="0" w:type="dxa"/>
          </w:tblCellMar>
        </w:tblPrEx>
        <w:tc>
          <w:tcPr>
            <w:tcW w:w="4200" w:type="dxa"/>
            <w:tcBorders>
              <w:top w:val="single" w:sz="4" w:space="0" w:color="auto"/>
            </w:tcBorders>
          </w:tcPr>
          <w:p w:rsidR="00000000" w:rsidRDefault="00457650">
            <w:pPr>
              <w:widowControl/>
              <w:tabs>
                <w:tab w:val="left" w:pos="630"/>
              </w:tabs>
              <w:spacing w:before="20" w:after="20" w:line="280" w:lineRule="exact"/>
              <w:rPr>
                <w:rFonts w:hint="eastAsia"/>
                <w:sz w:val="18"/>
              </w:rPr>
            </w:pPr>
            <w:r>
              <w:rPr>
                <w:rFonts w:hint="eastAsia"/>
                <w:sz w:val="18"/>
              </w:rPr>
              <w:t>伊朗</w:t>
            </w:r>
          </w:p>
        </w:tc>
        <w:tc>
          <w:tcPr>
            <w:tcW w:w="2280" w:type="dxa"/>
            <w:tcBorders>
              <w:top w:val="single" w:sz="4" w:space="0" w:color="auto"/>
            </w:tcBorders>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以色列</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ascii="SimHei" w:eastAsia="SimHei" w:hint="eastAsia"/>
                <w:bCs/>
                <w:sz w:val="18"/>
              </w:rPr>
            </w:pPr>
            <w:r>
              <w:rPr>
                <w:rFonts w:ascii="SimHei" w:eastAsia="SimHei"/>
                <w:bCs/>
                <w:sz w:val="18"/>
              </w:rPr>
              <w:tab/>
            </w:r>
            <w:r>
              <w:rPr>
                <w:rFonts w:ascii="SimHei" w:eastAsia="SimHei" w:hint="eastAsia"/>
                <w:bCs/>
                <w:sz w:val="18"/>
              </w:rPr>
              <w:t>小计</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ascii="SimHei" w:eastAsia="SimHei" w:hint="eastAsia"/>
              </w:rPr>
            </w:pPr>
            <w:r>
              <w:rPr>
                <w:rFonts w:ascii="SimHei" w:eastAsia="SimHei" w:hint="eastAsia"/>
              </w:rPr>
              <w:t>2</w:t>
            </w:r>
          </w:p>
        </w:tc>
      </w:tr>
      <w:tr w:rsidR="00000000">
        <w:tblPrEx>
          <w:tblCellMar>
            <w:top w:w="0" w:type="dxa"/>
            <w:bottom w:w="0" w:type="dxa"/>
          </w:tblCellMar>
        </w:tblPrEx>
        <w:tc>
          <w:tcPr>
            <w:tcW w:w="6480" w:type="dxa"/>
            <w:gridSpan w:val="2"/>
          </w:tcPr>
          <w:p w:rsidR="00000000" w:rsidRDefault="00457650">
            <w:pPr>
              <w:widowControl/>
              <w:tabs>
                <w:tab w:val="left" w:pos="630"/>
              </w:tabs>
              <w:spacing w:before="20" w:after="20" w:line="280" w:lineRule="exact"/>
              <w:rPr>
                <w:rFonts w:ascii="SimHei" w:eastAsia="SimHei" w:hint="eastAsia"/>
                <w:bCs/>
                <w:sz w:val="18"/>
              </w:rPr>
            </w:pPr>
            <w:r>
              <w:rPr>
                <w:rFonts w:ascii="SimHei" w:eastAsia="SimHei" w:hint="eastAsia"/>
                <w:bCs/>
                <w:sz w:val="18"/>
              </w:rPr>
              <w:t>国际组织和论坛</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ALCUE</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15</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CRECTEALC</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3</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粮农组织</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14</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3</w:t>
            </w:r>
            <w:r>
              <w:rPr>
                <w:rFonts w:hint="eastAsia"/>
                <w:sz w:val="18"/>
              </w:rPr>
              <w:t>国集团</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6</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全球环境基金</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8</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原子能机构</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26</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伊比利亚–美洲国家元首和政策首脑会议</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20</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农发基金</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2</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拉丁美洲教育交流研究所</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2</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国际海事组织</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美洲国家组织</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8</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开发计划署</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43</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联合国人口基金</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6</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儿童基金会</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14</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工发组织</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4</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世界卫生组织</w:t>
            </w:r>
            <w:r>
              <w:rPr>
                <w:rFonts w:hint="eastAsia"/>
                <w:sz w:val="18"/>
              </w:rPr>
              <w:t>/</w:t>
            </w:r>
            <w:r>
              <w:rPr>
                <w:rFonts w:hint="eastAsia"/>
                <w:sz w:val="18"/>
              </w:rPr>
              <w:t>泛美卫生组织</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11</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世界气象组织</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w:t>
            </w:r>
          </w:p>
        </w:tc>
      </w:tr>
      <w:tr w:rsidR="00000000">
        <w:tblPrEx>
          <w:tblCellMar>
            <w:top w:w="0" w:type="dxa"/>
            <w:bottom w:w="0" w:type="dxa"/>
          </w:tblCellMar>
        </w:tblPrEx>
        <w:tc>
          <w:tcPr>
            <w:tcW w:w="4200" w:type="dxa"/>
          </w:tcPr>
          <w:p w:rsidR="00000000" w:rsidRDefault="00457650">
            <w:pPr>
              <w:widowControl/>
              <w:tabs>
                <w:tab w:val="left" w:pos="630"/>
              </w:tabs>
              <w:spacing w:before="20" w:after="20" w:line="280" w:lineRule="exact"/>
              <w:rPr>
                <w:rFonts w:hint="eastAsia"/>
                <w:sz w:val="18"/>
              </w:rPr>
            </w:pPr>
            <w:r>
              <w:rPr>
                <w:rFonts w:hint="eastAsia"/>
                <w:sz w:val="18"/>
              </w:rPr>
              <w:t>世界旅游组织</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hint="eastAsia"/>
              </w:rPr>
            </w:pPr>
            <w:r>
              <w:rPr>
                <w:rFonts w:hint="eastAsia"/>
              </w:rPr>
              <w:t>1</w:t>
            </w:r>
          </w:p>
        </w:tc>
      </w:tr>
      <w:tr w:rsidR="00000000">
        <w:tblPrEx>
          <w:tblCellMar>
            <w:top w:w="0" w:type="dxa"/>
            <w:bottom w:w="0" w:type="dxa"/>
          </w:tblCellMar>
        </w:tblPrEx>
        <w:tc>
          <w:tcPr>
            <w:tcW w:w="4200" w:type="dxa"/>
            <w:tcBorders>
              <w:bottom w:val="single" w:sz="4" w:space="0" w:color="auto"/>
            </w:tcBorders>
          </w:tcPr>
          <w:p w:rsidR="00000000" w:rsidRDefault="00457650" w:rsidP="00457650">
            <w:pPr>
              <w:widowControl/>
              <w:tabs>
                <w:tab w:val="left" w:pos="630"/>
              </w:tabs>
              <w:spacing w:before="20" w:after="20" w:line="280" w:lineRule="exact"/>
              <w:ind w:firstLineChars="340" w:firstLine="31680"/>
              <w:rPr>
                <w:rFonts w:ascii="SimHei" w:eastAsia="SimHei" w:hint="eastAsia"/>
                <w:bCs/>
                <w:sz w:val="18"/>
              </w:rPr>
            </w:pPr>
            <w:r>
              <w:rPr>
                <w:rFonts w:ascii="SimHei" w:eastAsia="SimHei" w:hint="eastAsia"/>
                <w:bCs/>
                <w:sz w:val="18"/>
              </w:rPr>
              <w:t>小计</w:t>
            </w:r>
          </w:p>
        </w:tc>
        <w:tc>
          <w:tcPr>
            <w:tcW w:w="2280" w:type="dxa"/>
            <w:tcBorders>
              <w:bottom w:val="single" w:sz="4" w:space="0" w:color="auto"/>
            </w:tcBorders>
          </w:tcPr>
          <w:p w:rsidR="00000000" w:rsidRDefault="00457650" w:rsidP="00457650">
            <w:pPr>
              <w:pStyle w:val="Header"/>
              <w:widowControl/>
              <w:pBdr>
                <w:bottom w:val="none" w:sz="0" w:space="0" w:color="auto"/>
              </w:pBdr>
              <w:tabs>
                <w:tab w:val="clear" w:pos="4320"/>
                <w:tab w:val="clear" w:pos="8640"/>
                <w:tab w:val="left" w:pos="630"/>
              </w:tabs>
              <w:spacing w:before="20" w:after="20" w:line="280" w:lineRule="exact"/>
              <w:ind w:rightChars="348" w:right="31680"/>
              <w:jc w:val="right"/>
              <w:rPr>
                <w:rFonts w:ascii="SimHei" w:eastAsia="SimHei" w:hint="eastAsia"/>
              </w:rPr>
            </w:pPr>
            <w:r>
              <w:rPr>
                <w:rFonts w:ascii="SimHei" w:eastAsia="SimHei" w:hint="eastAsia"/>
              </w:rPr>
              <w:t>185</w:t>
            </w:r>
          </w:p>
        </w:tc>
      </w:tr>
    </w:tbl>
    <w:p w:rsidR="00000000" w:rsidRDefault="00457650">
      <w:pPr>
        <w:keepNext/>
        <w:keepLines/>
        <w:widowControl/>
        <w:tabs>
          <w:tab w:val="left" w:pos="630"/>
        </w:tabs>
        <w:spacing w:after="240" w:line="360" w:lineRule="exact"/>
        <w:jc w:val="center"/>
        <w:rPr>
          <w:rFonts w:ascii="SimHei" w:eastAsia="SimHei"/>
          <w:bCs/>
        </w:rPr>
      </w:pPr>
    </w:p>
    <w:p w:rsidR="00000000" w:rsidRDefault="00457650">
      <w:pPr>
        <w:keepNext/>
        <w:keepLines/>
        <w:widowControl/>
        <w:tabs>
          <w:tab w:val="left" w:pos="630"/>
        </w:tabs>
        <w:spacing w:after="240" w:line="360" w:lineRule="exact"/>
        <w:jc w:val="center"/>
        <w:rPr>
          <w:rFonts w:ascii="KaiTi_GB2312" w:eastAsia="KaiTi_GB2312" w:hint="eastAsia"/>
        </w:rPr>
      </w:pPr>
      <w:r>
        <w:rPr>
          <w:rFonts w:ascii="SimHei" w:eastAsia="SimHei"/>
          <w:bCs/>
        </w:rPr>
        <w:br w:type="page"/>
      </w:r>
      <w:r>
        <w:rPr>
          <w:rFonts w:ascii="SimHei" w:eastAsia="SimHei" w:hint="eastAsia"/>
          <w:bCs/>
        </w:rPr>
        <w:t xml:space="preserve">4. </w:t>
      </w:r>
      <w:r>
        <w:rPr>
          <w:rFonts w:ascii="SimHei" w:eastAsia="SimHei" w:hint="eastAsia"/>
          <w:bCs/>
        </w:rPr>
        <w:t>由国家</w:t>
      </w:r>
      <w:r>
        <w:rPr>
          <w:rFonts w:ascii="SimHei" w:eastAsia="SimHei" w:hint="eastAsia"/>
          <w:bCs/>
        </w:rPr>
        <w:t>/</w:t>
      </w:r>
      <w:r>
        <w:rPr>
          <w:rFonts w:ascii="SimHei" w:eastAsia="SimHei" w:hint="eastAsia"/>
          <w:bCs/>
        </w:rPr>
        <w:t>组织</w:t>
      </w:r>
      <w:r>
        <w:rPr>
          <w:rFonts w:ascii="SimHei" w:eastAsia="SimHei" w:hint="eastAsia"/>
          <w:bCs/>
        </w:rPr>
        <w:t>/</w:t>
      </w:r>
      <w:r>
        <w:rPr>
          <w:rFonts w:ascii="SimHei" w:eastAsia="SimHei" w:hint="eastAsia"/>
          <w:bCs/>
        </w:rPr>
        <w:t>论坛执行的合作项目</w:t>
      </w:r>
      <w:r>
        <w:rPr>
          <w:rFonts w:ascii="SimHei" w:eastAsia="SimHei"/>
          <w:bCs/>
        </w:rPr>
        <w:br/>
      </w:r>
      <w:r>
        <w:rPr>
          <w:rFonts w:ascii="KaiTi_GB2312" w:eastAsia="KaiTi_GB2312" w:hint="eastAsia"/>
          <w:bCs/>
        </w:rPr>
        <w:t>（</w:t>
      </w:r>
      <w:r>
        <w:rPr>
          <w:rFonts w:ascii="KaiTi_GB2312" w:eastAsia="KaiTi_GB2312" w:hint="eastAsia"/>
        </w:rPr>
        <w:t>2004</w:t>
      </w:r>
      <w:r>
        <w:rPr>
          <w:rFonts w:ascii="KaiTi_GB2312" w:eastAsia="KaiTi_GB2312" w:hint="eastAsia"/>
        </w:rPr>
        <w:t>年</w:t>
      </w:r>
      <w:r>
        <w:rPr>
          <w:rFonts w:ascii="KaiTi_GB2312" w:eastAsia="KaiTi_GB2312" w:hint="eastAsia"/>
        </w:rPr>
        <w:t>10</w:t>
      </w:r>
      <w:r>
        <w:rPr>
          <w:rFonts w:ascii="KaiTi_GB2312" w:eastAsia="KaiTi_GB2312" w:hint="eastAsia"/>
        </w:rPr>
        <w:t>月）</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0"/>
        <w:gridCol w:w="2280"/>
      </w:tblGrid>
      <w:tr w:rsidR="00000000">
        <w:tblPrEx>
          <w:tblCellMar>
            <w:top w:w="0" w:type="dxa"/>
            <w:bottom w:w="0" w:type="dxa"/>
          </w:tblCellMar>
        </w:tblPrEx>
        <w:tc>
          <w:tcPr>
            <w:tcW w:w="6480" w:type="dxa"/>
            <w:gridSpan w:val="2"/>
          </w:tcPr>
          <w:p w:rsidR="00000000" w:rsidRDefault="00457650">
            <w:pPr>
              <w:pStyle w:val="Date"/>
              <w:keepNext/>
              <w:keepLines/>
              <w:widowControl/>
              <w:tabs>
                <w:tab w:val="left" w:pos="630"/>
              </w:tabs>
              <w:spacing w:before="40" w:after="40" w:line="300" w:lineRule="exact"/>
              <w:rPr>
                <w:rFonts w:eastAsia="SimHei" w:hint="eastAsia"/>
                <w:sz w:val="18"/>
              </w:rPr>
            </w:pPr>
            <w:r>
              <w:rPr>
                <w:rFonts w:eastAsia="SimHei" w:hint="eastAsia"/>
                <w:sz w:val="18"/>
              </w:rPr>
              <w:t>中美洲</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美国无线电公司</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7</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伯利兹</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9</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哥斯达黎加</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35</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CA3</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0</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CA8</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1</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CA7</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19</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萨尔瓦多</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17</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危地马拉</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25</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洪都拉斯</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22</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尼加拉瓜</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39</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巴拿马</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17</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ascii="SimHei" w:eastAsia="SimHei" w:hint="eastAsia"/>
                <w:bCs/>
                <w:sz w:val="18"/>
              </w:rPr>
            </w:pPr>
            <w:r>
              <w:rPr>
                <w:rFonts w:ascii="SimHei" w:eastAsia="SimHei"/>
                <w:bCs/>
                <w:sz w:val="18"/>
              </w:rPr>
              <w:tab/>
            </w:r>
            <w:r>
              <w:rPr>
                <w:rFonts w:ascii="SimHei" w:eastAsia="SimHei" w:hint="eastAsia"/>
                <w:bCs/>
                <w:sz w:val="18"/>
              </w:rPr>
              <w:t>小计</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ascii="SimHei" w:eastAsia="SimHei" w:hint="eastAsia"/>
              </w:rPr>
            </w:pPr>
            <w:r>
              <w:rPr>
                <w:rFonts w:ascii="SimHei" w:eastAsia="SimHei" w:hint="eastAsia"/>
              </w:rPr>
              <w:t>191</w:t>
            </w:r>
          </w:p>
        </w:tc>
      </w:tr>
      <w:tr w:rsidR="00000000">
        <w:tblPrEx>
          <w:tblCellMar>
            <w:top w:w="0" w:type="dxa"/>
            <w:bottom w:w="0" w:type="dxa"/>
          </w:tblCellMar>
        </w:tblPrEx>
        <w:tc>
          <w:tcPr>
            <w:tcW w:w="6480" w:type="dxa"/>
            <w:gridSpan w:val="2"/>
          </w:tcPr>
          <w:p w:rsidR="00000000" w:rsidRDefault="00457650">
            <w:pPr>
              <w:widowControl/>
              <w:tabs>
                <w:tab w:val="left" w:pos="630"/>
              </w:tabs>
              <w:spacing w:before="40" w:after="40" w:line="300" w:lineRule="exact"/>
              <w:rPr>
                <w:rFonts w:ascii="SimHei" w:eastAsia="SimHei" w:hint="eastAsia"/>
                <w:bCs/>
                <w:sz w:val="18"/>
              </w:rPr>
            </w:pPr>
            <w:r>
              <w:rPr>
                <w:rFonts w:ascii="SimHei" w:eastAsia="SimHei" w:hint="eastAsia"/>
                <w:bCs/>
                <w:sz w:val="18"/>
              </w:rPr>
              <w:t>加勒比</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巴哈马</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2</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加勒比海地区</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0</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加勒比共同体</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4</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古巴</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66</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多米尼加共和国</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5</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海地</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0</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牙买加</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16</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特立尼达和多巴哥</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0</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ascii="SimHei" w:eastAsia="SimHei" w:hint="eastAsia"/>
                <w:bCs/>
                <w:sz w:val="18"/>
              </w:rPr>
            </w:pPr>
            <w:r>
              <w:rPr>
                <w:rFonts w:ascii="SimHei" w:eastAsia="SimHei"/>
                <w:bCs/>
                <w:sz w:val="18"/>
              </w:rPr>
              <w:tab/>
            </w:r>
            <w:r>
              <w:rPr>
                <w:rFonts w:ascii="SimHei" w:eastAsia="SimHei" w:hint="eastAsia"/>
                <w:bCs/>
                <w:sz w:val="18"/>
              </w:rPr>
              <w:t>小计</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ascii="SimHei" w:eastAsia="SimHei" w:hint="eastAsia"/>
              </w:rPr>
            </w:pPr>
            <w:r>
              <w:rPr>
                <w:rFonts w:ascii="SimHei" w:eastAsia="SimHei" w:hint="eastAsia"/>
              </w:rPr>
              <w:t>93</w:t>
            </w:r>
          </w:p>
        </w:tc>
      </w:tr>
      <w:tr w:rsidR="00000000">
        <w:tblPrEx>
          <w:tblCellMar>
            <w:top w:w="0" w:type="dxa"/>
            <w:bottom w:w="0" w:type="dxa"/>
          </w:tblCellMar>
        </w:tblPrEx>
        <w:tc>
          <w:tcPr>
            <w:tcW w:w="6480" w:type="dxa"/>
            <w:gridSpan w:val="2"/>
          </w:tcPr>
          <w:p w:rsidR="00000000" w:rsidRDefault="00457650">
            <w:pPr>
              <w:widowControl/>
              <w:tabs>
                <w:tab w:val="left" w:pos="630"/>
              </w:tabs>
              <w:spacing w:before="40" w:after="40" w:line="300" w:lineRule="exact"/>
              <w:rPr>
                <w:rFonts w:ascii="SimHei" w:eastAsia="SimHei" w:hint="eastAsia"/>
                <w:bCs/>
                <w:sz w:val="18"/>
              </w:rPr>
            </w:pPr>
            <w:r>
              <w:rPr>
                <w:rFonts w:ascii="SimHei" w:eastAsia="SimHei" w:hint="eastAsia"/>
                <w:bCs/>
                <w:sz w:val="18"/>
              </w:rPr>
              <w:t>南美洲</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阿根廷</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2</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玻利维亚</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0</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巴西</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3</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智利</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2</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哥伦比亚</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2</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巴拉圭</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4</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秘鲁</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12</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乌拉圭</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2</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委内瑞拉</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1</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不详</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0</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ascii="SimHei" w:eastAsia="SimHei" w:hint="eastAsia"/>
                <w:bCs/>
                <w:sz w:val="18"/>
              </w:rPr>
            </w:pPr>
            <w:r>
              <w:rPr>
                <w:rFonts w:ascii="SimHei" w:eastAsia="SimHei"/>
                <w:bCs/>
                <w:sz w:val="18"/>
              </w:rPr>
              <w:tab/>
            </w:r>
            <w:r>
              <w:rPr>
                <w:rFonts w:ascii="SimHei" w:eastAsia="SimHei" w:hint="eastAsia"/>
                <w:bCs/>
                <w:sz w:val="18"/>
              </w:rPr>
              <w:t>小计</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ascii="SimHei" w:eastAsia="SimHei" w:hint="eastAsia"/>
              </w:rPr>
            </w:pPr>
            <w:r>
              <w:rPr>
                <w:rFonts w:ascii="SimHei" w:eastAsia="SimHei" w:hint="eastAsia"/>
              </w:rPr>
              <w:t>28</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ascii="SimHei" w:eastAsia="SimHei" w:hint="eastAsia"/>
                <w:bCs/>
                <w:sz w:val="18"/>
              </w:rPr>
            </w:pPr>
            <w:r>
              <w:rPr>
                <w:rFonts w:ascii="SimHei" w:eastAsia="SimHei"/>
                <w:bCs/>
                <w:sz w:val="18"/>
              </w:rPr>
              <w:tab/>
            </w:r>
            <w:r>
              <w:rPr>
                <w:rFonts w:ascii="SimHei" w:eastAsia="SimHei" w:hint="eastAsia"/>
                <w:bCs/>
                <w:sz w:val="18"/>
              </w:rPr>
              <w:t>共计</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ascii="SimHei" w:eastAsia="SimHei" w:hint="eastAsia"/>
              </w:rPr>
            </w:pPr>
            <w:r>
              <w:rPr>
                <w:rFonts w:ascii="SimHei" w:eastAsia="SimHei" w:hint="eastAsia"/>
              </w:rPr>
              <w:t>732</w:t>
            </w:r>
          </w:p>
        </w:tc>
      </w:tr>
    </w:tbl>
    <w:p w:rsidR="00000000" w:rsidRDefault="00457650">
      <w:pPr>
        <w:pStyle w:val="Date"/>
        <w:widowControl/>
        <w:tabs>
          <w:tab w:val="left" w:pos="630"/>
        </w:tabs>
        <w:spacing w:line="360" w:lineRule="exact"/>
        <w:rPr>
          <w:rFonts w:hint="eastAsia"/>
          <w:bCs/>
        </w:rPr>
      </w:pPr>
    </w:p>
    <w:p w:rsidR="00000000" w:rsidRDefault="00457650">
      <w:pPr>
        <w:widowControl/>
        <w:tabs>
          <w:tab w:val="left" w:pos="630"/>
        </w:tabs>
        <w:spacing w:after="240" w:line="360" w:lineRule="exact"/>
        <w:jc w:val="center"/>
        <w:rPr>
          <w:rFonts w:ascii="KaiTi_GB2312" w:eastAsia="KaiTi_GB2312" w:hint="eastAsia"/>
        </w:rPr>
      </w:pPr>
      <w:r>
        <w:rPr>
          <w:rFonts w:ascii="SimHei" w:eastAsia="SimHei" w:hint="eastAsia"/>
          <w:bCs/>
        </w:rPr>
        <w:t xml:space="preserve">5. </w:t>
      </w:r>
      <w:r>
        <w:rPr>
          <w:rFonts w:ascii="SimHei" w:eastAsia="SimHei" w:hint="eastAsia"/>
          <w:bCs/>
        </w:rPr>
        <w:t>不同部门执行的合作项目</w:t>
      </w:r>
      <w:r>
        <w:rPr>
          <w:rFonts w:ascii="SimHei" w:eastAsia="SimHei"/>
          <w:bCs/>
        </w:rPr>
        <w:br/>
      </w:r>
      <w:r>
        <w:rPr>
          <w:rFonts w:ascii="KaiTi_GB2312" w:eastAsia="KaiTi_GB2312" w:hint="eastAsia"/>
        </w:rPr>
        <w:t>（</w:t>
      </w:r>
      <w:r>
        <w:rPr>
          <w:rFonts w:ascii="KaiTi_GB2312" w:eastAsia="KaiTi_GB2312" w:hint="eastAsia"/>
        </w:rPr>
        <w:t>2004</w:t>
      </w:r>
      <w:r>
        <w:rPr>
          <w:rFonts w:ascii="KaiTi_GB2312" w:eastAsia="KaiTi_GB2312" w:hint="eastAsia"/>
        </w:rPr>
        <w:t>年</w:t>
      </w:r>
      <w:r>
        <w:rPr>
          <w:rFonts w:ascii="KaiTi_GB2312" w:eastAsia="KaiTi_GB2312" w:hint="eastAsia"/>
        </w:rPr>
        <w:t>10</w:t>
      </w:r>
      <w:r>
        <w:rPr>
          <w:rFonts w:ascii="KaiTi_GB2312" w:eastAsia="KaiTi_GB2312" w:hint="eastAsia"/>
        </w:rPr>
        <w:t>月）</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0"/>
        <w:gridCol w:w="2280"/>
      </w:tblGrid>
      <w:tr w:rsidR="00000000">
        <w:tblPrEx>
          <w:tblCellMar>
            <w:top w:w="0" w:type="dxa"/>
            <w:bottom w:w="0" w:type="dxa"/>
          </w:tblCellMar>
        </w:tblPrEx>
        <w:tc>
          <w:tcPr>
            <w:tcW w:w="6480" w:type="dxa"/>
            <w:gridSpan w:val="2"/>
          </w:tcPr>
          <w:p w:rsidR="00000000" w:rsidRDefault="00457650">
            <w:pPr>
              <w:pStyle w:val="a3"/>
              <w:widowControl/>
              <w:tabs>
                <w:tab w:val="left" w:pos="630"/>
              </w:tabs>
              <w:adjustRightInd w:val="0"/>
              <w:spacing w:before="40" w:after="40" w:line="300" w:lineRule="exact"/>
              <w:textAlignment w:val="baseline"/>
              <w:rPr>
                <w:rFonts w:eastAsia="SimHei" w:hint="eastAsia"/>
                <w:bCs/>
                <w:kern w:val="0"/>
                <w:szCs w:val="20"/>
              </w:rPr>
            </w:pPr>
            <w:r>
              <w:rPr>
                <w:rFonts w:eastAsia="SimHei" w:hint="eastAsia"/>
                <w:bCs/>
                <w:kern w:val="0"/>
                <w:szCs w:val="20"/>
              </w:rPr>
              <w:t>部门</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行政发展</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13</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农业</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52</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通讯</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4</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文化和艺术</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50</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灾难预防和减轻</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12</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国内政策</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14</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教育</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146</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能源</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35</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环境</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73</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财政和国库</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1</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渔业</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19</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外交政策</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8</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卫生</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65</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工业</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20</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劳务</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4</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畜牧养殖</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10</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矿业</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1</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自然资源</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21</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科学</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75</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社会发展</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53</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社会福利</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2</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统计、地理和信息技术</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9</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技术</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32</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旅游</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1</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贸易</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4</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交通</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7</w:t>
            </w:r>
          </w:p>
        </w:tc>
      </w:tr>
      <w:tr w:rsidR="00000000">
        <w:tblPrEx>
          <w:tblCellMar>
            <w:top w:w="0" w:type="dxa"/>
            <w:bottom w:w="0" w:type="dxa"/>
          </w:tblCellMar>
        </w:tblPrEx>
        <w:tc>
          <w:tcPr>
            <w:tcW w:w="4200" w:type="dxa"/>
          </w:tcPr>
          <w:p w:rsidR="00000000" w:rsidRDefault="00457650">
            <w:pPr>
              <w:widowControl/>
              <w:tabs>
                <w:tab w:val="left" w:pos="630"/>
              </w:tabs>
              <w:spacing w:before="40" w:after="40" w:line="300" w:lineRule="exact"/>
              <w:rPr>
                <w:rFonts w:hint="eastAsia"/>
                <w:sz w:val="18"/>
              </w:rPr>
            </w:pPr>
            <w:r>
              <w:rPr>
                <w:rFonts w:hint="eastAsia"/>
                <w:sz w:val="18"/>
              </w:rPr>
              <w:t>不详</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hint="eastAsia"/>
              </w:rPr>
            </w:pPr>
            <w:r>
              <w:rPr>
                <w:rFonts w:hint="eastAsia"/>
              </w:rPr>
              <w:t>1</w:t>
            </w:r>
          </w:p>
        </w:tc>
      </w:tr>
      <w:tr w:rsidR="00000000">
        <w:tblPrEx>
          <w:tblCellMar>
            <w:top w:w="0" w:type="dxa"/>
            <w:bottom w:w="0" w:type="dxa"/>
          </w:tblCellMar>
        </w:tblPrEx>
        <w:tc>
          <w:tcPr>
            <w:tcW w:w="4200" w:type="dxa"/>
          </w:tcPr>
          <w:p w:rsidR="00000000" w:rsidRDefault="00457650">
            <w:pPr>
              <w:pStyle w:val="a3"/>
              <w:widowControl/>
              <w:tabs>
                <w:tab w:val="left" w:pos="630"/>
              </w:tabs>
              <w:adjustRightInd w:val="0"/>
              <w:spacing w:before="40" w:after="40" w:line="300" w:lineRule="exact"/>
              <w:textAlignment w:val="baseline"/>
              <w:rPr>
                <w:rFonts w:ascii="SimHei" w:eastAsia="SimHei" w:hint="eastAsia"/>
                <w:bCs/>
                <w:kern w:val="0"/>
                <w:szCs w:val="20"/>
              </w:rPr>
            </w:pPr>
            <w:r>
              <w:rPr>
                <w:rFonts w:ascii="SimHei" w:eastAsia="SimHei" w:hint="eastAsia"/>
                <w:bCs/>
                <w:kern w:val="0"/>
                <w:szCs w:val="20"/>
              </w:rPr>
              <w:t>共计</w:t>
            </w:r>
          </w:p>
        </w:tc>
        <w:tc>
          <w:tcPr>
            <w:tcW w:w="2280" w:type="dxa"/>
          </w:tcPr>
          <w:p w:rsidR="00000000" w:rsidRDefault="00457650" w:rsidP="00457650">
            <w:pPr>
              <w:pStyle w:val="Header"/>
              <w:widowControl/>
              <w:pBdr>
                <w:bottom w:val="none" w:sz="0" w:space="0" w:color="auto"/>
              </w:pBdr>
              <w:tabs>
                <w:tab w:val="clear" w:pos="4320"/>
                <w:tab w:val="clear" w:pos="8640"/>
                <w:tab w:val="left" w:pos="630"/>
              </w:tabs>
              <w:spacing w:before="40" w:after="40" w:line="300" w:lineRule="exact"/>
              <w:ind w:rightChars="348" w:right="31680"/>
              <w:jc w:val="right"/>
              <w:rPr>
                <w:rFonts w:ascii="SimHei" w:eastAsia="SimHei" w:hint="eastAsia"/>
              </w:rPr>
            </w:pPr>
            <w:r>
              <w:rPr>
                <w:rFonts w:ascii="SimHei" w:eastAsia="SimHei" w:hint="eastAsia"/>
              </w:rPr>
              <w:t>732</w:t>
            </w:r>
          </w:p>
        </w:tc>
      </w:tr>
    </w:tbl>
    <w:p w:rsidR="00000000" w:rsidRDefault="00457650">
      <w:pPr>
        <w:pStyle w:val="Date"/>
        <w:widowControl/>
        <w:tabs>
          <w:tab w:val="left" w:pos="630"/>
        </w:tabs>
        <w:spacing w:line="360" w:lineRule="exact"/>
        <w:rPr>
          <w:rFonts w:hint="eastAsia"/>
        </w:rPr>
      </w:pP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rPr>
        <w:t>71</w:t>
      </w:r>
      <w:r>
        <w:rPr>
          <w:rFonts w:ascii="SimHei" w:eastAsia="SimHei" w:hint="eastAsia"/>
        </w:rPr>
        <w:t>段（</w:t>
      </w:r>
      <w:r>
        <w:rPr>
          <w:rFonts w:ascii="SimHei" w:eastAsia="SimHei"/>
        </w:rPr>
        <w:t>b</w:t>
      </w:r>
      <w:r>
        <w:rPr>
          <w:rFonts w:ascii="SimHei" w:eastAsia="SimHei" w:hint="eastAsia"/>
        </w:rPr>
        <w:t>）</w:t>
      </w:r>
    </w:p>
    <w:p w:rsidR="00000000" w:rsidRDefault="00457650">
      <w:pPr>
        <w:widowControl/>
        <w:tabs>
          <w:tab w:val="left" w:pos="630"/>
        </w:tabs>
        <w:spacing w:after="240" w:line="360" w:lineRule="exact"/>
        <w:rPr>
          <w:rFonts w:hint="eastAsia"/>
        </w:rPr>
      </w:pPr>
      <w:r>
        <w:t>915</w:t>
      </w:r>
      <w:r>
        <w:rPr>
          <w:rFonts w:hint="eastAsia"/>
        </w:rPr>
        <w:t>.</w:t>
      </w:r>
      <w:r>
        <w:rPr>
          <w:rFonts w:hint="eastAsia"/>
        </w:rPr>
        <w:tab/>
      </w:r>
      <w:r>
        <w:rPr>
          <w:rFonts w:hint="eastAsia"/>
        </w:rPr>
        <w:t>国家科学和技术委员会已经和</w:t>
      </w:r>
      <w:r>
        <w:rPr>
          <w:rFonts w:hint="eastAsia"/>
        </w:rPr>
        <w:t>很多国家的政府机构、研究和发展中心签署了双边合作协议，并在发展和使现有协议及其涉及的领域和相关机构多样化的问题上保持永久性的协商战略。</w:t>
      </w:r>
    </w:p>
    <w:p w:rsidR="00000000" w:rsidRDefault="00457650">
      <w:pPr>
        <w:widowControl/>
        <w:tabs>
          <w:tab w:val="left" w:pos="630"/>
        </w:tabs>
        <w:spacing w:after="240" w:line="360" w:lineRule="exact"/>
        <w:rPr>
          <w:rFonts w:hint="eastAsia"/>
        </w:rPr>
      </w:pPr>
      <w:r>
        <w:t>916</w:t>
      </w:r>
      <w:r>
        <w:rPr>
          <w:rFonts w:hint="eastAsia"/>
        </w:rPr>
        <w:t>.</w:t>
      </w:r>
      <w:r>
        <w:rPr>
          <w:rFonts w:hint="eastAsia"/>
        </w:rPr>
        <w:tab/>
      </w:r>
      <w:r>
        <w:rPr>
          <w:rFonts w:hint="eastAsia"/>
        </w:rPr>
        <w:t>在整体发展方面，美洲国家组织正致力于通过为研究和技术革新项目融资、支持人力资源培训，加强机构的物质基础设施建设，以及推进特殊人力资源的联系与交流等手段，促进科学和技术发展。</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伊比利亚–美洲科学技术促进发展方案是伊比利亚</w:t>
      </w:r>
      <w:r>
        <w:rPr>
          <w:rFonts w:hint="eastAsia"/>
        </w:rPr>
        <w:t>-</w:t>
      </w:r>
      <w:r>
        <w:rPr>
          <w:rFonts w:hint="eastAsia"/>
        </w:rPr>
        <w:t>美洲多边项目，根据</w:t>
      </w:r>
      <w:r>
        <w:t>21</w:t>
      </w:r>
      <w:r>
        <w:rPr>
          <w:rFonts w:hint="eastAsia"/>
        </w:rPr>
        <w:t>个伊比利亚</w:t>
      </w:r>
      <w:r>
        <w:rPr>
          <w:rFonts w:hint="eastAsia"/>
        </w:rPr>
        <w:t>-</w:t>
      </w:r>
      <w:r>
        <w:rPr>
          <w:rFonts w:hint="eastAsia"/>
        </w:rPr>
        <w:t>美洲国家的机构间框架协议于</w:t>
      </w:r>
      <w:r>
        <w:t>1984</w:t>
      </w:r>
      <w:r>
        <w:rPr>
          <w:rFonts w:hint="eastAsia"/>
        </w:rPr>
        <w:t>年建立，它也受益于一些国际观察员组织的参与，比如美洲开发银行、拉加经委会、美洲</w:t>
      </w:r>
      <w:r>
        <w:rPr>
          <w:rFonts w:hint="eastAsia"/>
        </w:rPr>
        <w:t>国家组织和教科文组织等，其目标在于促进大学、研究和发展中心，以及创新产业间研究队伍的科学和技术合作，设法将取得的成果转用于伊比利亚</w:t>
      </w:r>
      <w:r>
        <w:rPr>
          <w:rFonts w:hint="eastAsia"/>
        </w:rPr>
        <w:t>-</w:t>
      </w:r>
      <w:r>
        <w:rPr>
          <w:rFonts w:hint="eastAsia"/>
        </w:rPr>
        <w:t>美洲国家的生产系统和社会政策。</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拉丁美洲物理学中心是一个地区性的国际组织，其中包括</w:t>
      </w:r>
      <w:r>
        <w:t>22</w:t>
      </w:r>
      <w:r>
        <w:rPr>
          <w:rFonts w:hint="eastAsia"/>
        </w:rPr>
        <w:t>个拉丁美洲、中美洲和加勒比国家。</w:t>
      </w:r>
      <w:r>
        <w:t>1993</w:t>
      </w:r>
      <w:r>
        <w:rPr>
          <w:rFonts w:hint="eastAsia"/>
        </w:rPr>
        <w:t>年在墨西哥成立了次总部，旨在促进拉丁美洲的物理学发展。</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国际发展研究中心是一个自治的公营公司，由加拿大议会创立，旨在推动和支持为发展中国家造福的研究，其目标是支持学术、政府和私营各部门中不同研究队伍间的合作。</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拉丁美洲生物科学网络是一个拉丁美洲地区组织，</w:t>
      </w:r>
      <w:r>
        <w:rPr>
          <w:rFonts w:hint="eastAsia"/>
        </w:rPr>
        <w:t>致力于促进生物科学发展，其目标为以下方面：</w:t>
      </w:r>
    </w:p>
    <w:p w:rsidR="00000000" w:rsidRDefault="00457650" w:rsidP="00457650">
      <w:pPr>
        <w:widowControl/>
        <w:tabs>
          <w:tab w:val="left" w:pos="630"/>
        </w:tabs>
        <w:spacing w:after="240" w:line="360" w:lineRule="exact"/>
        <w:ind w:leftChars="500" w:left="31680" w:hangingChars="200" w:firstLine="31680"/>
        <w:rPr>
          <w:rFonts w:hint="eastAsia"/>
        </w:rPr>
      </w:pPr>
      <w:r>
        <w:rPr>
          <w:rFonts w:ascii="SimSun" w:hAnsi="SimSun" w:hint="eastAsia"/>
        </w:rPr>
        <w:t>-</w:t>
      </w:r>
      <w:r>
        <w:tab/>
      </w:r>
      <w:r>
        <w:rPr>
          <w:rFonts w:hint="eastAsia"/>
        </w:rPr>
        <w:t>加快参加国在基础生物科学领域内的科学和技术发展。</w:t>
      </w:r>
    </w:p>
    <w:p w:rsidR="00000000" w:rsidRDefault="00457650" w:rsidP="00457650">
      <w:pPr>
        <w:widowControl/>
        <w:tabs>
          <w:tab w:val="left" w:pos="630"/>
        </w:tabs>
        <w:spacing w:after="240" w:line="360" w:lineRule="exact"/>
        <w:ind w:leftChars="500" w:left="31680" w:hangingChars="200" w:firstLine="31680"/>
        <w:rPr>
          <w:rFonts w:hint="eastAsia"/>
        </w:rPr>
      </w:pPr>
      <w:r>
        <w:rPr>
          <w:rFonts w:ascii="SimSun" w:hAnsi="SimSun" w:hint="eastAsia"/>
        </w:rPr>
        <w:t>-</w:t>
      </w:r>
      <w:r>
        <w:rPr>
          <w:rFonts w:hint="eastAsia"/>
        </w:rPr>
        <w:t xml:space="preserve"> </w:t>
      </w:r>
      <w:r>
        <w:rPr>
          <w:rFonts w:hint="eastAsia"/>
        </w:rPr>
        <w:tab/>
      </w:r>
      <w:r>
        <w:rPr>
          <w:rFonts w:hint="eastAsia"/>
        </w:rPr>
        <w:t>促进关系到该地区人民发展和安康的生物问题方面的科学研究。</w:t>
      </w:r>
    </w:p>
    <w:p w:rsidR="00000000" w:rsidRDefault="00457650" w:rsidP="00457650">
      <w:pPr>
        <w:widowControl/>
        <w:tabs>
          <w:tab w:val="left" w:pos="630"/>
        </w:tabs>
        <w:spacing w:after="240" w:line="360" w:lineRule="exact"/>
        <w:ind w:leftChars="500" w:left="31680" w:hangingChars="200" w:firstLine="31680"/>
        <w:rPr>
          <w:rFonts w:hint="eastAsia"/>
        </w:rPr>
      </w:pPr>
      <w:r>
        <w:rPr>
          <w:rFonts w:ascii="SimSun" w:hAnsi="SimSun" w:hint="eastAsia"/>
        </w:rPr>
        <w:t>-</w:t>
      </w:r>
      <w:r>
        <w:rPr>
          <w:rFonts w:hint="eastAsia"/>
        </w:rPr>
        <w:t xml:space="preserve"> </w:t>
      </w:r>
      <w:r>
        <w:rPr>
          <w:rFonts w:hint="eastAsia"/>
        </w:rPr>
        <w:tab/>
      </w:r>
      <w:r>
        <w:rPr>
          <w:rFonts w:hint="eastAsia"/>
        </w:rPr>
        <w:t>通过生物学家在其研究和培训活动中的合作，促进参加国间的科学和技术合作。</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国际科学基金是总部设在瑞典的一个非政府组织，为发展中国家的年轻科学家的研究项目提供资助，其资助金额达到每年</w:t>
      </w:r>
      <w:r>
        <w:t>12</w:t>
      </w:r>
      <w:r>
        <w:rPr>
          <w:rFonts w:hint="eastAsia"/>
        </w:rPr>
        <w:t xml:space="preserve"> </w:t>
      </w:r>
      <w:r>
        <w:t>000</w:t>
      </w:r>
      <w:r>
        <w:rPr>
          <w:rFonts w:hint="eastAsia"/>
        </w:rPr>
        <w:t>美元，可以更新两次。</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国际基因、工程学和生物工艺学中心创建于</w:t>
      </w:r>
      <w:r>
        <w:t>1982</w:t>
      </w:r>
      <w:r>
        <w:rPr>
          <w:rFonts w:hint="eastAsia"/>
        </w:rPr>
        <w:t>年，是一个独立的多边组织，有</w:t>
      </w:r>
      <w:r>
        <w:t>24</w:t>
      </w:r>
      <w:r>
        <w:rPr>
          <w:rFonts w:hint="eastAsia"/>
        </w:rPr>
        <w:t>个发展中国家参加，其总部设在意大利，目标就是依据中心的</w:t>
      </w:r>
      <w:r>
        <w:rPr>
          <w:rFonts w:hint="eastAsia"/>
        </w:rPr>
        <w:t>特点，通过基因工程和生物工艺学的相关合作，促进其成员国的发展。</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第三世界科学院和第三世界科学组织网是由意大利政府及其成员国提供资金，总部位于意大利，旨在利用各种方法，促进发展中国家间在不同科学知识领域内的科学合作。</w:t>
      </w:r>
    </w:p>
    <w:p w:rsidR="00000000" w:rsidRDefault="00457650">
      <w:pPr>
        <w:widowControl/>
        <w:tabs>
          <w:tab w:val="left" w:pos="630"/>
        </w:tabs>
        <w:spacing w:after="240" w:line="360" w:lineRule="exact"/>
        <w:rPr>
          <w:rFonts w:hint="eastAsia"/>
        </w:rPr>
      </w:pPr>
      <w:r>
        <w:rPr>
          <w:rFonts w:hint="eastAsia"/>
        </w:rPr>
        <w:t>917.</w:t>
      </w:r>
      <w:r>
        <w:rPr>
          <w:rFonts w:hint="eastAsia"/>
        </w:rPr>
        <w:tab/>
      </w:r>
      <w:r>
        <w:rPr>
          <w:rFonts w:hint="eastAsia"/>
        </w:rPr>
        <w:t>在文化层面的答复与要点</w:t>
      </w:r>
      <w:r>
        <w:rPr>
          <w:rFonts w:hint="eastAsia"/>
        </w:rPr>
        <w:t>1</w:t>
      </w:r>
      <w:r>
        <w:rPr>
          <w:rFonts w:hint="eastAsia"/>
        </w:rPr>
        <w:t>分段（一）和要点</w:t>
      </w:r>
      <w:r>
        <w:rPr>
          <w:rFonts w:hint="eastAsia"/>
        </w:rPr>
        <w:t>5</w:t>
      </w:r>
      <w:r>
        <w:rPr>
          <w:rFonts w:hint="eastAsia"/>
        </w:rPr>
        <w:t>分段（</w:t>
      </w:r>
      <w:r>
        <w:t>b</w:t>
      </w:r>
      <w:r>
        <w:rPr>
          <w:rFonts w:hint="eastAsia"/>
        </w:rPr>
        <w:t>）的内容相同。</w:t>
      </w:r>
    </w:p>
    <w:p w:rsidR="00000000" w:rsidRDefault="00457650">
      <w:pPr>
        <w:widowControl/>
        <w:tabs>
          <w:tab w:val="left" w:pos="630"/>
        </w:tabs>
        <w:spacing w:after="240" w:line="360" w:lineRule="exact"/>
        <w:rPr>
          <w:rFonts w:hint="eastAsia"/>
        </w:rPr>
      </w:pPr>
      <w:r>
        <w:t>918</w:t>
      </w:r>
      <w:r>
        <w:rPr>
          <w:rFonts w:hint="eastAsia"/>
        </w:rPr>
        <w:t>.</w:t>
      </w:r>
      <w:r>
        <w:rPr>
          <w:rFonts w:hint="eastAsia"/>
        </w:rPr>
        <w:tab/>
      </w:r>
      <w:r>
        <w:rPr>
          <w:rFonts w:hint="eastAsia"/>
        </w:rPr>
        <w:t>国家版权局始终支持开展各种活动，鼓励艺术团体的创新与发展，而且国内和国际知名人士参与了这些活动。</w:t>
      </w:r>
    </w:p>
    <w:p w:rsidR="00000000" w:rsidRDefault="00457650">
      <w:pPr>
        <w:widowControl/>
        <w:tabs>
          <w:tab w:val="left" w:pos="630"/>
        </w:tabs>
        <w:spacing w:after="240" w:line="360" w:lineRule="exact"/>
        <w:rPr>
          <w:rFonts w:eastAsia="SimHei" w:hint="eastAsia"/>
        </w:rPr>
      </w:pPr>
      <w:r>
        <w:rPr>
          <w:rFonts w:eastAsia="SimHei" w:hint="eastAsia"/>
        </w:rPr>
        <w:tab/>
      </w:r>
      <w:r>
        <w:rPr>
          <w:rFonts w:eastAsia="SimHei" w:hint="eastAsia"/>
        </w:rPr>
        <w:t>困难</w:t>
      </w:r>
    </w:p>
    <w:p w:rsidR="00000000" w:rsidRDefault="00457650">
      <w:pPr>
        <w:widowControl/>
        <w:tabs>
          <w:tab w:val="left" w:pos="630"/>
        </w:tabs>
        <w:spacing w:after="240" w:line="360" w:lineRule="exact"/>
        <w:rPr>
          <w:rFonts w:hint="eastAsia"/>
        </w:rPr>
      </w:pPr>
      <w:r>
        <w:t>919</w:t>
      </w:r>
      <w:r>
        <w:rPr>
          <w:rFonts w:hint="eastAsia"/>
        </w:rPr>
        <w:t>.</w:t>
      </w:r>
      <w:r>
        <w:rPr>
          <w:rFonts w:hint="eastAsia"/>
        </w:rPr>
        <w:tab/>
      </w:r>
      <w:r>
        <w:rPr>
          <w:rFonts w:hint="eastAsia"/>
        </w:rPr>
        <w:t>若要及时为国家文化和艺术委员会以及国家科学技术委员会的研究人员出席会议、发表论文及参加座谈会、</w:t>
      </w:r>
      <w:r>
        <w:rPr>
          <w:rFonts w:hint="eastAsia"/>
        </w:rPr>
        <w:t>研讨会和各种国际学术和科学论坛提供所需的支持，就需要更多的资源。</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rPr>
        <w:t>72</w:t>
      </w:r>
      <w:r>
        <w:rPr>
          <w:rFonts w:ascii="SimHei" w:eastAsia="SimHei" w:hint="eastAsia"/>
        </w:rPr>
        <w:t>段</w:t>
      </w:r>
    </w:p>
    <w:p w:rsidR="00000000" w:rsidRDefault="00457650">
      <w:pPr>
        <w:widowControl/>
        <w:tabs>
          <w:tab w:val="left" w:pos="630"/>
        </w:tabs>
        <w:spacing w:after="240" w:line="360" w:lineRule="exact"/>
        <w:rPr>
          <w:rFonts w:hint="eastAsia"/>
        </w:rPr>
      </w:pPr>
      <w:r>
        <w:t>920.</w:t>
      </w:r>
      <w:r>
        <w:tab/>
      </w:r>
      <w:r>
        <w:rPr>
          <w:rFonts w:hint="eastAsia"/>
        </w:rPr>
        <w:t>国家文化和艺术委员会以及国家科学技术委员会申明，没有发生导致情况恶化的变动。</w:t>
      </w:r>
    </w:p>
    <w:p w:rsidR="00000000" w:rsidRDefault="00457650">
      <w:pPr>
        <w:widowControl/>
        <w:tabs>
          <w:tab w:val="left" w:pos="630"/>
        </w:tabs>
        <w:spacing w:after="240" w:line="360" w:lineRule="exact"/>
        <w:rPr>
          <w:rFonts w:ascii="SimHei" w:eastAsia="SimHei" w:hint="eastAsia"/>
        </w:rPr>
      </w:pPr>
      <w:r>
        <w:rPr>
          <w:rFonts w:ascii="SimHei" w:eastAsia="SimHei" w:hint="eastAsia"/>
        </w:rPr>
        <w:t>第</w:t>
      </w:r>
      <w:r>
        <w:rPr>
          <w:rFonts w:ascii="SimHei" w:eastAsia="SimHei"/>
        </w:rPr>
        <w:t>73</w:t>
      </w:r>
      <w:r>
        <w:rPr>
          <w:rFonts w:ascii="SimHei" w:eastAsia="SimHei" w:hint="eastAsia"/>
        </w:rPr>
        <w:t>段</w:t>
      </w:r>
    </w:p>
    <w:p w:rsidR="00000000" w:rsidRDefault="00457650">
      <w:pPr>
        <w:widowControl/>
        <w:tabs>
          <w:tab w:val="left" w:pos="630"/>
        </w:tabs>
        <w:spacing w:after="240" w:line="360" w:lineRule="exact"/>
        <w:rPr>
          <w:rFonts w:hint="eastAsia"/>
        </w:rPr>
      </w:pPr>
      <w:r>
        <w:t>921</w:t>
      </w:r>
      <w:r>
        <w:rPr>
          <w:rFonts w:hint="eastAsia"/>
        </w:rPr>
        <w:t>.</w:t>
      </w:r>
      <w:r>
        <w:rPr>
          <w:rFonts w:hint="eastAsia"/>
        </w:rPr>
        <w:tab/>
      </w:r>
      <w:r>
        <w:rPr>
          <w:rFonts w:hint="eastAsia"/>
        </w:rPr>
        <w:t>墨西哥在这一方面已经签署了三项公约，分别处于生效或批准阶段，因此没有提交相关报告。</w:t>
      </w:r>
    </w:p>
    <w:p w:rsidR="00000000" w:rsidRDefault="00457650">
      <w:pPr>
        <w:keepNext/>
        <w:widowControl/>
        <w:tabs>
          <w:tab w:val="left" w:pos="630"/>
        </w:tabs>
        <w:spacing w:after="240" w:line="360" w:lineRule="exact"/>
        <w:rPr>
          <w:rFonts w:ascii="SimHei" w:eastAsia="SimHei" w:hint="eastAsia"/>
        </w:rPr>
      </w:pPr>
      <w:r>
        <w:rPr>
          <w:rFonts w:ascii="SimHei" w:eastAsia="SimHei" w:hint="eastAsia"/>
        </w:rPr>
        <w:t>第</w:t>
      </w:r>
      <w:r>
        <w:rPr>
          <w:rFonts w:ascii="SimHei" w:eastAsia="SimHei"/>
        </w:rPr>
        <w:t>74</w:t>
      </w:r>
      <w:r>
        <w:rPr>
          <w:rFonts w:ascii="SimHei" w:eastAsia="SimHei" w:hint="eastAsia"/>
        </w:rPr>
        <w:t>段</w:t>
      </w:r>
    </w:p>
    <w:p w:rsidR="00000000" w:rsidRDefault="00457650">
      <w:pPr>
        <w:keepNext/>
        <w:widowControl/>
        <w:tabs>
          <w:tab w:val="left" w:pos="630"/>
        </w:tabs>
        <w:spacing w:after="240" w:line="360" w:lineRule="exact"/>
        <w:rPr>
          <w:rFonts w:hint="eastAsia"/>
        </w:rPr>
      </w:pPr>
      <w:r>
        <w:t>922</w:t>
      </w:r>
      <w:r>
        <w:rPr>
          <w:rFonts w:hint="eastAsia"/>
        </w:rPr>
        <w:t>.</w:t>
      </w:r>
      <w:r>
        <w:rPr>
          <w:rFonts w:hint="eastAsia"/>
        </w:rPr>
        <w:tab/>
      </w:r>
      <w:r>
        <w:rPr>
          <w:rFonts w:hint="eastAsia"/>
        </w:rPr>
        <w:t>尽管墨西哥正在研究这个问题，但仍缺少制定文化指标的精确方法，这需要技术支持。</w:t>
      </w:r>
    </w:p>
    <w:p w:rsidR="00000000" w:rsidRDefault="00457650">
      <w:pPr>
        <w:widowControl/>
        <w:tabs>
          <w:tab w:val="left" w:pos="630"/>
        </w:tabs>
        <w:spacing w:after="240" w:line="360" w:lineRule="exact"/>
        <w:rPr>
          <w:rFonts w:hint="eastAsia"/>
        </w:rPr>
      </w:pPr>
      <w:r>
        <w:t>923</w:t>
      </w:r>
      <w:r>
        <w:rPr>
          <w:rFonts w:hint="eastAsia"/>
        </w:rPr>
        <w:t>.</w:t>
      </w:r>
      <w:r>
        <w:rPr>
          <w:rFonts w:hint="eastAsia"/>
        </w:rPr>
        <w:tab/>
      </w:r>
      <w:r>
        <w:rPr>
          <w:rFonts w:hint="eastAsia"/>
        </w:rPr>
        <w:t>与此同时，国家文化和艺术委员会还参加了为准备</w:t>
      </w:r>
      <w:r>
        <w:t>2003</w:t>
      </w:r>
      <w:r>
        <w:rPr>
          <w:rFonts w:hint="eastAsia"/>
        </w:rPr>
        <w:t>年</w:t>
      </w:r>
      <w:r>
        <w:t>10</w:t>
      </w:r>
      <w:r>
        <w:rPr>
          <w:rFonts w:hint="eastAsia"/>
        </w:rPr>
        <w:t>月</w:t>
      </w:r>
      <w:r>
        <w:t>17</w:t>
      </w:r>
      <w:r>
        <w:rPr>
          <w:rFonts w:hint="eastAsia"/>
        </w:rPr>
        <w:t>日在法国巴黎签署的联合国教育、科学及文化组织（教科文组织）《无形文化遗产</w:t>
      </w:r>
      <w:r>
        <w:rPr>
          <w:rFonts w:hint="eastAsia"/>
        </w:rPr>
        <w:t>保护公约》举行的会议，该文书正在墨西哥政府的批准中。</w:t>
      </w:r>
    </w:p>
    <w:p w:rsidR="00000000" w:rsidRDefault="00457650">
      <w:pPr>
        <w:widowControl/>
        <w:tabs>
          <w:tab w:val="left" w:pos="630"/>
        </w:tabs>
        <w:spacing w:after="240" w:line="360" w:lineRule="exact"/>
        <w:rPr>
          <w:rFonts w:hint="eastAsia"/>
        </w:rPr>
      </w:pPr>
      <w:r>
        <w:t>924</w:t>
      </w:r>
      <w:r>
        <w:rPr>
          <w:rFonts w:hint="eastAsia"/>
        </w:rPr>
        <w:t>.</w:t>
      </w:r>
      <w:r>
        <w:rPr>
          <w:rFonts w:hint="eastAsia"/>
        </w:rPr>
        <w:tab/>
      </w:r>
      <w:r>
        <w:rPr>
          <w:rFonts w:hint="eastAsia"/>
        </w:rPr>
        <w:t>还应指出，在</w:t>
      </w:r>
      <w:r>
        <w:t>2001</w:t>
      </w:r>
      <w:r>
        <w:rPr>
          <w:rFonts w:hint="eastAsia"/>
        </w:rPr>
        <w:t>年</w:t>
      </w:r>
      <w:r>
        <w:t>10</w:t>
      </w:r>
      <w:r>
        <w:rPr>
          <w:rFonts w:hint="eastAsia"/>
        </w:rPr>
        <w:t>月</w:t>
      </w:r>
      <w:r>
        <w:t>15</w:t>
      </w:r>
      <w:r>
        <w:rPr>
          <w:rFonts w:hint="eastAsia"/>
        </w:rPr>
        <w:t>日至</w:t>
      </w:r>
      <w:r>
        <w:t>11</w:t>
      </w:r>
      <w:r>
        <w:rPr>
          <w:rFonts w:hint="eastAsia"/>
        </w:rPr>
        <w:t>月</w:t>
      </w:r>
      <w:r>
        <w:t>3</w:t>
      </w:r>
      <w:r>
        <w:rPr>
          <w:rFonts w:hint="eastAsia"/>
        </w:rPr>
        <w:t>日召开的教科文组织大会第三十一届会议期间，国家文化和艺术委员会通过</w:t>
      </w:r>
      <w:r>
        <w:t>国家人类学和历史研究所</w:t>
      </w:r>
      <w:r>
        <w:rPr>
          <w:rFonts w:hint="eastAsia"/>
        </w:rPr>
        <w:t>，积极参与了</w:t>
      </w:r>
      <w:r>
        <w:t>2001</w:t>
      </w:r>
      <w:r>
        <w:rPr>
          <w:rFonts w:hint="eastAsia"/>
        </w:rPr>
        <w:t>年</w:t>
      </w:r>
      <w:r>
        <w:t>11</w:t>
      </w:r>
      <w:r>
        <w:rPr>
          <w:rFonts w:hint="eastAsia"/>
        </w:rPr>
        <w:t>月</w:t>
      </w:r>
      <w:r>
        <w:t>2</w:t>
      </w:r>
      <w:r>
        <w:rPr>
          <w:rFonts w:hint="eastAsia"/>
        </w:rPr>
        <w:t>日在法国巴黎通过的《水下文化遗产保护公约》准备工作，这项文书也在墨西哥的批准中。</w:t>
      </w:r>
    </w:p>
    <w:p w:rsidR="00000000" w:rsidRDefault="00457650">
      <w:pPr>
        <w:widowControl/>
        <w:tabs>
          <w:tab w:val="left" w:pos="630"/>
        </w:tabs>
        <w:spacing w:after="240" w:line="360" w:lineRule="exact"/>
        <w:rPr>
          <w:rFonts w:hint="eastAsia"/>
        </w:rPr>
      </w:pPr>
      <w:r>
        <w:t>925</w:t>
      </w:r>
      <w:r>
        <w:rPr>
          <w:rFonts w:hint="eastAsia"/>
        </w:rPr>
        <w:t>.</w:t>
      </w:r>
      <w:r>
        <w:rPr>
          <w:rFonts w:hint="eastAsia"/>
        </w:rPr>
        <w:tab/>
      </w:r>
      <w:r>
        <w:rPr>
          <w:rFonts w:hint="eastAsia"/>
        </w:rPr>
        <w:t>我们还可以补充一点，最后一次在</w:t>
      </w:r>
      <w:r>
        <w:t>2003</w:t>
      </w:r>
      <w:r>
        <w:rPr>
          <w:rFonts w:hint="eastAsia"/>
        </w:rPr>
        <w:t>年</w:t>
      </w:r>
      <w:r>
        <w:t>9</w:t>
      </w:r>
      <w:r>
        <w:rPr>
          <w:rFonts w:hint="eastAsia"/>
        </w:rPr>
        <w:t>月</w:t>
      </w:r>
      <w:r>
        <w:t>29</w:t>
      </w:r>
      <w:r>
        <w:rPr>
          <w:rFonts w:hint="eastAsia"/>
        </w:rPr>
        <w:t>日到</w:t>
      </w:r>
      <w:r>
        <w:t>10</w:t>
      </w:r>
      <w:r>
        <w:rPr>
          <w:rFonts w:hint="eastAsia"/>
        </w:rPr>
        <w:t>月</w:t>
      </w:r>
      <w:r>
        <w:t xml:space="preserve">7 </w:t>
      </w:r>
      <w:r>
        <w:rPr>
          <w:rFonts w:hint="eastAsia"/>
        </w:rPr>
        <w:t>日召开的教科文组织大会第三十二届会议上讨论的教科文组织《文化多样性公约》也准备就绪。</w:t>
      </w:r>
    </w:p>
    <w:p w:rsidR="00000000" w:rsidRDefault="00457650">
      <w:pPr>
        <w:widowControl/>
        <w:tabs>
          <w:tab w:val="left" w:pos="630"/>
        </w:tabs>
        <w:spacing w:after="240" w:line="360" w:lineRule="exact"/>
        <w:rPr>
          <w:rFonts w:hint="eastAsia"/>
        </w:rPr>
      </w:pPr>
      <w:r>
        <w:t>926</w:t>
      </w:r>
      <w:r>
        <w:rPr>
          <w:rFonts w:hint="eastAsia"/>
        </w:rPr>
        <w:t>.</w:t>
      </w:r>
      <w:r>
        <w:rPr>
          <w:rFonts w:hint="eastAsia"/>
        </w:rPr>
        <w:tab/>
      </w:r>
      <w:r>
        <w:rPr>
          <w:rFonts w:hint="eastAsia"/>
        </w:rPr>
        <w:t>为了审议该公约草案，教科文组织文化部</w:t>
      </w:r>
      <w:r>
        <w:rPr>
          <w:rFonts w:hint="eastAsia"/>
        </w:rPr>
        <w:t>于</w:t>
      </w:r>
      <w:r>
        <w:t>2003</w:t>
      </w:r>
      <w:r>
        <w:rPr>
          <w:rFonts w:hint="eastAsia"/>
        </w:rPr>
        <w:t>年</w:t>
      </w:r>
      <w:r>
        <w:t>12</w:t>
      </w:r>
      <w:r>
        <w:rPr>
          <w:rFonts w:hint="eastAsia"/>
        </w:rPr>
        <w:t>月</w:t>
      </w:r>
      <w:r>
        <w:t>17</w:t>
      </w:r>
      <w:r>
        <w:rPr>
          <w:rFonts w:hint="eastAsia"/>
        </w:rPr>
        <w:t>日至</w:t>
      </w:r>
      <w:r>
        <w:t>21</w:t>
      </w:r>
      <w:r>
        <w:rPr>
          <w:rFonts w:hint="eastAsia"/>
        </w:rPr>
        <w:t>日组织了一次会议，与会者有来自阿根廷、澳大利亚、巴巴多斯、加拿大、埃及、法国、德国、加纳、匈牙利、印度、日本、黎巴嫩、俄罗斯联邦、塞内加尔和美国等</w:t>
      </w:r>
      <w:r>
        <w:t>15</w:t>
      </w:r>
      <w:r>
        <w:rPr>
          <w:rFonts w:hint="eastAsia"/>
        </w:rPr>
        <w:t>个国家的专家。国家文化和艺术委员会密切关注将最终通过该公约的会议进展情况，并且提交了报告评论。</w:t>
      </w:r>
    </w:p>
    <w:p w:rsidR="00000000" w:rsidRDefault="00457650">
      <w:pPr>
        <w:widowControl/>
        <w:tabs>
          <w:tab w:val="left" w:pos="630"/>
        </w:tabs>
        <w:spacing w:after="240" w:line="360" w:lineRule="exact"/>
        <w:rPr>
          <w:rFonts w:hint="eastAsia"/>
        </w:rPr>
      </w:pPr>
      <w:r>
        <w:t>927</w:t>
      </w:r>
      <w:r>
        <w:rPr>
          <w:rFonts w:hint="eastAsia"/>
        </w:rPr>
        <w:t>.</w:t>
      </w:r>
      <w:r>
        <w:rPr>
          <w:rFonts w:hint="eastAsia"/>
        </w:rPr>
        <w:tab/>
      </w:r>
      <w:r>
        <w:rPr>
          <w:rFonts w:hint="eastAsia"/>
        </w:rPr>
        <w:t>另外，国家文化和艺术委员会一些单位都派代表参加了多边国际论坛和实体，一种有效的办法，有助于提升和巩固墨西哥文化在世界的影响。因此这种参与受到高度重视，尤其是在上述组织，如教科文组织、欧洲联盟、国际名胜古迹理事会和国际文物保存和</w:t>
      </w:r>
      <w:r>
        <w:rPr>
          <w:rFonts w:hint="eastAsia"/>
        </w:rPr>
        <w:t>修复研究中心。</w:t>
      </w:r>
    </w:p>
    <w:p w:rsidR="00000000" w:rsidRDefault="00457650">
      <w:pPr>
        <w:widowControl/>
        <w:tabs>
          <w:tab w:val="left" w:pos="630"/>
        </w:tabs>
        <w:spacing w:after="240" w:line="360" w:lineRule="exact"/>
        <w:rPr>
          <w:rFonts w:hint="eastAsia"/>
        </w:rPr>
      </w:pPr>
      <w:r>
        <w:t>928</w:t>
      </w:r>
      <w:r>
        <w:rPr>
          <w:rFonts w:hint="eastAsia"/>
        </w:rPr>
        <w:t>.</w:t>
      </w:r>
      <w:r>
        <w:rPr>
          <w:rFonts w:hint="eastAsia"/>
        </w:rPr>
        <w:tab/>
      </w:r>
      <w:r>
        <w:rPr>
          <w:rFonts w:hint="eastAsia"/>
        </w:rPr>
        <w:t>关于双边合作，在</w:t>
      </w:r>
      <w:r>
        <w:t>1998</w:t>
      </w:r>
      <w:r>
        <w:rPr>
          <w:rFonts w:hint="eastAsia"/>
        </w:rPr>
        <w:t>-</w:t>
      </w:r>
      <w:r>
        <w:t>2003</w:t>
      </w:r>
      <w:r>
        <w:rPr>
          <w:rFonts w:hint="eastAsia"/>
        </w:rPr>
        <w:t>年期间，国家文化和艺术委员会各单位一直在为墨西哥代表团在常设联合委员会会议上的最佳表现提供必要支持，而且还努力与共同组织会议的国家类似团体或学术团体建立和</w:t>
      </w:r>
      <w:r>
        <w:rPr>
          <w:rFonts w:hint="eastAsia"/>
        </w:rPr>
        <w:t>/</w:t>
      </w:r>
      <w:r>
        <w:rPr>
          <w:rFonts w:hint="eastAsia"/>
        </w:rPr>
        <w:t>或加强协作关系，制定具体的建议，并纳入每个教育和文化合作项目中。</w:t>
      </w:r>
    </w:p>
    <w:p w:rsidR="00000000" w:rsidRDefault="00457650">
      <w:pPr>
        <w:widowControl/>
        <w:tabs>
          <w:tab w:val="left" w:pos="630"/>
        </w:tabs>
        <w:spacing w:after="240" w:line="360" w:lineRule="exact"/>
        <w:rPr>
          <w:rFonts w:hint="eastAsia"/>
        </w:rPr>
      </w:pPr>
      <w:r>
        <w:t>929</w:t>
      </w:r>
      <w:r>
        <w:rPr>
          <w:rFonts w:hint="eastAsia"/>
        </w:rPr>
        <w:t>.</w:t>
      </w:r>
      <w:r>
        <w:rPr>
          <w:rFonts w:hint="eastAsia"/>
        </w:rPr>
        <w:tab/>
      </w:r>
      <w:r>
        <w:rPr>
          <w:rFonts w:hint="eastAsia"/>
        </w:rPr>
        <w:t>需要特别提及的是，国家文化和艺术委员会通过直接协助进行文化和艺术遗产保存和修复工作的墨西哥专家，与中美洲和加勒比地区各国开展了以下形式的合作：为了在文化促进、大众和土著文化、岩画艺术、博物馆科学、艺术教育和工艺技巧方面对</w:t>
      </w:r>
      <w:r>
        <w:rPr>
          <w:rFonts w:hint="eastAsia"/>
        </w:rPr>
        <w:t>这些国家的专家进行培训，提供了技术咨询服务，举办了研讨会、会议、培训班和讲习班，并对其工作进行监督。</w:t>
      </w:r>
    </w:p>
    <w:p w:rsidR="00000000" w:rsidRDefault="00457650">
      <w:pPr>
        <w:widowControl/>
        <w:tabs>
          <w:tab w:val="left" w:pos="630"/>
        </w:tabs>
        <w:spacing w:after="240" w:line="360" w:lineRule="exact"/>
        <w:rPr>
          <w:rFonts w:hint="eastAsia"/>
        </w:rPr>
      </w:pPr>
      <w:r>
        <w:t>930</w:t>
      </w:r>
      <w:r>
        <w:rPr>
          <w:rFonts w:hint="eastAsia"/>
        </w:rPr>
        <w:t>.</w:t>
      </w:r>
      <w:r>
        <w:rPr>
          <w:rFonts w:hint="eastAsia"/>
        </w:rPr>
        <w:tab/>
      </w:r>
      <w:r>
        <w:rPr>
          <w:rFonts w:hint="eastAsia"/>
        </w:rPr>
        <w:t>关于学术和研究合作，在</w:t>
      </w:r>
      <w:r>
        <w:t>1998</w:t>
      </w:r>
      <w:r>
        <w:rPr>
          <w:rFonts w:hint="eastAsia"/>
        </w:rPr>
        <w:t>年和</w:t>
      </w:r>
      <w:r>
        <w:t>2003</w:t>
      </w:r>
      <w:r>
        <w:rPr>
          <w:rFonts w:hint="eastAsia"/>
        </w:rPr>
        <w:t>年，按长期计划颁发了研究生奖学金，以及由外国政府和机构及各种国际组织提供的部分助学金。</w:t>
      </w:r>
    </w:p>
    <w:p w:rsidR="00000000" w:rsidRDefault="00457650">
      <w:pPr>
        <w:widowControl/>
        <w:tabs>
          <w:tab w:val="left" w:pos="630"/>
        </w:tabs>
        <w:spacing w:after="240" w:line="360" w:lineRule="exact"/>
        <w:rPr>
          <w:rFonts w:hint="eastAsia"/>
        </w:rPr>
      </w:pPr>
      <w:r>
        <w:t>931</w:t>
      </w:r>
      <w:r>
        <w:rPr>
          <w:rFonts w:hint="eastAsia"/>
        </w:rPr>
        <w:t>.</w:t>
      </w:r>
      <w:r>
        <w:rPr>
          <w:rFonts w:hint="eastAsia"/>
        </w:rPr>
        <w:tab/>
      </w:r>
      <w:r>
        <w:rPr>
          <w:rFonts w:hint="eastAsia"/>
        </w:rPr>
        <w:t>尤其是一个名为“墨西哥土著民族简况”的项目，于</w:t>
      </w:r>
      <w:r>
        <w:t>1997</w:t>
      </w:r>
      <w:r>
        <w:rPr>
          <w:rFonts w:hint="eastAsia"/>
        </w:rPr>
        <w:t>年</w:t>
      </w:r>
      <w:r>
        <w:t>6</w:t>
      </w:r>
      <w:r>
        <w:rPr>
          <w:rFonts w:hint="eastAsia"/>
        </w:rPr>
        <w:t>月由世界银行墨西哥部和墨西哥政府启动，其主要目标包括为世界银行项目管理人员以及政府机构提供完整的基本信息，并由此减少对个别社会评估的投资。它还谋求将统计和分析数据交由各行动者处理，包括非政府组织、研究人</w:t>
      </w:r>
      <w:r>
        <w:rPr>
          <w:rFonts w:hint="eastAsia"/>
        </w:rPr>
        <w:t>员、学术和土著团体等。除了地区和国家情况简况，一些来自国家人类学和历史研究所和当时的国家土著民族研究所的摄影师制作了一个地理参考资料库，其中包括关于土著民族人口、社会经济、文化和生态的数据。另外，还成立了一个有若干机构参加的政府工作组。</w:t>
      </w:r>
    </w:p>
    <w:p w:rsidR="00000000" w:rsidRDefault="00457650">
      <w:pPr>
        <w:widowControl/>
        <w:tabs>
          <w:tab w:val="left" w:pos="630"/>
        </w:tabs>
        <w:spacing w:after="240" w:line="360" w:lineRule="exact"/>
        <w:rPr>
          <w:rFonts w:hint="eastAsia"/>
        </w:rPr>
      </w:pPr>
      <w:r>
        <w:t>932</w:t>
      </w:r>
      <w:r>
        <w:rPr>
          <w:rFonts w:hint="eastAsia"/>
        </w:rPr>
        <w:t>.</w:t>
      </w:r>
      <w:r>
        <w:rPr>
          <w:rFonts w:hint="eastAsia"/>
        </w:rPr>
        <w:tab/>
      </w:r>
      <w:r>
        <w:rPr>
          <w:rFonts w:hint="eastAsia"/>
        </w:rPr>
        <w:t>另外，通过大众和土著文化部以及教科文组织，国家文化和艺术委员会签署了一项技术合作协议，以完成名为“文化重建”的项目，目前该项目由恰帕斯、格雷罗和瓦哈卡的土著团体执行，旨在加强和丰富他们自己的文化。为了完成这一项目，</w:t>
      </w:r>
      <w:r>
        <w:t>360</w:t>
      </w:r>
      <w:r>
        <w:rPr>
          <w:rFonts w:hint="eastAsia"/>
        </w:rPr>
        <w:t>个团体促进人员在</w:t>
      </w:r>
      <w:r>
        <w:t>2003</w:t>
      </w:r>
      <w:r>
        <w:rPr>
          <w:rFonts w:hint="eastAsia"/>
        </w:rPr>
        <w:t>年接受了培训，以便准</w:t>
      </w:r>
      <w:r>
        <w:rPr>
          <w:rFonts w:hint="eastAsia"/>
        </w:rPr>
        <w:t>备其团体的文化分析，为文化重建设计改革倡议。更多的参与者（大约</w:t>
      </w:r>
      <w:r>
        <w:t>100</w:t>
      </w:r>
      <w:r>
        <w:rPr>
          <w:rFonts w:hint="eastAsia"/>
        </w:rPr>
        <w:t>位技术人员和相关组织）参与了该项目，尽管它们没有参加基础讲习班，但都获得了促进和加强其团体活动的各种能力。</w:t>
      </w:r>
    </w:p>
    <w:p w:rsidR="00000000" w:rsidRDefault="00457650">
      <w:pPr>
        <w:widowControl/>
        <w:tabs>
          <w:tab w:val="left" w:pos="630"/>
        </w:tabs>
        <w:spacing w:after="240" w:line="360" w:lineRule="exact"/>
        <w:rPr>
          <w:rFonts w:hint="eastAsia"/>
        </w:rPr>
      </w:pPr>
      <w:r>
        <w:t>933</w:t>
      </w:r>
      <w:r>
        <w:rPr>
          <w:rFonts w:hint="eastAsia"/>
        </w:rPr>
        <w:t>.</w:t>
      </w:r>
      <w:r>
        <w:rPr>
          <w:rFonts w:hint="eastAsia"/>
        </w:rPr>
        <w:tab/>
      </w:r>
      <w:r>
        <w:rPr>
          <w:rFonts w:hint="eastAsia"/>
        </w:rPr>
        <w:t>教科文组织</w:t>
      </w:r>
      <w:r>
        <w:t>1996</w:t>
      </w:r>
      <w:r>
        <w:rPr>
          <w:rFonts w:hint="eastAsia"/>
        </w:rPr>
        <w:t>年《世界语言权利宣言》宣布设立国际母语日，以加强旨在促进语言保护的国际倡议，为此，</w:t>
      </w:r>
      <w:r>
        <w:t>1999</w:t>
      </w:r>
      <w:r>
        <w:rPr>
          <w:rFonts w:hint="eastAsia"/>
        </w:rPr>
        <w:t>年</w:t>
      </w:r>
      <w:r>
        <w:t>11</w:t>
      </w:r>
      <w:r>
        <w:rPr>
          <w:rFonts w:hint="eastAsia"/>
        </w:rPr>
        <w:t>月</w:t>
      </w:r>
      <w:r>
        <w:t>18</w:t>
      </w:r>
      <w:r>
        <w:rPr>
          <w:rFonts w:hint="eastAsia"/>
        </w:rPr>
        <w:t>日通过了一项承认保护人类语言和文化遗产重要性的决议，建议会员国创造条件，建立有利于使用多种语言的国际社会、智能和交流环境。</w:t>
      </w:r>
      <w:r>
        <w:rPr>
          <w:rFonts w:hint="eastAsia"/>
        </w:rPr>
        <w:t>1980</w:t>
      </w:r>
      <w:r>
        <w:rPr>
          <w:rFonts w:hint="eastAsia"/>
        </w:rPr>
        <w:t>年美洲印第安人事务研究所、教科文组织以及拉丁美洲成人教育和实用识字区域中心，</w:t>
      </w:r>
      <w:r>
        <w:rPr>
          <w:rFonts w:hint="eastAsia"/>
        </w:rPr>
        <w:t>召开了两种语言和两种文化教育会议，并在此基础上签署了关于语言使用权的</w:t>
      </w:r>
      <w:r>
        <w:rPr>
          <w:rFonts w:hint="eastAsia"/>
        </w:rPr>
        <w:t>P</w:t>
      </w:r>
      <w:r>
        <w:t>átzcuaro</w:t>
      </w:r>
      <w:r>
        <w:rPr>
          <w:rFonts w:hint="eastAsia"/>
        </w:rPr>
        <w:t>宣言。</w:t>
      </w:r>
      <w:r>
        <w:rPr>
          <w:rFonts w:hint="eastAsia"/>
        </w:rPr>
        <w:t>2000</w:t>
      </w:r>
      <w:r>
        <w:rPr>
          <w:rFonts w:hint="eastAsia"/>
        </w:rPr>
        <w:t>年土著语言作家组织发表了一项关于墨西哥民族、语言和文化多样性的宣言。</w:t>
      </w:r>
    </w:p>
    <w:p w:rsidR="00000000" w:rsidRDefault="00457650">
      <w:pPr>
        <w:widowControl/>
        <w:tabs>
          <w:tab w:val="left" w:pos="630"/>
        </w:tabs>
        <w:spacing w:after="240" w:line="360" w:lineRule="exact"/>
        <w:rPr>
          <w:rFonts w:hint="eastAsia"/>
        </w:rPr>
      </w:pPr>
      <w:r>
        <w:t>934</w:t>
      </w:r>
      <w:r>
        <w:rPr>
          <w:rFonts w:hint="eastAsia"/>
        </w:rPr>
        <w:t>.</w:t>
      </w:r>
      <w:r>
        <w:rPr>
          <w:rFonts w:hint="eastAsia"/>
        </w:rPr>
        <w:tab/>
      </w:r>
      <w:r>
        <w:rPr>
          <w:rFonts w:hint="eastAsia"/>
        </w:rPr>
        <w:t>针对土著居民的要求，联邦执行机构最近颁布了一些十分重要的决定和项目，以保持和发展他们的语言。在国家一级，最重要的是</w:t>
      </w:r>
      <w:r>
        <w:t>2001</w:t>
      </w:r>
      <w:r>
        <w:rPr>
          <w:rFonts w:hint="eastAsia"/>
        </w:rPr>
        <w:t>年“不同文化间双语教育的总体协调”项目，以及“国家土著语言研究所”项目的创建。</w:t>
      </w:r>
    </w:p>
    <w:p w:rsidR="00000000" w:rsidRDefault="00457650">
      <w:pPr>
        <w:pStyle w:val="Date"/>
        <w:widowControl/>
        <w:tabs>
          <w:tab w:val="left" w:pos="630"/>
        </w:tabs>
        <w:spacing w:after="240" w:line="360" w:lineRule="exact"/>
        <w:jc w:val="center"/>
        <w:rPr>
          <w:rFonts w:eastAsia="SimHei" w:hint="eastAsia"/>
          <w:sz w:val="28"/>
        </w:rPr>
      </w:pPr>
      <w:r>
        <w:rPr>
          <w:rFonts w:eastAsia="SimHei" w:hint="eastAsia"/>
          <w:sz w:val="28"/>
        </w:rPr>
        <w:t>三、对结论意见和建议的答复</w:t>
      </w:r>
    </w:p>
    <w:p w:rsidR="00000000" w:rsidRDefault="00457650">
      <w:pPr>
        <w:widowControl/>
        <w:tabs>
          <w:tab w:val="left" w:pos="630"/>
        </w:tabs>
        <w:spacing w:after="240" w:line="360" w:lineRule="exact"/>
        <w:rPr>
          <w:rFonts w:hint="eastAsia"/>
        </w:rPr>
      </w:pPr>
      <w:r>
        <w:t>935</w:t>
      </w:r>
      <w:r>
        <w:rPr>
          <w:rFonts w:hint="eastAsia"/>
        </w:rPr>
        <w:t>.</w:t>
      </w:r>
      <w:r>
        <w:rPr>
          <w:rFonts w:hint="eastAsia"/>
        </w:rPr>
        <w:tab/>
      </w:r>
      <w:r>
        <w:rPr>
          <w:rFonts w:hint="eastAsia"/>
        </w:rPr>
        <w:t>根据经济、社会和文化权利委员会认可的关于第三次定期报告（</w:t>
      </w:r>
      <w:r>
        <w:t>E/C.12/1/Add.41</w:t>
      </w:r>
      <w:r>
        <w:rPr>
          <w:rFonts w:hint="eastAsia"/>
        </w:rPr>
        <w:t>）的结</w:t>
      </w:r>
      <w:r>
        <w:rPr>
          <w:rFonts w:hint="eastAsia"/>
        </w:rPr>
        <w:t>论性意见，以下部分旨在让委员会了解墨西哥政府对其意见和建议的注意。</w:t>
      </w:r>
    </w:p>
    <w:p w:rsidR="00000000" w:rsidRDefault="00457650" w:rsidP="00457650">
      <w:pPr>
        <w:widowControl/>
        <w:tabs>
          <w:tab w:val="left" w:pos="630"/>
        </w:tabs>
        <w:spacing w:after="240" w:line="360" w:lineRule="exact"/>
        <w:ind w:leftChars="300" w:left="31680"/>
        <w:rPr>
          <w:rFonts w:ascii="KaiTi_GB2312" w:eastAsia="KaiTi_GB2312" w:hint="eastAsia"/>
          <w:b/>
          <w:bCs/>
          <w:iCs/>
        </w:rPr>
      </w:pPr>
      <w:r>
        <w:rPr>
          <w:rFonts w:ascii="KaiTi_GB2312" w:eastAsia="KaiTi_GB2312"/>
          <w:b/>
          <w:bCs/>
          <w:iCs/>
        </w:rPr>
        <w:t>15</w:t>
      </w:r>
      <w:r>
        <w:rPr>
          <w:rFonts w:ascii="KaiTi_GB2312" w:eastAsia="KaiTi_GB2312" w:hint="eastAsia"/>
          <w:b/>
          <w:bCs/>
          <w:iCs/>
        </w:rPr>
        <w:t>．委员在审查前次报告之后，对缔约国没有充分依照结论性意见和具体建议表示关注</w:t>
      </w:r>
    </w:p>
    <w:p w:rsidR="00000000" w:rsidRDefault="00457650">
      <w:pPr>
        <w:widowControl/>
        <w:tabs>
          <w:tab w:val="left" w:pos="630"/>
        </w:tabs>
        <w:spacing w:after="240" w:line="360" w:lineRule="exact"/>
        <w:rPr>
          <w:rFonts w:hint="eastAsia"/>
        </w:rPr>
      </w:pPr>
      <w:r>
        <w:t>936</w:t>
      </w:r>
      <w:r>
        <w:rPr>
          <w:rFonts w:hint="eastAsia"/>
        </w:rPr>
        <w:t>.</w:t>
      </w:r>
      <w:r>
        <w:rPr>
          <w:rFonts w:hint="eastAsia"/>
        </w:rPr>
        <w:tab/>
      </w:r>
      <w:r>
        <w:rPr>
          <w:rFonts w:hint="eastAsia"/>
        </w:rPr>
        <w:t>墨西哥国家申明尽全力履行其国际承诺，尤其是《经济、社会和文化权利国际公约》中规定的关于承认、促进和保护人权的承诺，委员会的建议正是基于这些承诺。对当前报告、行动和立法、制度上和管理上的方法，及其日常实行的陈述证明了这一点。</w:t>
      </w:r>
    </w:p>
    <w:p w:rsidR="00000000" w:rsidRDefault="00457650" w:rsidP="00457650">
      <w:pPr>
        <w:widowControl/>
        <w:tabs>
          <w:tab w:val="left" w:pos="630"/>
        </w:tabs>
        <w:spacing w:after="240" w:line="360" w:lineRule="exact"/>
        <w:ind w:leftChars="300" w:left="31680"/>
        <w:rPr>
          <w:rFonts w:ascii="KaiTi_GB2312" w:eastAsia="KaiTi_GB2312" w:hint="eastAsia"/>
          <w:b/>
          <w:bCs/>
          <w:iCs/>
        </w:rPr>
      </w:pPr>
      <w:r>
        <w:rPr>
          <w:rFonts w:ascii="KaiTi_GB2312" w:eastAsia="KaiTi_GB2312"/>
          <w:b/>
          <w:bCs/>
          <w:iCs/>
        </w:rPr>
        <w:t>16</w:t>
      </w:r>
      <w:r>
        <w:rPr>
          <w:rFonts w:ascii="KaiTi_GB2312" w:eastAsia="KaiTi_GB2312" w:hint="eastAsia"/>
          <w:b/>
          <w:bCs/>
          <w:iCs/>
        </w:rPr>
        <w:t>．在审查期间缔约国没有取得什么进展，尽管其在减少贫穷方面进行了努力，委员会对此表示关注，生活贫穷和赤贫人口的增长令其不安。委员</w:t>
      </w:r>
      <w:r>
        <w:rPr>
          <w:rFonts w:ascii="KaiTi_GB2312" w:eastAsia="KaiTi_GB2312" w:hint="eastAsia"/>
          <w:b/>
          <w:bCs/>
          <w:iCs/>
        </w:rPr>
        <w:t>会认为除非导致贫穷的结构性原因得以适当解决，否则社会各阶层之间、各州之间以及城乡之间将无法实现财富更加均衡的分配。</w:t>
      </w:r>
    </w:p>
    <w:p w:rsidR="00000000" w:rsidRDefault="00457650">
      <w:pPr>
        <w:widowControl/>
        <w:tabs>
          <w:tab w:val="left" w:pos="630"/>
        </w:tabs>
        <w:spacing w:after="240" w:line="360" w:lineRule="exact"/>
        <w:rPr>
          <w:rFonts w:hint="eastAsia"/>
        </w:rPr>
      </w:pPr>
      <w:r>
        <w:rPr>
          <w:rFonts w:hint="eastAsia"/>
        </w:rPr>
        <w:t>937.</w:t>
      </w:r>
      <w:r>
        <w:rPr>
          <w:rFonts w:hint="eastAsia"/>
        </w:rPr>
        <w:tab/>
      </w:r>
      <w:r>
        <w:rPr>
          <w:rFonts w:hint="eastAsia"/>
        </w:rPr>
        <w:t>对这种担忧的答复可以参见结论意见第</w:t>
      </w:r>
      <w:r>
        <w:t>30</w:t>
      </w:r>
      <w:r>
        <w:rPr>
          <w:rFonts w:hint="eastAsia"/>
        </w:rPr>
        <w:t>段中对有关建议的答复。</w:t>
      </w:r>
    </w:p>
    <w:p w:rsidR="00000000" w:rsidRDefault="00457650" w:rsidP="00457650">
      <w:pPr>
        <w:widowControl/>
        <w:tabs>
          <w:tab w:val="left" w:pos="630"/>
        </w:tabs>
        <w:spacing w:after="240" w:line="360" w:lineRule="exact"/>
        <w:ind w:leftChars="300" w:left="31680"/>
        <w:rPr>
          <w:rFonts w:ascii="KaiTi_GB2312" w:eastAsia="KaiTi_GB2312" w:hint="eastAsia"/>
          <w:b/>
          <w:bCs/>
          <w:iCs/>
        </w:rPr>
      </w:pPr>
      <w:r>
        <w:rPr>
          <w:rFonts w:ascii="KaiTi_GB2312" w:eastAsia="KaiTi_GB2312"/>
          <w:b/>
          <w:bCs/>
          <w:iCs/>
        </w:rPr>
        <w:t>17</w:t>
      </w:r>
      <w:r>
        <w:rPr>
          <w:rFonts w:ascii="KaiTi_GB2312" w:eastAsia="KaiTi_GB2312" w:hint="eastAsia"/>
          <w:b/>
          <w:bCs/>
          <w:iCs/>
        </w:rPr>
        <w:t>．另外，对于墨西哥社会中受到忽视的弱势群体普遍面临的各种地区性经济和社会问题，缔约国没有采取均衡的办法加以解决，委员会对此表示关注。</w:t>
      </w:r>
    </w:p>
    <w:p w:rsidR="00000000" w:rsidRDefault="00457650">
      <w:pPr>
        <w:widowControl/>
        <w:tabs>
          <w:tab w:val="left" w:pos="630"/>
        </w:tabs>
        <w:spacing w:after="240" w:line="360" w:lineRule="exact"/>
        <w:rPr>
          <w:rFonts w:hint="eastAsia"/>
        </w:rPr>
      </w:pPr>
      <w:r>
        <w:t>938</w:t>
      </w:r>
      <w:r>
        <w:rPr>
          <w:rFonts w:hint="eastAsia"/>
        </w:rPr>
        <w:t>.</w:t>
      </w:r>
      <w:r>
        <w:rPr>
          <w:rFonts w:hint="eastAsia"/>
        </w:rPr>
        <w:tab/>
      </w:r>
      <w:r>
        <w:rPr>
          <w:rFonts w:hint="eastAsia"/>
        </w:rPr>
        <w:t>联邦政府指定用于社会支出的资源始终比社会发展预算更受重视，最可以证明这一点的是，近几年，社会发展支出与计划支出相比份额已经增加。计划支出中用于社会发展的份额，</w:t>
      </w:r>
      <w:r>
        <w:t>1998</w:t>
      </w:r>
      <w:r>
        <w:rPr>
          <w:rFonts w:hint="eastAsia"/>
        </w:rPr>
        <w:t>年为</w:t>
      </w:r>
      <w:r>
        <w:t>600</w:t>
      </w:r>
      <w:r>
        <w:rPr>
          <w:rFonts w:hint="eastAsia"/>
        </w:rPr>
        <w:t xml:space="preserve"> </w:t>
      </w:r>
      <w:r>
        <w:t>583</w:t>
      </w:r>
      <w:r>
        <w:rPr>
          <w:rFonts w:hint="eastAsia"/>
        </w:rPr>
        <w:t xml:space="preserve"> </w:t>
      </w:r>
      <w:r>
        <w:t>000</w:t>
      </w:r>
      <w:r>
        <w:rPr>
          <w:rFonts w:hint="eastAsia"/>
        </w:rPr>
        <w:t xml:space="preserve"> </w:t>
      </w:r>
      <w:r>
        <w:t>000</w:t>
      </w:r>
      <w:r>
        <w:rPr>
          <w:rFonts w:hint="eastAsia"/>
        </w:rPr>
        <w:t>比索，</w:t>
      </w:r>
      <w:r>
        <w:t>2003</w:t>
      </w:r>
      <w:r>
        <w:rPr>
          <w:rFonts w:hint="eastAsia"/>
        </w:rPr>
        <w:t>年为</w:t>
      </w:r>
      <w:r>
        <w:t>681</w:t>
      </w:r>
      <w:r>
        <w:rPr>
          <w:rFonts w:hint="eastAsia"/>
        </w:rPr>
        <w:t xml:space="preserve"> </w:t>
      </w:r>
      <w:r>
        <w:t>955</w:t>
      </w:r>
      <w:r>
        <w:rPr>
          <w:rFonts w:hint="eastAsia"/>
        </w:rPr>
        <w:t xml:space="preserve"> </w:t>
      </w:r>
      <w:r>
        <w:t>000</w:t>
      </w:r>
      <w:r>
        <w:rPr>
          <w:rFonts w:hint="eastAsia"/>
        </w:rPr>
        <w:t xml:space="preserve"> </w:t>
      </w:r>
      <w:r>
        <w:t>000</w:t>
      </w:r>
      <w:r>
        <w:rPr>
          <w:rFonts w:hint="eastAsia"/>
        </w:rPr>
        <w:t>比索，分别相当于计划总支出的</w:t>
      </w:r>
      <w:r>
        <w:t>57.86%</w:t>
      </w:r>
      <w:r>
        <w:rPr>
          <w:rFonts w:hint="eastAsia"/>
        </w:rPr>
        <w:t>和</w:t>
      </w:r>
      <w:r>
        <w:t>61.6%</w:t>
      </w:r>
      <w:r>
        <w:rPr>
          <w:rFonts w:hint="eastAsia"/>
        </w:rPr>
        <w:t>。</w:t>
      </w:r>
    </w:p>
    <w:p w:rsidR="00000000" w:rsidRDefault="00457650" w:rsidP="00457650">
      <w:pPr>
        <w:keepNext/>
        <w:widowControl/>
        <w:tabs>
          <w:tab w:val="left" w:pos="630"/>
        </w:tabs>
        <w:spacing w:after="240" w:line="360" w:lineRule="exact"/>
        <w:ind w:leftChars="300" w:left="31680"/>
        <w:rPr>
          <w:rFonts w:ascii="KaiTi_GB2312" w:eastAsia="KaiTi_GB2312" w:hint="eastAsia"/>
          <w:b/>
          <w:bCs/>
          <w:iCs/>
        </w:rPr>
      </w:pPr>
      <w:r>
        <w:rPr>
          <w:rFonts w:ascii="KaiTi_GB2312" w:eastAsia="KaiTi_GB2312"/>
          <w:b/>
          <w:bCs/>
          <w:iCs/>
        </w:rPr>
        <w:t>18</w:t>
      </w:r>
      <w:r>
        <w:rPr>
          <w:rFonts w:ascii="KaiTi_GB2312" w:eastAsia="KaiTi_GB2312" w:hint="eastAsia"/>
          <w:b/>
          <w:bCs/>
          <w:iCs/>
        </w:rPr>
        <w:t>．委员会对土著居民长期的困难处境表示关注，尤其是恰帕斯、格雷罗、维拉克鲁斯和瓦哈卡地区的土著居民，他们在保健服务、教育、就业、充足营养和住房等方面机会有限。</w:t>
      </w:r>
    </w:p>
    <w:p w:rsidR="00000000" w:rsidRDefault="00457650">
      <w:pPr>
        <w:keepNext/>
        <w:widowControl/>
        <w:tabs>
          <w:tab w:val="left" w:pos="630"/>
        </w:tabs>
        <w:spacing w:after="240" w:line="360" w:lineRule="exact"/>
        <w:ind w:left="300"/>
        <w:rPr>
          <w:rFonts w:hint="eastAsia"/>
        </w:rPr>
      </w:pPr>
      <w:r>
        <w:t>939</w:t>
      </w:r>
      <w:r>
        <w:rPr>
          <w:rFonts w:hint="eastAsia"/>
        </w:rPr>
        <w:t>.</w:t>
      </w:r>
      <w:r>
        <w:rPr>
          <w:rFonts w:hint="eastAsia"/>
        </w:rPr>
        <w:tab/>
      </w:r>
      <w:r>
        <w:rPr>
          <w:rFonts w:hint="eastAsia"/>
        </w:rPr>
        <w:t>联邦政府关心这些土著地区以及国内其他土著地区，为此它正在实施大量项目计划，其中包括机会项目，总体目标是为赤贫家庭提供救助，以增强其家庭成员的技能，并为提高他们的福利水平提供更多的选择机会；社会转化项目旨在促使三级</w:t>
      </w:r>
      <w:r>
        <w:rPr>
          <w:rFonts w:hint="eastAsia"/>
        </w:rPr>
        <w:t>政府和其他负责机构共同承担起责任，促进特别是处于贫穷、排外、脱离社会发展进程、性别不平等或社会弱势等情况下的人口的全面社会发展。</w:t>
      </w:r>
    </w:p>
    <w:p w:rsidR="00000000" w:rsidRDefault="00457650" w:rsidP="00457650">
      <w:pPr>
        <w:widowControl/>
        <w:tabs>
          <w:tab w:val="left" w:pos="630"/>
        </w:tabs>
        <w:spacing w:after="240" w:line="360" w:lineRule="exact"/>
        <w:ind w:leftChars="300" w:left="31680"/>
        <w:rPr>
          <w:rFonts w:ascii="KaiTi_GB2312" w:eastAsia="KaiTi_GB2312" w:hint="eastAsia"/>
          <w:b/>
          <w:bCs/>
          <w:iCs/>
        </w:rPr>
      </w:pPr>
      <w:r>
        <w:rPr>
          <w:rFonts w:ascii="KaiTi_GB2312" w:eastAsia="KaiTi_GB2312"/>
          <w:b/>
          <w:bCs/>
          <w:iCs/>
        </w:rPr>
        <w:t>19</w:t>
      </w:r>
      <w:r>
        <w:rPr>
          <w:rFonts w:ascii="KaiTi_GB2312" w:eastAsia="KaiTi_GB2312" w:hint="eastAsia"/>
          <w:b/>
          <w:bCs/>
          <w:iCs/>
        </w:rPr>
        <w:t>．委员会认为，腐败问题同样会对经济、社会和文化权利的充分实现造成负面影响。缔约国没有向委员会提供相关信息，说明是否已采取措施，努力消除这一严重问题给《公约》保护的各种权利所造成的影响。</w:t>
      </w:r>
    </w:p>
    <w:p w:rsidR="00000000" w:rsidRDefault="00457650">
      <w:pPr>
        <w:widowControl/>
        <w:tabs>
          <w:tab w:val="left" w:pos="630"/>
        </w:tabs>
        <w:spacing w:after="240" w:line="360" w:lineRule="exact"/>
        <w:rPr>
          <w:rFonts w:hint="eastAsia"/>
        </w:rPr>
      </w:pPr>
      <w:r>
        <w:t>940</w:t>
      </w:r>
      <w:r>
        <w:rPr>
          <w:rFonts w:hint="eastAsia"/>
        </w:rPr>
        <w:t>.</w:t>
      </w:r>
      <w:r>
        <w:rPr>
          <w:rFonts w:hint="eastAsia"/>
        </w:rPr>
        <w:tab/>
      </w:r>
      <w:r>
        <w:rPr>
          <w:rFonts w:hint="eastAsia"/>
        </w:rPr>
        <w:t>墨西哥政府意识到，只有通过建设强调忠诚、尊重法律、责任与合法性等价值观的民间文化，才能巩固民主变革成果。</w:t>
      </w:r>
    </w:p>
    <w:p w:rsidR="00000000" w:rsidRDefault="00457650">
      <w:pPr>
        <w:widowControl/>
        <w:tabs>
          <w:tab w:val="left" w:pos="630"/>
        </w:tabs>
        <w:spacing w:after="240" w:line="360" w:lineRule="exact"/>
        <w:rPr>
          <w:rFonts w:hint="eastAsia"/>
        </w:rPr>
      </w:pPr>
      <w:r>
        <w:rPr>
          <w:rFonts w:hint="eastAsia"/>
        </w:rPr>
        <w:t>941.</w:t>
      </w:r>
      <w:r>
        <w:rPr>
          <w:rFonts w:hint="eastAsia"/>
        </w:rPr>
        <w:tab/>
      </w:r>
      <w:r>
        <w:rPr>
          <w:rFonts w:hint="eastAsia"/>
        </w:rPr>
        <w:t>腐败的一个主要代价就是公民对有关机构及其领导者的不信任。</w:t>
      </w:r>
    </w:p>
    <w:p w:rsidR="00000000" w:rsidRDefault="00457650">
      <w:pPr>
        <w:widowControl/>
        <w:tabs>
          <w:tab w:val="left" w:pos="630"/>
        </w:tabs>
        <w:spacing w:after="240" w:line="360" w:lineRule="exact"/>
        <w:rPr>
          <w:rFonts w:hint="eastAsia"/>
        </w:rPr>
      </w:pPr>
      <w:r>
        <w:rPr>
          <w:rFonts w:hint="eastAsia"/>
        </w:rPr>
        <w:t>942.</w:t>
      </w:r>
      <w:r>
        <w:rPr>
          <w:rFonts w:hint="eastAsia"/>
        </w:rPr>
        <w:tab/>
      </w:r>
      <w:r>
        <w:rPr>
          <w:rFonts w:hint="eastAsia"/>
        </w:rPr>
        <w:t>政府活动的透明度，政府的公共行政责任，以及民间社会对反腐败的参与都有着尤其重要的作用，是实现民主、政治稳定和经济增长的基本组成部分。</w:t>
      </w:r>
    </w:p>
    <w:p w:rsidR="00000000" w:rsidRDefault="00457650">
      <w:pPr>
        <w:widowControl/>
        <w:tabs>
          <w:tab w:val="left" w:pos="630"/>
        </w:tabs>
        <w:spacing w:after="240" w:line="360" w:lineRule="exact"/>
        <w:rPr>
          <w:rFonts w:hint="eastAsia"/>
        </w:rPr>
      </w:pPr>
      <w:r>
        <w:t>943</w:t>
      </w:r>
      <w:r>
        <w:rPr>
          <w:rFonts w:hint="eastAsia"/>
        </w:rPr>
        <w:t>.</w:t>
      </w:r>
      <w:r>
        <w:rPr>
          <w:rFonts w:hint="eastAsia"/>
        </w:rPr>
        <w:tab/>
      </w:r>
      <w:r>
        <w:rPr>
          <w:rFonts w:hint="eastAsia"/>
        </w:rPr>
        <w:t>在其打击腐败的努力中，墨西哥已经提高了政府的效力及其服务质量，全面提高并加强了墨西哥社会所有领域和部门的透明度。</w:t>
      </w:r>
    </w:p>
    <w:p w:rsidR="00000000" w:rsidRDefault="00457650">
      <w:pPr>
        <w:widowControl/>
        <w:tabs>
          <w:tab w:val="left" w:pos="630"/>
        </w:tabs>
        <w:spacing w:after="240" w:line="360" w:lineRule="exact"/>
        <w:rPr>
          <w:rFonts w:hint="eastAsia"/>
        </w:rPr>
      </w:pPr>
      <w:r>
        <w:t>944</w:t>
      </w:r>
      <w:r>
        <w:rPr>
          <w:rFonts w:hint="eastAsia"/>
        </w:rPr>
        <w:t>.</w:t>
      </w:r>
      <w:r>
        <w:rPr>
          <w:rFonts w:hint="eastAsia"/>
        </w:rPr>
        <w:tab/>
      </w:r>
      <w:r>
        <w:rPr>
          <w:rFonts w:hint="eastAsia"/>
        </w:rPr>
        <w:t>《关于政府公共信息透明度和获得途径的联邦法案》于</w:t>
      </w:r>
      <w:r>
        <w:t>2003</w:t>
      </w:r>
      <w:r>
        <w:rPr>
          <w:rFonts w:hint="eastAsia"/>
        </w:rPr>
        <w:t>年生效，它改变了社会与政府间的关系，之前政府相关信息的传播只能由公务员来决定。</w:t>
      </w:r>
    </w:p>
    <w:p w:rsidR="00000000" w:rsidRDefault="00457650">
      <w:pPr>
        <w:widowControl/>
        <w:tabs>
          <w:tab w:val="left" w:pos="630"/>
        </w:tabs>
        <w:spacing w:after="240" w:line="360" w:lineRule="exact"/>
        <w:rPr>
          <w:rFonts w:hint="eastAsia"/>
        </w:rPr>
      </w:pPr>
      <w:r>
        <w:t>945</w:t>
      </w:r>
      <w:r>
        <w:rPr>
          <w:rFonts w:hint="eastAsia"/>
        </w:rPr>
        <w:t>.</w:t>
      </w:r>
      <w:r>
        <w:rPr>
          <w:rFonts w:hint="eastAsia"/>
        </w:rPr>
        <w:tab/>
      </w:r>
      <w:r>
        <w:rPr>
          <w:rFonts w:hint="eastAsia"/>
        </w:rPr>
        <w:t>该法案规定所有政府信息都应该公开，责成国家就其行为向公民做出明确解释，由公民监督其行为；因此公务</w:t>
      </w:r>
      <w:r>
        <w:rPr>
          <w:rFonts w:hint="eastAsia"/>
        </w:rPr>
        <w:t>员的行为将受到限制，以使其更负责任。</w:t>
      </w:r>
    </w:p>
    <w:p w:rsidR="00000000" w:rsidRDefault="00457650">
      <w:pPr>
        <w:widowControl/>
        <w:tabs>
          <w:tab w:val="left" w:pos="630"/>
        </w:tabs>
        <w:spacing w:after="240" w:line="360" w:lineRule="exact"/>
        <w:rPr>
          <w:rFonts w:hint="eastAsia"/>
        </w:rPr>
      </w:pPr>
      <w:r>
        <w:t>946</w:t>
      </w:r>
      <w:r>
        <w:rPr>
          <w:rFonts w:hint="eastAsia"/>
        </w:rPr>
        <w:t>.</w:t>
      </w:r>
      <w:r>
        <w:rPr>
          <w:rFonts w:hint="eastAsia"/>
        </w:rPr>
        <w:tab/>
      </w:r>
      <w:r>
        <w:rPr>
          <w:rFonts w:hint="eastAsia"/>
        </w:rPr>
        <w:t>这些规定改善了生产性活动和投资条件；尽管降低了贸易活动能力，但它为关于经营机会、生产部门的政府采购和援助项目的信息流通提供了便利，还有利于在不受其他部门干预的情况下，对政府政绩与能力进行社会评估，为巩固民主做出决定性的贡献。</w:t>
      </w:r>
    </w:p>
    <w:p w:rsidR="00000000" w:rsidRDefault="00457650">
      <w:pPr>
        <w:widowControl/>
        <w:tabs>
          <w:tab w:val="left" w:pos="630"/>
        </w:tabs>
        <w:spacing w:after="240" w:line="360" w:lineRule="exact"/>
        <w:rPr>
          <w:rFonts w:hint="eastAsia"/>
        </w:rPr>
      </w:pPr>
      <w:r>
        <w:t>947</w:t>
      </w:r>
      <w:r>
        <w:rPr>
          <w:rFonts w:hint="eastAsia"/>
        </w:rPr>
        <w:t>.</w:t>
      </w:r>
      <w:r>
        <w:rPr>
          <w:rFonts w:hint="eastAsia"/>
        </w:rPr>
        <w:tab/>
      </w:r>
      <w:r>
        <w:rPr>
          <w:rFonts w:hint="eastAsia"/>
        </w:rPr>
        <w:t>需要提及一项新的法案草案，将公共事业部颁布禁令的权力移交给行政法庭，这将简化对公务人员施加禁令的程序并令其更加有效，增强了公正性。</w:t>
      </w:r>
    </w:p>
    <w:p w:rsidR="00000000" w:rsidRDefault="00457650">
      <w:pPr>
        <w:widowControl/>
        <w:tabs>
          <w:tab w:val="left" w:pos="630"/>
        </w:tabs>
        <w:spacing w:after="240" w:line="360" w:lineRule="exact"/>
        <w:rPr>
          <w:rFonts w:hint="eastAsia"/>
        </w:rPr>
      </w:pPr>
      <w:r>
        <w:t>948</w:t>
      </w:r>
      <w:r>
        <w:rPr>
          <w:rFonts w:hint="eastAsia"/>
        </w:rPr>
        <w:t>.</w:t>
      </w:r>
      <w:r>
        <w:rPr>
          <w:rFonts w:hint="eastAsia"/>
        </w:rPr>
        <w:tab/>
      </w:r>
      <w:r>
        <w:rPr>
          <w:rFonts w:hint="eastAsia"/>
        </w:rPr>
        <w:t>墨西哥反腐败和促进透明度及行政发展的国家计划已经发动社会参与到反腐败斗争和建立透明诚信</w:t>
      </w:r>
      <w:r>
        <w:rPr>
          <w:rFonts w:hint="eastAsia"/>
        </w:rPr>
        <w:t>文化的行动中来，并想方设法提醒公民注意腐败造成的损失，同时还强调预防和打击腐败的紧迫性。</w:t>
      </w:r>
    </w:p>
    <w:p w:rsidR="00000000" w:rsidRDefault="00457650">
      <w:pPr>
        <w:widowControl/>
        <w:tabs>
          <w:tab w:val="left" w:pos="630"/>
        </w:tabs>
        <w:spacing w:after="240" w:line="360" w:lineRule="exact"/>
        <w:rPr>
          <w:rFonts w:hint="eastAsia"/>
        </w:rPr>
      </w:pPr>
      <w:r>
        <w:t>949</w:t>
      </w:r>
      <w:r>
        <w:rPr>
          <w:rFonts w:hint="eastAsia"/>
        </w:rPr>
        <w:t>.</w:t>
      </w:r>
      <w:r>
        <w:rPr>
          <w:rFonts w:hint="eastAsia"/>
        </w:rPr>
        <w:tab/>
      </w:r>
      <w:r>
        <w:rPr>
          <w:rFonts w:hint="eastAsia"/>
        </w:rPr>
        <w:t>政府开展了各种运动，在国家高等教育系统传播包含道德和诚信内容的行为准则，以此促进诚信计划的实施。</w:t>
      </w:r>
    </w:p>
    <w:p w:rsidR="00000000" w:rsidRDefault="00457650">
      <w:pPr>
        <w:widowControl/>
        <w:tabs>
          <w:tab w:val="left" w:pos="630"/>
        </w:tabs>
        <w:spacing w:after="240" w:line="360" w:lineRule="exact"/>
        <w:rPr>
          <w:rFonts w:hint="eastAsia"/>
        </w:rPr>
      </w:pPr>
      <w:r>
        <w:t>950</w:t>
      </w:r>
      <w:r>
        <w:rPr>
          <w:rFonts w:hint="eastAsia"/>
        </w:rPr>
        <w:t>.</w:t>
      </w:r>
      <w:r>
        <w:rPr>
          <w:rFonts w:hint="eastAsia"/>
        </w:rPr>
        <w:tab/>
      </w:r>
      <w:r>
        <w:rPr>
          <w:rFonts w:hint="eastAsia"/>
        </w:rPr>
        <w:t>宣传和教育运动已经启动，并且通过反腐败的电视节目和电影记录片、广播节目，以及新闻和其他媒体广为传播。</w:t>
      </w:r>
    </w:p>
    <w:p w:rsidR="00000000" w:rsidRDefault="00457650">
      <w:pPr>
        <w:widowControl/>
        <w:tabs>
          <w:tab w:val="left" w:pos="630"/>
        </w:tabs>
        <w:spacing w:after="240" w:line="360" w:lineRule="exact"/>
        <w:rPr>
          <w:rFonts w:hint="eastAsia"/>
        </w:rPr>
      </w:pPr>
      <w:r>
        <w:t>951</w:t>
      </w:r>
      <w:r>
        <w:rPr>
          <w:rFonts w:hint="eastAsia"/>
        </w:rPr>
        <w:t>.</w:t>
      </w:r>
      <w:r>
        <w:rPr>
          <w:rFonts w:hint="eastAsia"/>
        </w:rPr>
        <w:tab/>
      </w:r>
      <w:r>
        <w:rPr>
          <w:rFonts w:hint="eastAsia"/>
        </w:rPr>
        <w:t>与此同时，还为儿童、年轻人和大学学生组织了各种竞赛，旨在鼓励对腐败的反思，并对该现象提出解决方法。</w:t>
      </w:r>
    </w:p>
    <w:p w:rsidR="00000000" w:rsidRDefault="00457650">
      <w:pPr>
        <w:widowControl/>
        <w:tabs>
          <w:tab w:val="left" w:pos="630"/>
        </w:tabs>
        <w:spacing w:after="240" w:line="360" w:lineRule="exact"/>
        <w:rPr>
          <w:rFonts w:hint="eastAsia"/>
        </w:rPr>
      </w:pPr>
      <w:r>
        <w:t>952</w:t>
      </w:r>
      <w:r>
        <w:rPr>
          <w:rFonts w:hint="eastAsia"/>
        </w:rPr>
        <w:t>.</w:t>
      </w:r>
      <w:r>
        <w:rPr>
          <w:rFonts w:hint="eastAsia"/>
        </w:rPr>
        <w:tab/>
      </w:r>
      <w:r>
        <w:rPr>
          <w:rFonts w:hint="eastAsia"/>
        </w:rPr>
        <w:t>政府已经受到触动，它通过独立机构设计出在不同部门中了解腐败情况的指数，以便检查关键</w:t>
      </w:r>
      <w:r>
        <w:rPr>
          <w:rFonts w:hint="eastAsia"/>
        </w:rPr>
        <w:t>地区，并且集中研究有助于正确决策和执行经济调整措施的各种要素。</w:t>
      </w:r>
    </w:p>
    <w:p w:rsidR="00000000" w:rsidRDefault="00457650">
      <w:pPr>
        <w:widowControl/>
        <w:tabs>
          <w:tab w:val="left" w:pos="630"/>
        </w:tabs>
        <w:spacing w:after="240" w:line="360" w:lineRule="exact"/>
        <w:rPr>
          <w:rFonts w:hint="eastAsia"/>
        </w:rPr>
      </w:pPr>
      <w:r>
        <w:t>953</w:t>
      </w:r>
      <w:r>
        <w:rPr>
          <w:rFonts w:hint="eastAsia"/>
        </w:rPr>
        <w:t>.</w:t>
      </w:r>
      <w:r>
        <w:rPr>
          <w:rFonts w:hint="eastAsia"/>
        </w:rPr>
        <w:tab/>
      </w:r>
      <w:r>
        <w:t>2000</w:t>
      </w:r>
      <w:r>
        <w:rPr>
          <w:rFonts w:hint="eastAsia"/>
        </w:rPr>
        <w:t>年</w:t>
      </w:r>
      <w:r>
        <w:t>12</w:t>
      </w:r>
      <w:r>
        <w:rPr>
          <w:rFonts w:hint="eastAsia"/>
        </w:rPr>
        <w:t>月</w:t>
      </w:r>
      <w:r>
        <w:t>4</w:t>
      </w:r>
      <w:r>
        <w:rPr>
          <w:rFonts w:hint="eastAsia"/>
        </w:rPr>
        <w:t>日，《关于创建增加透明度和打击腐败部际委员会的协议》在《联邦公报》上公布，其目的是协调政策和行动，阻止并打击腐败，增强政府机构的透明度。到</w:t>
      </w:r>
      <w:r>
        <w:t>2003</w:t>
      </w:r>
      <w:r>
        <w:rPr>
          <w:rFonts w:hint="eastAsia"/>
        </w:rPr>
        <w:t>年底，该委员会已经通过联邦公共行政各单位和机构颁布了要执行的</w:t>
      </w:r>
      <w:r>
        <w:t>20</w:t>
      </w:r>
      <w:r>
        <w:rPr>
          <w:rFonts w:hint="eastAsia"/>
        </w:rPr>
        <w:t>项协议：</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建立公务员诚信认知计划；</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在因特网上传播公共信息，以期推出关于政府公共信息透明度和获取途径的法案；</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制定一项改进内部管理条例的计划；</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建立模拟用户战略；</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拟订并传播行为准则；</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建立一个价值培训计划；</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执行严格的人员选拔机制；</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在人员选拔系统中融入价值观；</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审查关键领域的薪资情况；</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传播</w:t>
      </w:r>
      <w:r>
        <w:t>PNCTDA</w:t>
      </w:r>
      <w:r>
        <w:rPr>
          <w:rFonts w:hint="eastAsia"/>
        </w:rPr>
        <w:t>的结果；</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外部参与审查投标前标准；</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宣传竞标标准；</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进行电子投标；</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对关键程序用户进行评估；</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做出“实现透明度的承诺”；</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提高服务标准和对公民的关注；</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电子程序和服务；</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建立获取政府公共信息小组委员会；</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建立加强</w:t>
      </w:r>
      <w:r>
        <w:t>清廉</w:t>
      </w:r>
      <w:r>
        <w:rPr>
          <w:rFonts w:hint="eastAsia"/>
        </w:rPr>
        <w:t>和善政指数小组委员会；</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执行必要的措施，落实涉及经合组织《禁止在国际商业交易中贿赂外国公职人员公约》的相关建议。</w:t>
      </w:r>
    </w:p>
    <w:p w:rsidR="00000000" w:rsidRDefault="00457650">
      <w:pPr>
        <w:widowControl/>
        <w:tabs>
          <w:tab w:val="left" w:pos="630"/>
        </w:tabs>
        <w:spacing w:after="240" w:line="360" w:lineRule="exact"/>
        <w:rPr>
          <w:rFonts w:hint="eastAsia"/>
        </w:rPr>
      </w:pPr>
      <w:r>
        <w:t>954</w:t>
      </w:r>
      <w:r>
        <w:rPr>
          <w:rFonts w:hint="eastAsia"/>
        </w:rPr>
        <w:t>.</w:t>
      </w:r>
      <w:r>
        <w:rPr>
          <w:rFonts w:hint="eastAsia"/>
        </w:rPr>
        <w:tab/>
      </w:r>
      <w:r>
        <w:rPr>
          <w:rFonts w:hint="eastAsia"/>
        </w:rPr>
        <w:t>关于道德价值标准，参加增强透明度和反腐败业务方案的</w:t>
      </w:r>
      <w:r>
        <w:t>161</w:t>
      </w:r>
      <w:r>
        <w:rPr>
          <w:rFonts w:hint="eastAsia"/>
        </w:rPr>
        <w:t>个联邦公共行政机构</w:t>
      </w:r>
      <w:r>
        <w:rPr>
          <w:rFonts w:hint="eastAsia"/>
        </w:rPr>
        <w:t>，正致力于制定方法以加强公务人员的道德和价值观。其中：</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70%</w:t>
      </w:r>
      <w:r>
        <w:rPr>
          <w:rFonts w:hint="eastAsia"/>
        </w:rPr>
        <w:t>的机构有严格的人员选拔程序；</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65%</w:t>
      </w:r>
      <w:r>
        <w:rPr>
          <w:rFonts w:hint="eastAsia"/>
        </w:rPr>
        <w:t>的机构有行为守则；</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38%</w:t>
      </w:r>
      <w:r>
        <w:rPr>
          <w:rFonts w:hint="eastAsia"/>
        </w:rPr>
        <w:t>的机构有价值观培训计划，而且</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28%</w:t>
      </w:r>
      <w:r>
        <w:rPr>
          <w:rFonts w:hint="eastAsia"/>
        </w:rPr>
        <w:t>的机构制定了诚信认知计划。</w:t>
      </w:r>
    </w:p>
    <w:p w:rsidR="00000000" w:rsidRDefault="00457650">
      <w:pPr>
        <w:widowControl/>
        <w:tabs>
          <w:tab w:val="left" w:pos="630"/>
        </w:tabs>
        <w:spacing w:after="240" w:line="360" w:lineRule="exact"/>
        <w:rPr>
          <w:rFonts w:hint="eastAsia"/>
        </w:rPr>
      </w:pPr>
      <w:r>
        <w:t>955</w:t>
      </w:r>
      <w:r>
        <w:rPr>
          <w:rFonts w:hint="eastAsia"/>
        </w:rPr>
        <w:t>.</w:t>
      </w:r>
      <w:r>
        <w:rPr>
          <w:rFonts w:hint="eastAsia"/>
        </w:rPr>
        <w:tab/>
      </w:r>
      <w:r>
        <w:rPr>
          <w:rFonts w:hint="eastAsia"/>
        </w:rPr>
        <w:t>根据公民期望公务员所应具有的价值观，这些结果表明了人力资本的可靠性，并且促进了行为的转变。</w:t>
      </w:r>
    </w:p>
    <w:p w:rsidR="00000000" w:rsidRDefault="00457650">
      <w:pPr>
        <w:widowControl/>
        <w:tabs>
          <w:tab w:val="left" w:pos="630"/>
        </w:tabs>
        <w:spacing w:after="240" w:line="360" w:lineRule="exact"/>
        <w:rPr>
          <w:rFonts w:hint="eastAsia"/>
        </w:rPr>
      </w:pPr>
      <w:r>
        <w:t>956</w:t>
      </w:r>
      <w:r>
        <w:rPr>
          <w:rFonts w:hint="eastAsia"/>
        </w:rPr>
        <w:t>.</w:t>
      </w:r>
      <w:r>
        <w:rPr>
          <w:rFonts w:hint="eastAsia"/>
        </w:rPr>
        <w:tab/>
      </w:r>
      <w:r>
        <w:t>2003</w:t>
      </w:r>
      <w:r>
        <w:rPr>
          <w:rFonts w:hint="eastAsia"/>
        </w:rPr>
        <w:t>年，根据透明度监测指数对增强透明度和反腐败业务方案进行了评价，目的是对有关机构实现透明度和打击腐败的工作做出全面评估，这类指数为确立最高目标，落实“提高政府透明度和诚信度”的战略提供了可能。</w:t>
      </w:r>
    </w:p>
    <w:p w:rsidR="00000000" w:rsidRDefault="00457650">
      <w:pPr>
        <w:widowControl/>
        <w:tabs>
          <w:tab w:val="left" w:pos="630"/>
        </w:tabs>
        <w:spacing w:after="240" w:line="360" w:lineRule="exact"/>
        <w:rPr>
          <w:rFonts w:hint="eastAsia"/>
        </w:rPr>
      </w:pPr>
      <w:r>
        <w:t>957.</w:t>
      </w:r>
      <w:r>
        <w:tab/>
      </w:r>
      <w:r>
        <w:rPr>
          <w:rFonts w:hint="eastAsia"/>
        </w:rPr>
        <w:t>根</w:t>
      </w:r>
      <w:r>
        <w:rPr>
          <w:rFonts w:hint="eastAsia"/>
        </w:rPr>
        <w:t>据该战略重点做出了如下努力：</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促进公共程序和服务。</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培训公务员。</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建立更好的监测系统。</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惩罚违法行为。</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在公共行政机构树立正风正气。</w:t>
      </w:r>
    </w:p>
    <w:p w:rsidR="00000000" w:rsidRDefault="00457650" w:rsidP="00457650">
      <w:pPr>
        <w:widowControl/>
        <w:numPr>
          <w:ilvl w:val="0"/>
          <w:numId w:val="1898"/>
        </w:numPr>
        <w:tabs>
          <w:tab w:val="clear" w:pos="900"/>
          <w:tab w:val="left" w:pos="1050"/>
        </w:tabs>
        <w:spacing w:after="240" w:line="360" w:lineRule="exact"/>
        <w:ind w:leftChars="300" w:left="31680"/>
        <w:rPr>
          <w:rFonts w:hint="eastAsia"/>
        </w:rPr>
      </w:pPr>
      <w:r>
        <w:rPr>
          <w:rFonts w:hint="eastAsia"/>
        </w:rPr>
        <w:t>与社会达成共识，营造一种反腐败的新的社会风气。</w:t>
      </w:r>
    </w:p>
    <w:p w:rsidR="00000000" w:rsidRDefault="00457650">
      <w:pPr>
        <w:widowControl/>
        <w:tabs>
          <w:tab w:val="left" w:pos="630"/>
        </w:tabs>
        <w:spacing w:after="240" w:line="360" w:lineRule="exact"/>
        <w:rPr>
          <w:rFonts w:hint="eastAsia"/>
        </w:rPr>
      </w:pPr>
      <w:r>
        <w:t>958</w:t>
      </w:r>
      <w:r>
        <w:rPr>
          <w:rFonts w:hint="eastAsia"/>
        </w:rPr>
        <w:t>.</w:t>
      </w:r>
      <w:r>
        <w:rPr>
          <w:rFonts w:hint="eastAsia"/>
        </w:rPr>
        <w:tab/>
      </w:r>
      <w:r>
        <w:rPr>
          <w:rFonts w:hint="eastAsia"/>
        </w:rPr>
        <w:t>在</w:t>
      </w:r>
      <w:r>
        <w:t>2002</w:t>
      </w:r>
      <w:r>
        <w:rPr>
          <w:rFonts w:hint="eastAsia"/>
        </w:rPr>
        <w:t>年</w:t>
      </w:r>
      <w:r>
        <w:t>9</w:t>
      </w:r>
      <w:r>
        <w:rPr>
          <w:rFonts w:hint="eastAsia"/>
        </w:rPr>
        <w:t>月至</w:t>
      </w:r>
      <w:r>
        <w:t>2003</w:t>
      </w:r>
      <w:r>
        <w:rPr>
          <w:rFonts w:hint="eastAsia"/>
        </w:rPr>
        <w:t>年</w:t>
      </w:r>
      <w:r>
        <w:t>8</w:t>
      </w:r>
      <w:r>
        <w:rPr>
          <w:rFonts w:hint="eastAsia"/>
        </w:rPr>
        <w:t>月期间，颁布了</w:t>
      </w:r>
      <w:r>
        <w:t>845</w:t>
      </w:r>
      <w:r>
        <w:rPr>
          <w:rFonts w:hint="eastAsia"/>
        </w:rPr>
        <w:t>个法律文书，研究并拟订了</w:t>
      </w:r>
      <w:r>
        <w:t>134</w:t>
      </w:r>
      <w:r>
        <w:rPr>
          <w:rFonts w:hint="eastAsia"/>
        </w:rPr>
        <w:t>个法案、条例、法令、协议和通告，以及</w:t>
      </w:r>
      <w:r>
        <w:t>9</w:t>
      </w:r>
      <w:r>
        <w:rPr>
          <w:rFonts w:hint="eastAsia"/>
        </w:rPr>
        <w:t>项法律研究报告，其中最重要的在下面列出。</w:t>
      </w:r>
    </w:p>
    <w:p w:rsidR="00000000" w:rsidRDefault="00457650">
      <w:pPr>
        <w:widowControl/>
        <w:tabs>
          <w:tab w:val="left" w:pos="630"/>
        </w:tabs>
        <w:spacing w:after="240" w:line="360" w:lineRule="exact"/>
        <w:rPr>
          <w:rFonts w:hint="eastAsia"/>
        </w:rPr>
      </w:pPr>
      <w:r>
        <w:t>959</w:t>
      </w:r>
      <w:r>
        <w:rPr>
          <w:rFonts w:hint="eastAsia"/>
        </w:rPr>
        <w:t>.</w:t>
      </w:r>
      <w:r>
        <w:rPr>
          <w:rFonts w:hint="eastAsia"/>
        </w:rPr>
        <w:tab/>
      </w:r>
      <w:r>
        <w:rPr>
          <w:rFonts w:hint="eastAsia"/>
        </w:rPr>
        <w:t>关于公共部门采购、租赁和服务的法案。各类单独国际招标（</w:t>
      </w:r>
      <w:r>
        <w:t>85</w:t>
      </w:r>
      <w:r>
        <w:rPr>
          <w:rFonts w:hint="eastAsia"/>
        </w:rPr>
        <w:t>%</w:t>
      </w:r>
      <w:r>
        <w:rPr>
          <w:rFonts w:hint="eastAsia"/>
        </w:rPr>
        <w:t>的采购为国内公司）；具体评估标准的确立。</w:t>
      </w:r>
    </w:p>
    <w:p w:rsidR="00000000" w:rsidRDefault="00457650">
      <w:pPr>
        <w:widowControl/>
        <w:tabs>
          <w:tab w:val="left" w:pos="630"/>
        </w:tabs>
        <w:spacing w:after="240" w:line="360" w:lineRule="exact"/>
        <w:rPr>
          <w:rFonts w:hint="eastAsia"/>
        </w:rPr>
      </w:pPr>
      <w:r>
        <w:t>960</w:t>
      </w:r>
      <w:r>
        <w:rPr>
          <w:rFonts w:hint="eastAsia"/>
        </w:rPr>
        <w:t>.</w:t>
      </w:r>
      <w:r>
        <w:rPr>
          <w:rFonts w:hint="eastAsia"/>
        </w:rPr>
        <w:tab/>
      </w:r>
      <w:r>
        <w:rPr>
          <w:rFonts w:hint="eastAsia"/>
        </w:rPr>
        <w:t>《公共工程法案》。公布公务合同前提条件</w:t>
      </w:r>
      <w:r>
        <w:rPr>
          <w:rFonts w:hint="eastAsia"/>
        </w:rPr>
        <w:t>的强制性因特网发行物。</w:t>
      </w:r>
    </w:p>
    <w:p w:rsidR="00000000" w:rsidRDefault="00457650">
      <w:pPr>
        <w:widowControl/>
        <w:tabs>
          <w:tab w:val="left" w:pos="630"/>
        </w:tabs>
        <w:spacing w:after="240" w:line="360" w:lineRule="exact"/>
        <w:rPr>
          <w:rFonts w:hint="eastAsia"/>
        </w:rPr>
      </w:pPr>
      <w:r>
        <w:t>961</w:t>
      </w:r>
      <w:r>
        <w:rPr>
          <w:rFonts w:hint="eastAsia"/>
        </w:rPr>
        <w:t>.</w:t>
      </w:r>
      <w:r>
        <w:rPr>
          <w:rFonts w:hint="eastAsia"/>
        </w:rPr>
        <w:tab/>
      </w:r>
      <w:r>
        <w:rPr>
          <w:rFonts w:hint="eastAsia"/>
        </w:rPr>
        <w:t>《联邦透明度法案》。</w:t>
      </w:r>
      <w:r>
        <w:t>2003</w:t>
      </w:r>
      <w:r>
        <w:rPr>
          <w:rFonts w:hint="eastAsia"/>
        </w:rPr>
        <w:t>年</w:t>
      </w:r>
      <w:r>
        <w:t>10</w:t>
      </w:r>
      <w:r>
        <w:rPr>
          <w:rFonts w:hint="eastAsia"/>
        </w:rPr>
        <w:t>月</w:t>
      </w:r>
      <w:r>
        <w:t>16</w:t>
      </w:r>
      <w:r>
        <w:rPr>
          <w:rFonts w:hint="eastAsia"/>
        </w:rPr>
        <w:t>日，公共管理机构部门和机构共收到了</w:t>
      </w:r>
      <w:r>
        <w:t>18</w:t>
      </w:r>
      <w:r>
        <w:rPr>
          <w:rFonts w:hint="eastAsia"/>
        </w:rPr>
        <w:t xml:space="preserve"> </w:t>
      </w:r>
      <w:r>
        <w:t>762</w:t>
      </w:r>
      <w:r>
        <w:rPr>
          <w:rFonts w:hint="eastAsia"/>
        </w:rPr>
        <w:t>项信息咨询请求，其中</w:t>
      </w:r>
      <w:r>
        <w:t>15</w:t>
      </w:r>
      <w:r>
        <w:rPr>
          <w:rFonts w:hint="eastAsia"/>
        </w:rPr>
        <w:t xml:space="preserve"> </w:t>
      </w:r>
      <w:r>
        <w:t>703</w:t>
      </w:r>
      <w:r>
        <w:rPr>
          <w:rFonts w:hint="eastAsia"/>
        </w:rPr>
        <w:t>个得到了答复。</w:t>
      </w:r>
    </w:p>
    <w:p w:rsidR="00000000" w:rsidRDefault="00457650">
      <w:pPr>
        <w:widowControl/>
        <w:tabs>
          <w:tab w:val="left" w:pos="630"/>
        </w:tabs>
        <w:spacing w:after="240" w:line="360" w:lineRule="exact"/>
        <w:rPr>
          <w:rFonts w:hint="eastAsia"/>
        </w:rPr>
      </w:pPr>
      <w:r>
        <w:t>962</w:t>
      </w:r>
      <w:r>
        <w:rPr>
          <w:rFonts w:hint="eastAsia"/>
        </w:rPr>
        <w:t>.</w:t>
      </w:r>
      <w:r>
        <w:rPr>
          <w:rFonts w:hint="eastAsia"/>
        </w:rPr>
        <w:tab/>
      </w:r>
      <w:r>
        <w:rPr>
          <w:rFonts w:hint="eastAsia"/>
        </w:rPr>
        <w:t>另外，《职业专业化服务法》是反腐败斗争取得的第一个重大成果，也是提高政府及其公务人员能力和效率的基本工具。这项法案保证了政府计划的持续性，可以确保合适的人选进入政府机构，也保证了招聘和留用方面的机会平等，而且以业绩为被选拔标准。</w:t>
      </w:r>
    </w:p>
    <w:p w:rsidR="00000000" w:rsidRDefault="00457650">
      <w:pPr>
        <w:widowControl/>
        <w:tabs>
          <w:tab w:val="left" w:pos="630"/>
        </w:tabs>
        <w:spacing w:after="240" w:line="360" w:lineRule="exact"/>
        <w:rPr>
          <w:rFonts w:hint="eastAsia"/>
        </w:rPr>
      </w:pPr>
      <w:r>
        <w:t>963</w:t>
      </w:r>
      <w:r>
        <w:rPr>
          <w:rFonts w:hint="eastAsia"/>
        </w:rPr>
        <w:t>.</w:t>
      </w:r>
      <w:r>
        <w:rPr>
          <w:rFonts w:hint="eastAsia"/>
        </w:rPr>
        <w:tab/>
      </w:r>
      <w:r>
        <w:rPr>
          <w:rFonts w:hint="eastAsia"/>
        </w:rPr>
        <w:t>为此设计了职业专业化服务概念模式，并且将该模式作为确认和进行优先任务，以及制定战略的主要因素，</w:t>
      </w:r>
      <w:r>
        <w:rPr>
          <w:rFonts w:hint="eastAsia"/>
        </w:rPr>
        <w:t>它通过一种战略性、系统性，最重要的是共同语言，来帮助统一对项目组织的解释。</w:t>
      </w:r>
    </w:p>
    <w:p w:rsidR="00000000" w:rsidRDefault="00457650">
      <w:pPr>
        <w:widowControl/>
        <w:tabs>
          <w:tab w:val="left" w:pos="630"/>
        </w:tabs>
        <w:spacing w:after="240" w:line="360" w:lineRule="exact"/>
        <w:rPr>
          <w:rFonts w:hint="eastAsia"/>
        </w:rPr>
      </w:pPr>
      <w:r>
        <w:t>964</w:t>
      </w:r>
      <w:r>
        <w:rPr>
          <w:rFonts w:hint="eastAsia"/>
        </w:rPr>
        <w:t>.</w:t>
      </w:r>
      <w:r>
        <w:rPr>
          <w:rFonts w:hint="eastAsia"/>
        </w:rPr>
        <w:tab/>
      </w:r>
      <w:r>
        <w:rPr>
          <w:rFonts w:hint="eastAsia"/>
        </w:rPr>
        <w:t>为了使《职业专业化服务法》成为该法所涉各种子系统的依据，制定了一种能力模式，而且在</w:t>
      </w:r>
      <w:r>
        <w:t>2003</w:t>
      </w:r>
      <w:r>
        <w:rPr>
          <w:rFonts w:hint="eastAsia"/>
        </w:rPr>
        <w:t>年</w:t>
      </w:r>
      <w:r>
        <w:t>12</w:t>
      </w:r>
      <w:r>
        <w:rPr>
          <w:rFonts w:hint="eastAsia"/>
        </w:rPr>
        <w:t>月</w:t>
      </w:r>
      <w:r>
        <w:t>12</w:t>
      </w:r>
      <w:r>
        <w:rPr>
          <w:rFonts w:hint="eastAsia"/>
        </w:rPr>
        <w:t>日颁布了公共服务部的内部规则，还成立了联邦公共管理机构职业和人力资源部，后者将与下属单位和机构协作，指导职业专业化服务机制的设置。</w:t>
      </w:r>
    </w:p>
    <w:p w:rsidR="00000000" w:rsidRDefault="00457650">
      <w:pPr>
        <w:widowControl/>
        <w:tabs>
          <w:tab w:val="left" w:pos="630"/>
        </w:tabs>
        <w:spacing w:after="240" w:line="360" w:lineRule="exact"/>
        <w:rPr>
          <w:rFonts w:hint="eastAsia"/>
        </w:rPr>
      </w:pPr>
      <w:r>
        <w:t>965</w:t>
      </w:r>
      <w:r>
        <w:rPr>
          <w:rFonts w:hint="eastAsia"/>
        </w:rPr>
        <w:t>.</w:t>
      </w:r>
      <w:r>
        <w:rPr>
          <w:rFonts w:hint="eastAsia"/>
        </w:rPr>
        <w:tab/>
      </w:r>
      <w:r>
        <w:rPr>
          <w:rFonts w:hint="eastAsia"/>
        </w:rPr>
        <w:t>另外，</w:t>
      </w:r>
      <w:r>
        <w:t>2004</w:t>
      </w:r>
      <w:r>
        <w:rPr>
          <w:rFonts w:hint="eastAsia"/>
        </w:rPr>
        <w:t>年</w:t>
      </w:r>
      <w:r>
        <w:t>4</w:t>
      </w:r>
      <w:r>
        <w:rPr>
          <w:rFonts w:hint="eastAsia"/>
        </w:rPr>
        <w:t>月</w:t>
      </w:r>
      <w:r>
        <w:t>2</w:t>
      </w:r>
      <w:r>
        <w:rPr>
          <w:rFonts w:hint="eastAsia"/>
        </w:rPr>
        <w:t>日在《联邦公报》上公布了在联邦公共管理机构执行《职业专业化服务法》条例，并启动了职业专业化服务制度。自该条例公布之后，只有通过参加公开的公共竞赛，才有可能获得公</w:t>
      </w:r>
      <w:r>
        <w:rPr>
          <w:rFonts w:hint="eastAsia"/>
        </w:rPr>
        <w:t>共管理机构的某个职位（从联络职位到主任职位），在这些竞赛中，那些符合必要条件的人将接受评估以获得该职位。</w:t>
      </w:r>
    </w:p>
    <w:p w:rsidR="00000000" w:rsidRDefault="00457650">
      <w:pPr>
        <w:widowControl/>
        <w:tabs>
          <w:tab w:val="left" w:pos="630"/>
        </w:tabs>
        <w:spacing w:after="240" w:line="360" w:lineRule="exact"/>
        <w:rPr>
          <w:rFonts w:hint="eastAsia"/>
        </w:rPr>
      </w:pPr>
      <w:r>
        <w:t>966</w:t>
      </w:r>
      <w:r>
        <w:rPr>
          <w:rFonts w:hint="eastAsia"/>
        </w:rPr>
        <w:t>.</w:t>
      </w:r>
      <w:r>
        <w:rPr>
          <w:rFonts w:hint="eastAsia"/>
        </w:rPr>
        <w:tab/>
      </w:r>
      <w:r>
        <w:rPr>
          <w:rFonts w:hint="eastAsia"/>
        </w:rPr>
        <w:t>目前有</w:t>
      </w:r>
      <w:r>
        <w:t>83</w:t>
      </w:r>
      <w:r>
        <w:rPr>
          <w:rFonts w:hint="eastAsia"/>
        </w:rPr>
        <w:t>种专业性技术职位，并在下属部门和联邦公共管理机构成立了一些选择委员会。</w:t>
      </w:r>
    </w:p>
    <w:p w:rsidR="00000000" w:rsidRDefault="00457650">
      <w:pPr>
        <w:widowControl/>
        <w:tabs>
          <w:tab w:val="left" w:pos="630"/>
        </w:tabs>
        <w:spacing w:after="240" w:line="360" w:lineRule="exact"/>
        <w:rPr>
          <w:rFonts w:hint="eastAsia"/>
        </w:rPr>
      </w:pPr>
      <w:r>
        <w:t>967</w:t>
      </w:r>
      <w:r>
        <w:rPr>
          <w:rFonts w:hint="eastAsia"/>
        </w:rPr>
        <w:t>.</w:t>
      </w:r>
      <w:r>
        <w:rPr>
          <w:rFonts w:hint="eastAsia"/>
        </w:rPr>
        <w:tab/>
      </w:r>
      <w:r>
        <w:rPr>
          <w:rFonts w:hint="eastAsia"/>
        </w:rPr>
        <w:t>此外，网上校园概念被认为是一种手段或工具，有助于培训公务员，并为国立大学和教育机构的参与提供机会。</w:t>
      </w:r>
    </w:p>
    <w:p w:rsidR="00000000" w:rsidRDefault="00457650">
      <w:pPr>
        <w:widowControl/>
        <w:tabs>
          <w:tab w:val="left" w:pos="630"/>
        </w:tabs>
        <w:spacing w:after="240" w:line="360" w:lineRule="exact"/>
        <w:rPr>
          <w:rFonts w:hint="eastAsia"/>
        </w:rPr>
      </w:pPr>
      <w:r>
        <w:t>968</w:t>
      </w:r>
      <w:r>
        <w:rPr>
          <w:rFonts w:hint="eastAsia"/>
        </w:rPr>
        <w:t>.</w:t>
      </w:r>
      <w:r>
        <w:rPr>
          <w:rFonts w:hint="eastAsia"/>
        </w:rPr>
        <w:tab/>
      </w:r>
      <w:r>
        <w:rPr>
          <w:rFonts w:hint="eastAsia"/>
          <w:spacing w:val="2"/>
        </w:rPr>
        <w:t>从</w:t>
      </w:r>
      <w:r>
        <w:rPr>
          <w:spacing w:val="2"/>
        </w:rPr>
        <w:t>2003</w:t>
      </w:r>
      <w:r>
        <w:rPr>
          <w:rFonts w:hint="eastAsia"/>
          <w:spacing w:val="2"/>
        </w:rPr>
        <w:t>年</w:t>
      </w:r>
      <w:r>
        <w:rPr>
          <w:spacing w:val="2"/>
        </w:rPr>
        <w:t>1</w:t>
      </w:r>
      <w:r>
        <w:rPr>
          <w:rFonts w:hint="eastAsia"/>
          <w:spacing w:val="2"/>
        </w:rPr>
        <w:t>月至</w:t>
      </w:r>
      <w:r>
        <w:rPr>
          <w:spacing w:val="2"/>
        </w:rPr>
        <w:t>12</w:t>
      </w:r>
      <w:r>
        <w:rPr>
          <w:rFonts w:hint="eastAsia"/>
          <w:spacing w:val="2"/>
        </w:rPr>
        <w:t>月，开展了</w:t>
      </w:r>
      <w:r>
        <w:rPr>
          <w:spacing w:val="2"/>
        </w:rPr>
        <w:t>5</w:t>
      </w:r>
      <w:r>
        <w:rPr>
          <w:rFonts w:hint="eastAsia"/>
          <w:spacing w:val="2"/>
        </w:rPr>
        <w:t xml:space="preserve"> </w:t>
      </w:r>
      <w:r>
        <w:rPr>
          <w:spacing w:val="2"/>
        </w:rPr>
        <w:t>784</w:t>
      </w:r>
      <w:r>
        <w:rPr>
          <w:rFonts w:hint="eastAsia"/>
          <w:spacing w:val="2"/>
        </w:rPr>
        <w:t>次加强性活动，比上一年同期增加了</w:t>
      </w:r>
      <w:r>
        <w:rPr>
          <w:spacing w:val="2"/>
        </w:rPr>
        <w:t>81.6%</w:t>
      </w:r>
      <w:r>
        <w:rPr>
          <w:rFonts w:hint="eastAsia"/>
          <w:spacing w:val="2"/>
        </w:rPr>
        <w:t>；另外，还进行了</w:t>
      </w:r>
      <w:r>
        <w:rPr>
          <w:spacing w:val="2"/>
        </w:rPr>
        <w:t>3</w:t>
      </w:r>
      <w:r>
        <w:rPr>
          <w:rFonts w:hint="eastAsia"/>
          <w:spacing w:val="2"/>
        </w:rPr>
        <w:t xml:space="preserve"> </w:t>
      </w:r>
      <w:r>
        <w:rPr>
          <w:spacing w:val="2"/>
        </w:rPr>
        <w:t>341</w:t>
      </w:r>
      <w:r>
        <w:rPr>
          <w:rFonts w:hint="eastAsia"/>
        </w:rPr>
        <w:t>项监测审查，内部监督机构参与这些活动的工作人员从</w:t>
      </w:r>
      <w:r>
        <w:t>13%</w:t>
      </w:r>
      <w:r>
        <w:rPr>
          <w:rFonts w:hint="eastAsia"/>
        </w:rPr>
        <w:t>增加到</w:t>
      </w:r>
      <w:r>
        <w:t>33%</w:t>
      </w:r>
      <w:r>
        <w:rPr>
          <w:rFonts w:hint="eastAsia"/>
        </w:rPr>
        <w:t>。</w:t>
      </w:r>
    </w:p>
    <w:p w:rsidR="00000000" w:rsidRDefault="00457650">
      <w:pPr>
        <w:widowControl/>
        <w:tabs>
          <w:tab w:val="left" w:pos="630"/>
        </w:tabs>
        <w:spacing w:after="240" w:line="360" w:lineRule="exact"/>
        <w:rPr>
          <w:rFonts w:hint="eastAsia"/>
        </w:rPr>
      </w:pPr>
      <w:r>
        <w:t>969</w:t>
      </w:r>
      <w:r>
        <w:rPr>
          <w:rFonts w:hint="eastAsia"/>
        </w:rPr>
        <w:t>.</w:t>
      </w:r>
      <w:r>
        <w:rPr>
          <w:rFonts w:hint="eastAsia"/>
        </w:rPr>
        <w:tab/>
      </w:r>
      <w:r>
        <w:rPr>
          <w:rFonts w:hint="eastAsia"/>
        </w:rPr>
        <w:t>与此</w:t>
      </w:r>
      <w:r>
        <w:rPr>
          <w:rFonts w:hint="eastAsia"/>
        </w:rPr>
        <w:t>同时，制定、发行并更新了</w:t>
      </w:r>
      <w:r>
        <w:rPr>
          <w:rFonts w:hint="eastAsia"/>
        </w:rPr>
        <w:t>11</w:t>
      </w:r>
      <w:r>
        <w:rPr>
          <w:rFonts w:hint="eastAsia"/>
        </w:rPr>
        <w:t>本指南，收纳了该领域整套工作方法和更好的做法，以协助内部监督机构开展提高和预防活动。这类指南以前没有过。</w:t>
      </w:r>
    </w:p>
    <w:p w:rsidR="00000000" w:rsidRDefault="00457650">
      <w:pPr>
        <w:widowControl/>
        <w:tabs>
          <w:tab w:val="left" w:pos="630"/>
        </w:tabs>
        <w:spacing w:after="240" w:line="360" w:lineRule="exact"/>
        <w:rPr>
          <w:rFonts w:hint="eastAsia"/>
        </w:rPr>
      </w:pPr>
      <w:r>
        <w:t>970</w:t>
      </w:r>
      <w:r>
        <w:rPr>
          <w:rFonts w:hint="eastAsia"/>
        </w:rPr>
        <w:t>.</w:t>
      </w:r>
      <w:r>
        <w:rPr>
          <w:rFonts w:hint="eastAsia"/>
        </w:rPr>
        <w:tab/>
      </w:r>
      <w:r>
        <w:rPr>
          <w:rFonts w:hint="eastAsia"/>
        </w:rPr>
        <w:t>从</w:t>
      </w:r>
      <w:r>
        <w:t>2003</w:t>
      </w:r>
      <w:r>
        <w:rPr>
          <w:rFonts w:hint="eastAsia"/>
        </w:rPr>
        <w:t>年第四季度开始设计监督和控制机构完整运作模式的结构，将于</w:t>
      </w:r>
      <w:r>
        <w:t>2004</w:t>
      </w:r>
      <w:r>
        <w:rPr>
          <w:rFonts w:hint="eastAsia"/>
        </w:rPr>
        <w:t>年开始执行。该运作模式将是一种综合机制，可以统一评估</w:t>
      </w:r>
      <w:r>
        <w:t>200</w:t>
      </w:r>
      <w:r>
        <w:rPr>
          <w:rFonts w:hint="eastAsia"/>
        </w:rPr>
        <w:t>多个国内监督机构、社会工作者和代表的工作业绩，指导他们根据以下</w:t>
      </w:r>
      <w:r>
        <w:rPr>
          <w:rFonts w:hint="eastAsia"/>
        </w:rPr>
        <w:t>5</w:t>
      </w:r>
      <w:r>
        <w:rPr>
          <w:rFonts w:hint="eastAsia"/>
        </w:rPr>
        <w:t>项指标，在拟评估的五个主要领域取得成果：</w:t>
      </w:r>
    </w:p>
    <w:p w:rsidR="00000000" w:rsidRDefault="00457650" w:rsidP="00457650">
      <w:pPr>
        <w:widowControl/>
        <w:tabs>
          <w:tab w:val="left" w:pos="630"/>
        </w:tabs>
        <w:spacing w:after="240" w:line="360" w:lineRule="exact"/>
        <w:ind w:leftChars="300" w:left="31680" w:hangingChars="200" w:firstLine="31680"/>
        <w:rPr>
          <w:rFonts w:ascii="SimSun" w:hAnsi="SimSun" w:hint="eastAsia"/>
        </w:rPr>
      </w:pPr>
      <w:r>
        <w:rPr>
          <w:rFonts w:ascii="SimSun" w:hAnsi="SimSun" w:hint="eastAsia"/>
        </w:rPr>
        <w:t>-</w:t>
      </w:r>
      <w:r>
        <w:rPr>
          <w:rFonts w:ascii="SimSun" w:hAnsi="SimSun" w:hint="eastAsia"/>
        </w:rPr>
        <w:tab/>
      </w:r>
      <w:r>
        <w:rPr>
          <w:rFonts w:ascii="SimSun" w:hAnsi="SimSun" w:hint="eastAsia"/>
        </w:rPr>
        <w:t>降低腐败风险</w:t>
      </w:r>
      <w:r>
        <w:rPr>
          <w:rFonts w:ascii="SimSun" w:hAnsi="SimSun"/>
        </w:rPr>
        <w:t>；</w:t>
      </w:r>
    </w:p>
    <w:p w:rsidR="00000000" w:rsidRDefault="00457650" w:rsidP="00457650">
      <w:pPr>
        <w:widowControl/>
        <w:tabs>
          <w:tab w:val="left" w:pos="630"/>
        </w:tabs>
        <w:spacing w:after="240" w:line="360" w:lineRule="exact"/>
        <w:ind w:leftChars="300" w:left="31680" w:hangingChars="200" w:firstLine="31680"/>
        <w:rPr>
          <w:rFonts w:ascii="SimSun" w:hAnsi="SimSun" w:hint="eastAsia"/>
        </w:rPr>
      </w:pPr>
      <w:r>
        <w:rPr>
          <w:rFonts w:ascii="SimSun" w:hAnsi="SimSun" w:hint="eastAsia"/>
        </w:rPr>
        <w:t>-</w:t>
      </w:r>
      <w:r>
        <w:rPr>
          <w:rFonts w:ascii="SimSun" w:hAnsi="SimSun" w:hint="eastAsia"/>
        </w:rPr>
        <w:tab/>
      </w:r>
      <w:r>
        <w:rPr>
          <w:rFonts w:ascii="SimSun" w:hAnsi="SimSun" w:hint="eastAsia"/>
        </w:rPr>
        <w:t>降低不透明风险</w:t>
      </w:r>
      <w:r>
        <w:rPr>
          <w:rFonts w:ascii="SimSun" w:hAnsi="SimSun"/>
        </w:rPr>
        <w:t>；</w:t>
      </w:r>
    </w:p>
    <w:p w:rsidR="00000000" w:rsidRDefault="00457650" w:rsidP="00457650">
      <w:pPr>
        <w:widowControl/>
        <w:tabs>
          <w:tab w:val="left" w:pos="630"/>
        </w:tabs>
        <w:spacing w:after="240" w:line="360" w:lineRule="exact"/>
        <w:ind w:leftChars="300" w:left="31680" w:hangingChars="200" w:firstLine="31680"/>
        <w:rPr>
          <w:rFonts w:ascii="SimSun" w:hAnsi="SimSun" w:hint="eastAsia"/>
        </w:rPr>
      </w:pPr>
      <w:r>
        <w:rPr>
          <w:rFonts w:ascii="SimSun" w:hAnsi="SimSun" w:hint="eastAsia"/>
        </w:rPr>
        <w:t>-</w:t>
      </w:r>
      <w:r>
        <w:rPr>
          <w:rFonts w:ascii="SimSun" w:hAnsi="SimSun" w:hint="eastAsia"/>
        </w:rPr>
        <w:tab/>
      </w:r>
      <w:r>
        <w:rPr>
          <w:rFonts w:ascii="SimSun" w:hAnsi="SimSun" w:hint="eastAsia"/>
        </w:rPr>
        <w:t>机构绩效</w:t>
      </w:r>
      <w:r>
        <w:rPr>
          <w:rFonts w:ascii="SimSun" w:hAnsi="SimSun"/>
        </w:rPr>
        <w:t>；</w:t>
      </w:r>
    </w:p>
    <w:p w:rsidR="00000000" w:rsidRDefault="00457650" w:rsidP="00457650">
      <w:pPr>
        <w:widowControl/>
        <w:tabs>
          <w:tab w:val="left" w:pos="630"/>
        </w:tabs>
        <w:spacing w:after="240" w:line="360" w:lineRule="exact"/>
        <w:ind w:leftChars="300" w:left="31680" w:hangingChars="200" w:firstLine="31680"/>
        <w:rPr>
          <w:rFonts w:ascii="SimSun" w:hAnsi="SimSun" w:hint="eastAsia"/>
        </w:rPr>
      </w:pPr>
      <w:r>
        <w:rPr>
          <w:rFonts w:ascii="SimSun" w:hAnsi="SimSun" w:hint="eastAsia"/>
        </w:rPr>
        <w:t>-</w:t>
      </w:r>
      <w:r>
        <w:rPr>
          <w:rFonts w:ascii="SimSun" w:hAnsi="SimSun" w:hint="eastAsia"/>
        </w:rPr>
        <w:tab/>
      </w:r>
      <w:r>
        <w:rPr>
          <w:rFonts w:ascii="SimSun" w:hAnsi="SimSun" w:hint="eastAsia"/>
        </w:rPr>
        <w:t>运作情况</w:t>
      </w:r>
      <w:r>
        <w:rPr>
          <w:rFonts w:ascii="SimSun" w:hAnsi="SimSun"/>
        </w:rPr>
        <w:t>；</w:t>
      </w:r>
    </w:p>
    <w:p w:rsidR="00000000" w:rsidRDefault="00457650" w:rsidP="00457650">
      <w:pPr>
        <w:widowControl/>
        <w:tabs>
          <w:tab w:val="left" w:pos="630"/>
        </w:tabs>
        <w:spacing w:after="240" w:line="360" w:lineRule="exact"/>
        <w:ind w:leftChars="300" w:left="31680" w:hangingChars="200" w:firstLine="31680"/>
        <w:rPr>
          <w:rFonts w:ascii="SimSun" w:hAnsi="SimSun" w:hint="eastAsia"/>
        </w:rPr>
      </w:pPr>
      <w:r>
        <w:rPr>
          <w:rFonts w:ascii="SimSun" w:hAnsi="SimSun" w:hint="eastAsia"/>
        </w:rPr>
        <w:t>-</w:t>
      </w:r>
      <w:r>
        <w:rPr>
          <w:rFonts w:ascii="SimSun" w:hAnsi="SimSun" w:hint="eastAsia"/>
        </w:rPr>
        <w:tab/>
      </w:r>
      <w:r>
        <w:rPr>
          <w:rFonts w:ascii="SimSun" w:hAnsi="SimSun" w:hint="eastAsia"/>
        </w:rPr>
        <w:t>内部监督机构各部门和单位工作业绩查知率。</w:t>
      </w:r>
    </w:p>
    <w:p w:rsidR="00000000" w:rsidRDefault="00457650">
      <w:pPr>
        <w:widowControl/>
        <w:tabs>
          <w:tab w:val="left" w:pos="630"/>
        </w:tabs>
        <w:spacing w:after="240" w:line="360" w:lineRule="exact"/>
        <w:rPr>
          <w:rFonts w:hint="eastAsia"/>
        </w:rPr>
      </w:pPr>
      <w:r>
        <w:t>971</w:t>
      </w:r>
      <w:r>
        <w:rPr>
          <w:rFonts w:hint="eastAsia"/>
        </w:rPr>
        <w:t>.</w:t>
      </w:r>
      <w:r>
        <w:rPr>
          <w:rFonts w:hint="eastAsia"/>
        </w:rPr>
        <w:tab/>
      </w:r>
      <w:r>
        <w:rPr>
          <w:rFonts w:hint="eastAsia"/>
        </w:rPr>
        <w:t>这一模式有助于将监督和控制机构的行为及其评估与公共事务部的政策、目标和目的结合起来，其依据的是近年来为建设透明、诚信和高效的机构，进行了标准化和制度化改革，为这些机构规定了行动方针。</w:t>
      </w:r>
      <w:r>
        <w:t>2004</w:t>
      </w:r>
      <w:r>
        <w:rPr>
          <w:rFonts w:hint="eastAsia"/>
        </w:rPr>
        <w:t>年，完整运作模式将被用来进行一年两次的评估，由此将这些机构的工作与上述目标结合起来。</w:t>
      </w:r>
    </w:p>
    <w:p w:rsidR="00000000" w:rsidRDefault="00457650">
      <w:pPr>
        <w:widowControl/>
        <w:tabs>
          <w:tab w:val="left" w:pos="630"/>
        </w:tabs>
        <w:spacing w:after="240" w:line="360" w:lineRule="exact"/>
        <w:rPr>
          <w:rFonts w:hint="eastAsia"/>
        </w:rPr>
      </w:pPr>
      <w:r>
        <w:t>972</w:t>
      </w:r>
      <w:r>
        <w:rPr>
          <w:rFonts w:hint="eastAsia"/>
        </w:rPr>
        <w:t>.</w:t>
      </w:r>
      <w:r>
        <w:rPr>
          <w:rFonts w:hint="eastAsia"/>
        </w:rPr>
        <w:tab/>
      </w:r>
      <w:r>
        <w:t>2003</w:t>
      </w:r>
      <w:r>
        <w:rPr>
          <w:rFonts w:hint="eastAsia"/>
        </w:rPr>
        <w:t>年，联邦政府内部监督机构在联邦公共管理机构</w:t>
      </w:r>
      <w:r>
        <w:t>296</w:t>
      </w:r>
      <w:r>
        <w:rPr>
          <w:rFonts w:hint="eastAsia"/>
        </w:rPr>
        <w:t>个部门和实体的高风险领域（主要为负责采购和公共事务的领域）进行了</w:t>
      </w:r>
      <w:r>
        <w:t>4.452</w:t>
      </w:r>
      <w:r>
        <w:rPr>
          <w:rFonts w:hint="eastAsia"/>
        </w:rPr>
        <w:t>次审计，这些单位占今年指标的</w:t>
      </w:r>
      <w:r>
        <w:t>98.6%</w:t>
      </w:r>
      <w:r>
        <w:rPr>
          <w:rFonts w:hint="eastAsia"/>
        </w:rPr>
        <w:t>，但与</w:t>
      </w:r>
      <w:r>
        <w:t>2002</w:t>
      </w:r>
      <w:r>
        <w:rPr>
          <w:rFonts w:hint="eastAsia"/>
        </w:rPr>
        <w:t>年相比减少了</w:t>
      </w:r>
      <w:r>
        <w:t>23.9%</w:t>
      </w:r>
      <w:r>
        <w:rPr>
          <w:rFonts w:hint="eastAsia"/>
        </w:rPr>
        <w:t>。减少的原因是内部监督</w:t>
      </w:r>
      <w:r>
        <w:rPr>
          <w:rFonts w:hint="eastAsia"/>
        </w:rPr>
        <w:t>机构对审计工作采取预防和协作的办法，加强了分析，并改进了公共部门和实体的内部监督活动，从而补充了控制功能。另外该机构还根据</w:t>
      </w:r>
      <w:r>
        <w:t>SHCP</w:t>
      </w:r>
      <w:r>
        <w:rPr>
          <w:rFonts w:hint="eastAsia"/>
        </w:rPr>
        <w:t>的预算限制和自愿退休方案的实施裁减了有关职位。</w:t>
      </w:r>
    </w:p>
    <w:p w:rsidR="00000000" w:rsidRDefault="00457650">
      <w:pPr>
        <w:widowControl/>
        <w:tabs>
          <w:tab w:val="left" w:pos="630"/>
        </w:tabs>
        <w:spacing w:after="240" w:line="360" w:lineRule="exact"/>
        <w:rPr>
          <w:rFonts w:hint="eastAsia"/>
        </w:rPr>
      </w:pPr>
      <w:r>
        <w:t>973</w:t>
      </w:r>
      <w:r>
        <w:rPr>
          <w:rFonts w:hint="eastAsia"/>
        </w:rPr>
        <w:t>.</w:t>
      </w:r>
      <w:r>
        <w:rPr>
          <w:rFonts w:hint="eastAsia"/>
        </w:rPr>
        <w:tab/>
      </w:r>
      <w:r>
        <w:t>2002</w:t>
      </w:r>
      <w:r>
        <w:rPr>
          <w:rFonts w:hint="eastAsia"/>
        </w:rPr>
        <w:t>年内部控制活动的成本约为</w:t>
      </w:r>
      <w:r>
        <w:t>32.313</w:t>
      </w:r>
      <w:r>
        <w:rPr>
          <w:rFonts w:hint="eastAsia"/>
        </w:rPr>
        <w:t>亿比索，收回了</w:t>
      </w:r>
      <w:r>
        <w:t>53.286</w:t>
      </w:r>
      <w:r>
        <w:rPr>
          <w:rFonts w:hint="eastAsia"/>
        </w:rPr>
        <w:t>亿比索，回报率为</w:t>
      </w:r>
      <w:r>
        <w:t>1.6:1</w:t>
      </w:r>
      <w:r>
        <w:rPr>
          <w:rFonts w:hint="eastAsia"/>
        </w:rPr>
        <w:t>，高于</w:t>
      </w:r>
      <w:r>
        <w:t>2001</w:t>
      </w:r>
      <w:r>
        <w:rPr>
          <w:rFonts w:hint="eastAsia"/>
        </w:rPr>
        <w:t>年的</w:t>
      </w:r>
      <w:r>
        <w:t>1.1:1</w:t>
      </w:r>
      <w:r>
        <w:rPr>
          <w:rFonts w:hint="eastAsia"/>
        </w:rPr>
        <w:t>。</w:t>
      </w:r>
      <w:r>
        <w:t>2003</w:t>
      </w:r>
      <w:r>
        <w:rPr>
          <w:rFonts w:hint="eastAsia"/>
        </w:rPr>
        <w:t>年，收回了</w:t>
      </w:r>
      <w:r>
        <w:t>52.881</w:t>
      </w:r>
      <w:r>
        <w:rPr>
          <w:rFonts w:hint="eastAsia"/>
        </w:rPr>
        <w:t>亿比索，投入成本为</w:t>
      </w:r>
      <w:r>
        <w:t>35.285</w:t>
      </w:r>
      <w:r>
        <w:rPr>
          <w:rFonts w:hint="eastAsia"/>
        </w:rPr>
        <w:t>亿比索，比率为</w:t>
      </w:r>
      <w:r>
        <w:t>1.5:1</w:t>
      </w:r>
      <w:r>
        <w:rPr>
          <w:rFonts w:hint="eastAsia"/>
        </w:rPr>
        <w:t>，与</w:t>
      </w:r>
      <w:r>
        <w:t>2002</w:t>
      </w:r>
      <w:r>
        <w:rPr>
          <w:rFonts w:hint="eastAsia"/>
        </w:rPr>
        <w:t>年的数字相差不大。</w:t>
      </w:r>
    </w:p>
    <w:p w:rsidR="00000000" w:rsidRDefault="00457650">
      <w:pPr>
        <w:widowControl/>
        <w:tabs>
          <w:tab w:val="left" w:pos="630"/>
        </w:tabs>
        <w:spacing w:after="240" w:line="360" w:lineRule="exact"/>
        <w:rPr>
          <w:rFonts w:hint="eastAsia"/>
        </w:rPr>
      </w:pPr>
      <w:r>
        <w:t>974</w:t>
      </w:r>
      <w:r>
        <w:rPr>
          <w:rFonts w:hint="eastAsia"/>
        </w:rPr>
        <w:t>.</w:t>
      </w:r>
      <w:r>
        <w:rPr>
          <w:rFonts w:hint="eastAsia"/>
        </w:rPr>
        <w:tab/>
      </w:r>
      <w:r>
        <w:t>2003</w:t>
      </w:r>
      <w:r>
        <w:rPr>
          <w:rFonts w:hint="eastAsia"/>
        </w:rPr>
        <w:t>年，根据观察结果处理了</w:t>
      </w:r>
      <w:r>
        <w:t>19</w:t>
      </w:r>
      <w:r>
        <w:rPr>
          <w:rFonts w:hint="eastAsia"/>
        </w:rPr>
        <w:t xml:space="preserve"> </w:t>
      </w:r>
      <w:r>
        <w:t>434</w:t>
      </w:r>
      <w:r>
        <w:rPr>
          <w:rFonts w:hint="eastAsia"/>
        </w:rPr>
        <w:t>个案子，其中</w:t>
      </w:r>
      <w:r>
        <w:t>68.3%</w:t>
      </w:r>
      <w:r>
        <w:rPr>
          <w:rFonts w:hint="eastAsia"/>
        </w:rPr>
        <w:t>的问题没</w:t>
      </w:r>
      <w:r>
        <w:rPr>
          <w:rFonts w:hint="eastAsia"/>
        </w:rPr>
        <w:t>能在</w:t>
      </w:r>
      <w:r>
        <w:t>2002</w:t>
      </w:r>
      <w:r>
        <w:rPr>
          <w:rFonts w:hint="eastAsia"/>
        </w:rPr>
        <w:t>年年底得到解决，</w:t>
      </w:r>
      <w:r>
        <w:t>46.8%</w:t>
      </w:r>
      <w:r>
        <w:rPr>
          <w:rFonts w:hint="eastAsia"/>
        </w:rPr>
        <w:t>在</w:t>
      </w:r>
      <w:r>
        <w:t>2003</w:t>
      </w:r>
      <w:r>
        <w:rPr>
          <w:rFonts w:hint="eastAsia"/>
        </w:rPr>
        <w:t>年得到确认。</w:t>
      </w:r>
    </w:p>
    <w:p w:rsidR="00000000" w:rsidRDefault="00457650">
      <w:pPr>
        <w:widowControl/>
        <w:tabs>
          <w:tab w:val="left" w:pos="630"/>
        </w:tabs>
        <w:spacing w:after="240" w:line="360" w:lineRule="exact"/>
        <w:rPr>
          <w:rFonts w:hint="eastAsia"/>
        </w:rPr>
      </w:pPr>
      <w:r>
        <w:t>975</w:t>
      </w:r>
      <w:r>
        <w:rPr>
          <w:rFonts w:hint="eastAsia"/>
        </w:rPr>
        <w:t>.</w:t>
      </w:r>
      <w:r>
        <w:rPr>
          <w:rFonts w:hint="eastAsia"/>
        </w:rPr>
        <w:tab/>
      </w:r>
      <w:r>
        <w:rPr>
          <w:rFonts w:hint="eastAsia"/>
        </w:rPr>
        <w:t>在</w:t>
      </w:r>
      <w:r>
        <w:t>2003</w:t>
      </w:r>
      <w:r>
        <w:rPr>
          <w:rFonts w:hint="eastAsia"/>
        </w:rPr>
        <w:t>年</w:t>
      </w:r>
      <w:r>
        <w:t>7</w:t>
      </w:r>
      <w:r>
        <w:rPr>
          <w:rFonts w:hint="eastAsia"/>
        </w:rPr>
        <w:t>月到</w:t>
      </w:r>
      <w:r>
        <w:t>12</w:t>
      </w:r>
      <w:r>
        <w:rPr>
          <w:rFonts w:hint="eastAsia"/>
        </w:rPr>
        <w:t>月，进行了</w:t>
      </w:r>
      <w:r>
        <w:t>53</w:t>
      </w:r>
      <w:r>
        <w:rPr>
          <w:rFonts w:hint="eastAsia"/>
        </w:rPr>
        <w:t>次审计，与前一年同期相比增加了</w:t>
      </w:r>
      <w:r>
        <w:t>41.5%</w:t>
      </w:r>
      <w:r>
        <w:rPr>
          <w:rFonts w:hint="eastAsia"/>
        </w:rPr>
        <w:t>。这些审计活动产生了</w:t>
      </w:r>
      <w:r>
        <w:t>236</w:t>
      </w:r>
      <w:r>
        <w:rPr>
          <w:rFonts w:hint="eastAsia"/>
        </w:rPr>
        <w:t>份观察报告，涉及金额总数约为</w:t>
      </w:r>
      <w:r>
        <w:t>423.2</w:t>
      </w:r>
      <w:r>
        <w:rPr>
          <w:rFonts w:hint="eastAsia"/>
        </w:rPr>
        <w:t>万比索，每份观察报告涉及的平均指标有所降低，从</w:t>
      </w:r>
      <w:r>
        <w:t>2000</w:t>
      </w:r>
      <w:r>
        <w:rPr>
          <w:rFonts w:hint="eastAsia"/>
        </w:rPr>
        <w:t>年的</w:t>
      </w:r>
      <w:r>
        <w:t>19.37</w:t>
      </w:r>
      <w:r>
        <w:rPr>
          <w:rFonts w:hint="eastAsia"/>
        </w:rPr>
        <w:t>%</w:t>
      </w:r>
      <w:r>
        <w:rPr>
          <w:rFonts w:hint="eastAsia"/>
        </w:rPr>
        <w:t>降到</w:t>
      </w:r>
      <w:r>
        <w:t>2003</w:t>
      </w:r>
      <w:r>
        <w:rPr>
          <w:rFonts w:hint="eastAsia"/>
        </w:rPr>
        <w:t>年下半年的</w:t>
      </w:r>
      <w:r>
        <w:t>17.93</w:t>
      </w:r>
      <w:r>
        <w:rPr>
          <w:rFonts w:hint="eastAsia"/>
        </w:rPr>
        <w:t>%</w:t>
      </w:r>
      <w:r>
        <w:rPr>
          <w:rFonts w:hint="eastAsia"/>
        </w:rPr>
        <w:t>。</w:t>
      </w:r>
    </w:p>
    <w:p w:rsidR="00000000" w:rsidRDefault="00457650">
      <w:pPr>
        <w:widowControl/>
        <w:tabs>
          <w:tab w:val="left" w:pos="630"/>
        </w:tabs>
        <w:spacing w:after="240" w:line="360" w:lineRule="exact"/>
        <w:rPr>
          <w:rFonts w:hint="eastAsia"/>
        </w:rPr>
      </w:pPr>
      <w:r>
        <w:t>976</w:t>
      </w:r>
      <w:r>
        <w:rPr>
          <w:rFonts w:hint="eastAsia"/>
        </w:rPr>
        <w:t>.</w:t>
      </w:r>
      <w:r>
        <w:rPr>
          <w:rFonts w:hint="eastAsia"/>
        </w:rPr>
        <w:tab/>
      </w:r>
      <w:r>
        <w:t>2003</w:t>
      </w:r>
      <w:r>
        <w:rPr>
          <w:rFonts w:hint="eastAsia"/>
        </w:rPr>
        <w:t>年下半年进行的直接审计揭露了五起案件，估计违法所得的比索总额为</w:t>
      </w:r>
      <w:r>
        <w:t>5</w:t>
      </w:r>
      <w:r>
        <w:rPr>
          <w:rFonts w:hint="eastAsia"/>
        </w:rPr>
        <w:t xml:space="preserve"> </w:t>
      </w:r>
      <w:r>
        <w:t>600</w:t>
      </w:r>
      <w:r>
        <w:rPr>
          <w:rFonts w:hint="eastAsia"/>
        </w:rPr>
        <w:t>万，与</w:t>
      </w:r>
      <w:r>
        <w:t>2002</w:t>
      </w:r>
      <w:r>
        <w:rPr>
          <w:rFonts w:hint="eastAsia"/>
        </w:rPr>
        <w:t>年</w:t>
      </w:r>
      <w:r>
        <w:t>7</w:t>
      </w:r>
      <w:r>
        <w:rPr>
          <w:rFonts w:hint="eastAsia"/>
        </w:rPr>
        <w:t>月至</w:t>
      </w:r>
      <w:r>
        <w:t>12</w:t>
      </w:r>
      <w:r>
        <w:rPr>
          <w:rFonts w:hint="eastAsia"/>
        </w:rPr>
        <w:t>月在</w:t>
      </w:r>
      <w:r>
        <w:t>47</w:t>
      </w:r>
      <w:r>
        <w:rPr>
          <w:rFonts w:hint="eastAsia"/>
        </w:rPr>
        <w:t>起案件中发现的违法所得</w:t>
      </w:r>
      <w:r>
        <w:t>5.92</w:t>
      </w:r>
      <w:r>
        <w:rPr>
          <w:rFonts w:hint="eastAsia"/>
        </w:rPr>
        <w:t>亿比索相比降低了</w:t>
      </w:r>
      <w:r>
        <w:t>10</w:t>
      </w:r>
      <w:r>
        <w:rPr>
          <w:rFonts w:hint="eastAsia"/>
        </w:rPr>
        <w:t>倍。在确认为违法所</w:t>
      </w:r>
      <w:r>
        <w:rPr>
          <w:rFonts w:hint="eastAsia"/>
        </w:rPr>
        <w:t>得的全部资金中，损失</w:t>
      </w:r>
      <w:r>
        <w:t>1</w:t>
      </w:r>
      <w:r>
        <w:rPr>
          <w:rFonts w:hint="eastAsia"/>
        </w:rPr>
        <w:t xml:space="preserve"> </w:t>
      </w:r>
      <w:r>
        <w:t>900</w:t>
      </w:r>
      <w:r>
        <w:rPr>
          <w:rFonts w:hint="eastAsia"/>
        </w:rPr>
        <w:t>万，损害</w:t>
      </w:r>
      <w:r>
        <w:t>3</w:t>
      </w:r>
      <w:r>
        <w:rPr>
          <w:rFonts w:hint="eastAsia"/>
        </w:rPr>
        <w:t xml:space="preserve"> </w:t>
      </w:r>
      <w:r>
        <w:t>700</w:t>
      </w:r>
      <w:r>
        <w:rPr>
          <w:rFonts w:hint="eastAsia"/>
        </w:rPr>
        <w:t>万。</w:t>
      </w:r>
    </w:p>
    <w:p w:rsidR="00000000" w:rsidRDefault="00457650">
      <w:pPr>
        <w:widowControl/>
        <w:tabs>
          <w:tab w:val="left" w:pos="630"/>
        </w:tabs>
        <w:spacing w:after="240" w:line="360" w:lineRule="exact"/>
        <w:rPr>
          <w:rFonts w:hint="eastAsia"/>
        </w:rPr>
      </w:pPr>
      <w:r>
        <w:t>977</w:t>
      </w:r>
      <w:r>
        <w:rPr>
          <w:rFonts w:hint="eastAsia"/>
        </w:rPr>
        <w:t>.</w:t>
      </w:r>
      <w:r>
        <w:rPr>
          <w:rFonts w:hint="eastAsia"/>
        </w:rPr>
        <w:tab/>
      </w:r>
      <w:r>
        <w:rPr>
          <w:rFonts w:hint="eastAsia"/>
        </w:rPr>
        <w:t>说明：根据后续审计和审查，</w:t>
      </w:r>
      <w:r>
        <w:t xml:space="preserve"> 2003</w:t>
      </w:r>
      <w:r>
        <w:rPr>
          <w:rFonts w:hint="eastAsia"/>
        </w:rPr>
        <w:t>年上半年的相应观察报告和推定责任案例，发现违法所得金额有</w:t>
      </w:r>
      <w:r>
        <w:t>73.34</w:t>
      </w:r>
      <w:r>
        <w:rPr>
          <w:rFonts w:hint="eastAsia"/>
        </w:rPr>
        <w:t>亿比索的差数，举报案件中的金额数为</w:t>
      </w:r>
      <w:r>
        <w:t>5.57</w:t>
      </w:r>
      <w:r>
        <w:rPr>
          <w:rFonts w:hint="eastAsia"/>
        </w:rPr>
        <w:t>亿万比索。</w:t>
      </w:r>
    </w:p>
    <w:p w:rsidR="00000000" w:rsidRDefault="00457650">
      <w:pPr>
        <w:widowControl/>
        <w:tabs>
          <w:tab w:val="left" w:pos="630"/>
        </w:tabs>
        <w:spacing w:after="240" w:line="360" w:lineRule="exact"/>
        <w:rPr>
          <w:rFonts w:hint="eastAsia"/>
        </w:rPr>
      </w:pPr>
      <w:r>
        <w:t>978.</w:t>
      </w:r>
      <w:r>
        <w:tab/>
      </w:r>
      <w:r>
        <w:rPr>
          <w:rFonts w:hint="eastAsia"/>
        </w:rPr>
        <w:t>上述数据来自政府审计部门</w:t>
      </w:r>
      <w:r>
        <w:t>2002</w:t>
      </w:r>
      <w:r>
        <w:rPr>
          <w:rFonts w:hint="eastAsia"/>
        </w:rPr>
        <w:t>年和</w:t>
      </w:r>
      <w:r>
        <w:t>2003</w:t>
      </w:r>
      <w:r>
        <w:rPr>
          <w:rFonts w:hint="eastAsia"/>
        </w:rPr>
        <w:t>年的审计报告，并列在</w:t>
      </w:r>
      <w:r>
        <w:t>2003</w:t>
      </w:r>
      <w:r>
        <w:rPr>
          <w:rFonts w:hint="eastAsia"/>
        </w:rPr>
        <w:t>年</w:t>
      </w:r>
      <w:r>
        <w:t>10</w:t>
      </w:r>
      <w:r>
        <w:rPr>
          <w:rFonts w:hint="eastAsia"/>
        </w:rPr>
        <w:t>月</w:t>
      </w:r>
      <w:r>
        <w:t>1</w:t>
      </w:r>
      <w:r>
        <w:rPr>
          <w:rFonts w:hint="eastAsia"/>
        </w:rPr>
        <w:t>日的报告中。</w:t>
      </w:r>
    </w:p>
    <w:p w:rsidR="00000000" w:rsidRDefault="00457650">
      <w:pPr>
        <w:widowControl/>
        <w:tabs>
          <w:tab w:val="left" w:pos="630"/>
        </w:tabs>
        <w:spacing w:after="240" w:line="360" w:lineRule="exact"/>
        <w:rPr>
          <w:rFonts w:hint="eastAsia"/>
        </w:rPr>
      </w:pPr>
      <w:r>
        <w:t>979</w:t>
      </w:r>
      <w:r>
        <w:rPr>
          <w:rFonts w:hint="eastAsia"/>
        </w:rPr>
        <w:t>.</w:t>
      </w:r>
      <w:r>
        <w:rPr>
          <w:rFonts w:hint="eastAsia"/>
        </w:rPr>
        <w:tab/>
      </w:r>
      <w:r>
        <w:rPr>
          <w:rFonts w:hint="eastAsia"/>
        </w:rPr>
        <w:t>关于</w:t>
      </w:r>
      <w:r>
        <w:t>2003</w:t>
      </w:r>
      <w:r>
        <w:rPr>
          <w:rFonts w:hint="eastAsia"/>
        </w:rPr>
        <w:t>年的外部审计方案，实行了一种新的选拔程序，针对的是被授权决定联邦公共管理机构下属实体和组织财政状况的外部审计办公室，程序的基础是通过邀请将被审查的各实体三个公司进行</w:t>
      </w:r>
      <w:r>
        <w:rPr>
          <w:rFonts w:hint="eastAsia"/>
        </w:rPr>
        <w:t>预选。这一新程序中，任命已经在前面的行动中直接完成，这使外部审计公司的选择更加透明。</w:t>
      </w:r>
    </w:p>
    <w:p w:rsidR="00000000" w:rsidRDefault="00457650">
      <w:pPr>
        <w:widowControl/>
        <w:tabs>
          <w:tab w:val="left" w:pos="630"/>
        </w:tabs>
        <w:spacing w:after="240" w:line="360" w:lineRule="exact"/>
        <w:rPr>
          <w:rFonts w:hint="eastAsia"/>
        </w:rPr>
      </w:pPr>
      <w:r>
        <w:t>980</w:t>
      </w:r>
      <w:r>
        <w:rPr>
          <w:rFonts w:hint="eastAsia"/>
        </w:rPr>
        <w:t>.</w:t>
      </w:r>
      <w:r>
        <w:rPr>
          <w:rFonts w:hint="eastAsia"/>
        </w:rPr>
        <w:tab/>
      </w:r>
      <w:r>
        <w:rPr>
          <w:rFonts w:hint="eastAsia"/>
        </w:rPr>
        <w:t>作为</w:t>
      </w:r>
      <w:r>
        <w:t>2003</w:t>
      </w:r>
      <w:r>
        <w:rPr>
          <w:rFonts w:hint="eastAsia"/>
        </w:rPr>
        <w:t>年活动的一部分，对</w:t>
      </w:r>
      <w:r>
        <w:t>2002</w:t>
      </w:r>
      <w:r>
        <w:rPr>
          <w:rFonts w:hint="eastAsia"/>
        </w:rPr>
        <w:t>财政年</w:t>
      </w:r>
      <w:r>
        <w:t>278</w:t>
      </w:r>
      <w:r>
        <w:rPr>
          <w:rFonts w:hint="eastAsia"/>
        </w:rPr>
        <w:t>份财政状况报告作了分析；</w:t>
      </w:r>
      <w:r>
        <w:t>180</w:t>
      </w:r>
      <w:r>
        <w:rPr>
          <w:rFonts w:hint="eastAsia"/>
        </w:rPr>
        <w:t>份（</w:t>
      </w:r>
      <w:r>
        <w:t>84.5%</w:t>
      </w:r>
      <w:r>
        <w:rPr>
          <w:rFonts w:hint="eastAsia"/>
        </w:rPr>
        <w:t>）得到肯定的评价，</w:t>
      </w:r>
      <w:r>
        <w:t>63</w:t>
      </w:r>
      <w:r>
        <w:rPr>
          <w:rFonts w:hint="eastAsia"/>
        </w:rPr>
        <w:t>份（</w:t>
      </w:r>
      <w:r>
        <w:t>23%</w:t>
      </w:r>
      <w:r>
        <w:rPr>
          <w:rFonts w:hint="eastAsia"/>
        </w:rPr>
        <w:t>）有保留意见，</w:t>
      </w:r>
      <w:r>
        <w:t>1</w:t>
      </w:r>
      <w:r>
        <w:rPr>
          <w:rFonts w:hint="eastAsia"/>
        </w:rPr>
        <w:t>份（</w:t>
      </w:r>
      <w:r>
        <w:t>0.5%</w:t>
      </w:r>
      <w:r>
        <w:rPr>
          <w:rFonts w:hint="eastAsia"/>
        </w:rPr>
        <w:t>）被否定，还有</w:t>
      </w:r>
      <w:r>
        <w:t>34</w:t>
      </w:r>
      <w:r>
        <w:rPr>
          <w:rFonts w:hint="eastAsia"/>
        </w:rPr>
        <w:t>份（</w:t>
      </w:r>
      <w:r>
        <w:t>12%</w:t>
      </w:r>
      <w:r>
        <w:rPr>
          <w:rFonts w:hint="eastAsia"/>
        </w:rPr>
        <w:t>）没有评价。</w:t>
      </w:r>
    </w:p>
    <w:p w:rsidR="00000000" w:rsidRDefault="00457650">
      <w:pPr>
        <w:widowControl/>
        <w:tabs>
          <w:tab w:val="left" w:pos="630"/>
        </w:tabs>
        <w:spacing w:after="240" w:line="360" w:lineRule="exact"/>
        <w:rPr>
          <w:rFonts w:hint="eastAsia"/>
        </w:rPr>
      </w:pPr>
      <w:r>
        <w:rPr>
          <w:rFonts w:hint="eastAsia"/>
        </w:rPr>
        <w:t>981</w:t>
      </w:r>
      <w:r>
        <w:t>.</w:t>
      </w:r>
      <w:r>
        <w:tab/>
      </w:r>
      <w:r>
        <w:rPr>
          <w:rFonts w:hint="eastAsia"/>
        </w:rPr>
        <w:t>在同期收到了</w:t>
      </w:r>
      <w:r>
        <w:t>22</w:t>
      </w:r>
      <w:r>
        <w:rPr>
          <w:rFonts w:hint="eastAsia"/>
        </w:rPr>
        <w:t>份有关国际金融组织资助的项目和计划审计报告并进行了研究，证实这些项目和计划完全不存在任何违法操作。劳工和社会福利部的一份报告还没有收到。</w:t>
      </w:r>
    </w:p>
    <w:p w:rsidR="00000000" w:rsidRDefault="00457650">
      <w:pPr>
        <w:widowControl/>
        <w:tabs>
          <w:tab w:val="left" w:pos="630"/>
        </w:tabs>
        <w:spacing w:after="240" w:line="360" w:lineRule="exact"/>
        <w:rPr>
          <w:rFonts w:hint="eastAsia"/>
        </w:rPr>
      </w:pPr>
      <w:r>
        <w:t>982</w:t>
      </w:r>
      <w:r>
        <w:rPr>
          <w:rFonts w:hint="eastAsia"/>
        </w:rPr>
        <w:t>.</w:t>
      </w:r>
      <w:r>
        <w:rPr>
          <w:rFonts w:hint="eastAsia"/>
        </w:rPr>
        <w:tab/>
      </w:r>
      <w:r>
        <w:rPr>
          <w:rFonts w:hint="eastAsia"/>
        </w:rPr>
        <w:t>应该说明的是，在该部的定期信息系统中，根据其公</w:t>
      </w:r>
      <w:r>
        <w:rPr>
          <w:rFonts w:hint="eastAsia"/>
        </w:rPr>
        <w:t>共管理机构控制和评估单位内部监督机构提供的信息，在此次审计活动期间进行了</w:t>
      </w:r>
      <w:r>
        <w:t>2</w:t>
      </w:r>
      <w:r>
        <w:rPr>
          <w:rFonts w:hint="eastAsia"/>
        </w:rPr>
        <w:t xml:space="preserve"> </w:t>
      </w:r>
      <w:r>
        <w:t>012</w:t>
      </w:r>
      <w:r>
        <w:rPr>
          <w:rFonts w:hint="eastAsia"/>
        </w:rPr>
        <w:t>次审查，并且要求对涉及的</w:t>
      </w:r>
      <w:r>
        <w:t>1</w:t>
      </w:r>
      <w:r>
        <w:rPr>
          <w:rFonts w:hint="eastAsia"/>
        </w:rPr>
        <w:t xml:space="preserve"> </w:t>
      </w:r>
      <w:r>
        <w:t>636.4</w:t>
      </w:r>
      <w:r>
        <w:rPr>
          <w:rFonts w:hint="eastAsia"/>
        </w:rPr>
        <w:t>万比索做出解释。</w:t>
      </w:r>
    </w:p>
    <w:p w:rsidR="00000000" w:rsidRDefault="00457650">
      <w:pPr>
        <w:widowControl/>
        <w:tabs>
          <w:tab w:val="left" w:pos="630"/>
        </w:tabs>
        <w:spacing w:after="240" w:line="360" w:lineRule="exact"/>
        <w:rPr>
          <w:rFonts w:hint="eastAsia"/>
        </w:rPr>
      </w:pPr>
      <w:r>
        <w:t>983</w:t>
      </w:r>
      <w:r>
        <w:rPr>
          <w:rFonts w:hint="eastAsia"/>
        </w:rPr>
        <w:t>.</w:t>
      </w:r>
      <w:r>
        <w:rPr>
          <w:rFonts w:hint="eastAsia"/>
        </w:rPr>
        <w:tab/>
      </w:r>
      <w:r>
        <w:rPr>
          <w:rFonts w:hint="eastAsia"/>
        </w:rPr>
        <w:t>另外，在</w:t>
      </w:r>
      <w:r>
        <w:t>2003</w:t>
      </w:r>
      <w:r>
        <w:rPr>
          <w:rFonts w:hint="eastAsia"/>
        </w:rPr>
        <w:t>年期间，公共事务部进行了</w:t>
      </w:r>
      <w:r>
        <w:t>929</w:t>
      </w:r>
      <w:r>
        <w:rPr>
          <w:rFonts w:hint="eastAsia"/>
        </w:rPr>
        <w:t>项核查，其他公共部门进行了</w:t>
      </w:r>
      <w:r>
        <w:t>1</w:t>
      </w:r>
      <w:r>
        <w:rPr>
          <w:rFonts w:hint="eastAsia"/>
        </w:rPr>
        <w:t xml:space="preserve"> </w:t>
      </w:r>
      <w:r>
        <w:t>524</w:t>
      </w:r>
      <w:r>
        <w:rPr>
          <w:rFonts w:hint="eastAsia"/>
        </w:rPr>
        <w:t>项；与</w:t>
      </w:r>
      <w:r>
        <w:t>2002</w:t>
      </w:r>
      <w:r>
        <w:rPr>
          <w:rFonts w:hint="eastAsia"/>
        </w:rPr>
        <w:t>年的情况相比，前者增加了</w:t>
      </w:r>
      <w:r>
        <w:t>26.27%</w:t>
      </w:r>
      <w:r>
        <w:rPr>
          <w:rFonts w:hint="eastAsia"/>
        </w:rPr>
        <w:t>，后者增加了</w:t>
      </w:r>
      <w:r>
        <w:t>2.69%</w:t>
      </w:r>
      <w:r>
        <w:rPr>
          <w:rFonts w:hint="eastAsia"/>
        </w:rPr>
        <w:t>。</w:t>
      </w:r>
    </w:p>
    <w:p w:rsidR="00000000" w:rsidRDefault="00457650">
      <w:pPr>
        <w:widowControl/>
        <w:tabs>
          <w:tab w:val="left" w:pos="630"/>
        </w:tabs>
        <w:spacing w:after="240" w:line="360" w:lineRule="exact"/>
        <w:rPr>
          <w:rFonts w:hint="eastAsia"/>
        </w:rPr>
      </w:pPr>
      <w:r>
        <w:t>984</w:t>
      </w:r>
      <w:r>
        <w:rPr>
          <w:rFonts w:hint="eastAsia"/>
        </w:rPr>
        <w:t>.</w:t>
      </w:r>
      <w:r>
        <w:rPr>
          <w:rFonts w:hint="eastAsia"/>
        </w:rPr>
        <w:tab/>
      </w:r>
      <w:r>
        <w:rPr>
          <w:rFonts w:hint="eastAsia"/>
        </w:rPr>
        <w:t>在同一期间，采取了</w:t>
      </w:r>
      <w:r>
        <w:t>22</w:t>
      </w:r>
      <w:r>
        <w:rPr>
          <w:rFonts w:hint="eastAsia"/>
        </w:rPr>
        <w:t>项重要行动，数量比前一年减少了</w:t>
      </w:r>
      <w:r>
        <w:t>24.14%</w:t>
      </w:r>
      <w:r>
        <w:rPr>
          <w:rFonts w:hint="eastAsia"/>
        </w:rPr>
        <w:t>，与之相关还采取了</w:t>
      </w:r>
      <w:r>
        <w:t>25</w:t>
      </w:r>
      <w:r>
        <w:rPr>
          <w:rFonts w:hint="eastAsia"/>
        </w:rPr>
        <w:t>项行政措施，并对推定违法者提出</w:t>
      </w:r>
      <w:r>
        <w:t>10</w:t>
      </w:r>
      <w:r>
        <w:rPr>
          <w:rFonts w:hint="eastAsia"/>
        </w:rPr>
        <w:t>项犯罪指控，在此基础上对</w:t>
      </w:r>
      <w:r>
        <w:t>15</w:t>
      </w:r>
      <w:r>
        <w:rPr>
          <w:rFonts w:hint="eastAsia"/>
        </w:rPr>
        <w:t>名公务人员适用了问责行政程序，并对</w:t>
      </w:r>
      <w:r>
        <w:t>17</w:t>
      </w:r>
      <w:r>
        <w:rPr>
          <w:rFonts w:hint="eastAsia"/>
        </w:rPr>
        <w:t>人提出犯罪</w:t>
      </w:r>
      <w:r>
        <w:rPr>
          <w:rFonts w:hint="eastAsia"/>
        </w:rPr>
        <w:t>指控。</w:t>
      </w:r>
    </w:p>
    <w:p w:rsidR="00000000" w:rsidRDefault="00457650">
      <w:pPr>
        <w:widowControl/>
        <w:tabs>
          <w:tab w:val="left" w:pos="630"/>
        </w:tabs>
        <w:spacing w:after="240" w:line="360" w:lineRule="exact"/>
        <w:rPr>
          <w:rFonts w:hint="eastAsia"/>
        </w:rPr>
      </w:pPr>
      <w:r>
        <w:t>985</w:t>
      </w:r>
      <w:r>
        <w:rPr>
          <w:rFonts w:hint="eastAsia"/>
        </w:rPr>
        <w:t>.</w:t>
      </w:r>
      <w:r>
        <w:rPr>
          <w:rFonts w:hint="eastAsia"/>
        </w:rPr>
        <w:tab/>
      </w:r>
      <w:r>
        <w:rPr>
          <w:rFonts w:hint="eastAsia"/>
        </w:rPr>
        <w:t>在</w:t>
      </w:r>
      <w:r>
        <w:t>2003</w:t>
      </w:r>
      <w:r>
        <w:rPr>
          <w:rFonts w:hint="eastAsia"/>
        </w:rPr>
        <w:t>年间，对违法犯罪的公务人员施行了</w:t>
      </w:r>
      <w:r>
        <w:t>4</w:t>
      </w:r>
      <w:r>
        <w:rPr>
          <w:rFonts w:hint="eastAsia"/>
        </w:rPr>
        <w:t xml:space="preserve"> </w:t>
      </w:r>
      <w:r>
        <w:t>155</w:t>
      </w:r>
      <w:r>
        <w:rPr>
          <w:rFonts w:hint="eastAsia"/>
        </w:rPr>
        <w:t>次行政处罚，罚款</w:t>
      </w:r>
      <w:r>
        <w:t>846</w:t>
      </w:r>
      <w:r>
        <w:rPr>
          <w:rFonts w:hint="eastAsia"/>
        </w:rPr>
        <w:t>次，总金额达到</w:t>
      </w:r>
      <w:r>
        <w:t>8.6008</w:t>
      </w:r>
      <w:r>
        <w:rPr>
          <w:rFonts w:hint="eastAsia"/>
        </w:rPr>
        <w:t>亿比索，通过税款抵减为国家收回了</w:t>
      </w:r>
      <w:r>
        <w:t>1</w:t>
      </w:r>
      <w:r>
        <w:rPr>
          <w:rFonts w:hint="eastAsia"/>
        </w:rPr>
        <w:t xml:space="preserve"> </w:t>
      </w:r>
      <w:r>
        <w:t>539</w:t>
      </w:r>
      <w:r>
        <w:rPr>
          <w:rFonts w:hint="eastAsia"/>
        </w:rPr>
        <w:t>万比索。</w:t>
      </w:r>
    </w:p>
    <w:p w:rsidR="00000000" w:rsidRDefault="00457650">
      <w:pPr>
        <w:widowControl/>
        <w:tabs>
          <w:tab w:val="left" w:pos="630"/>
        </w:tabs>
        <w:spacing w:after="240" w:line="360" w:lineRule="exact"/>
        <w:rPr>
          <w:rFonts w:hint="eastAsia"/>
        </w:rPr>
      </w:pPr>
      <w:r>
        <w:t>986</w:t>
      </w:r>
      <w:r>
        <w:rPr>
          <w:rFonts w:hint="eastAsia"/>
        </w:rPr>
        <w:t>.</w:t>
      </w:r>
      <w:r>
        <w:rPr>
          <w:rFonts w:hint="eastAsia"/>
        </w:rPr>
        <w:tab/>
      </w:r>
      <w:r>
        <w:rPr>
          <w:rFonts w:hint="eastAsia"/>
        </w:rPr>
        <w:t>在同一期间，合众国总检察长办公室收到了</w:t>
      </w:r>
      <w:r>
        <w:rPr>
          <w:rFonts w:hint="eastAsia"/>
        </w:rPr>
        <w:t>9</w:t>
      </w:r>
      <w:r>
        <w:rPr>
          <w:rFonts w:hint="eastAsia"/>
        </w:rPr>
        <w:t>起对可能构成侵犯的行为的投诉；牵涉到</w:t>
      </w:r>
      <w:r>
        <w:t>27</w:t>
      </w:r>
      <w:r>
        <w:rPr>
          <w:rFonts w:hint="eastAsia"/>
        </w:rPr>
        <w:t>名公务人员和</w:t>
      </w:r>
      <w:r>
        <w:t>6</w:t>
      </w:r>
      <w:r>
        <w:rPr>
          <w:rFonts w:hint="eastAsia"/>
        </w:rPr>
        <w:t>名个人。</w:t>
      </w:r>
    </w:p>
    <w:p w:rsidR="00000000" w:rsidRDefault="00457650">
      <w:pPr>
        <w:widowControl/>
        <w:tabs>
          <w:tab w:val="left" w:pos="630"/>
        </w:tabs>
        <w:spacing w:after="240" w:line="360" w:lineRule="exact"/>
        <w:rPr>
          <w:rFonts w:hint="eastAsia"/>
        </w:rPr>
      </w:pPr>
      <w:r>
        <w:t>987</w:t>
      </w:r>
      <w:r>
        <w:rPr>
          <w:rFonts w:hint="eastAsia"/>
        </w:rPr>
        <w:t>.</w:t>
      </w:r>
      <w:r>
        <w:rPr>
          <w:rFonts w:hint="eastAsia"/>
        </w:rPr>
        <w:tab/>
      </w:r>
      <w:r>
        <w:t>2003</w:t>
      </w:r>
      <w:r>
        <w:rPr>
          <w:rFonts w:hint="eastAsia"/>
        </w:rPr>
        <w:t>年间配合调查当局进行了</w:t>
      </w:r>
      <w:r>
        <w:t>91</w:t>
      </w:r>
      <w:r>
        <w:rPr>
          <w:rFonts w:hint="eastAsia"/>
        </w:rPr>
        <w:t>起刑事诉讼导致对</w:t>
      </w:r>
      <w:r>
        <w:t>33</w:t>
      </w:r>
      <w:r>
        <w:rPr>
          <w:rFonts w:hint="eastAsia"/>
        </w:rPr>
        <w:t>人提起刑事诉讼，发布了</w:t>
      </w:r>
      <w:r>
        <w:t>18</w:t>
      </w:r>
      <w:r>
        <w:rPr>
          <w:rFonts w:hint="eastAsia"/>
        </w:rPr>
        <w:t>项逮捕令，</w:t>
      </w:r>
      <w:r>
        <w:t>23</w:t>
      </w:r>
      <w:r>
        <w:rPr>
          <w:rFonts w:hint="eastAsia"/>
        </w:rPr>
        <w:t>名</w:t>
      </w:r>
      <w:r>
        <w:rPr>
          <w:rFonts w:hint="eastAsia"/>
          <w:spacing w:val="4"/>
        </w:rPr>
        <w:t>犯罪嫌疑人被正式关押。最高法官和地方法官对</w:t>
      </w:r>
      <w:r>
        <w:rPr>
          <w:spacing w:val="4"/>
        </w:rPr>
        <w:t>3</w:t>
      </w:r>
      <w:r>
        <w:rPr>
          <w:rFonts w:hint="eastAsia"/>
          <w:spacing w:val="4"/>
        </w:rPr>
        <w:t>名认定有罪的人宣布了判决，支付给国家的罚款总额为</w:t>
      </w:r>
      <w:r>
        <w:rPr>
          <w:spacing w:val="4"/>
        </w:rPr>
        <w:t>41</w:t>
      </w:r>
      <w:r>
        <w:rPr>
          <w:rFonts w:hint="eastAsia"/>
          <w:spacing w:val="4"/>
        </w:rPr>
        <w:t xml:space="preserve"> </w:t>
      </w:r>
      <w:r>
        <w:rPr>
          <w:spacing w:val="4"/>
        </w:rPr>
        <w:t>968</w:t>
      </w:r>
      <w:r>
        <w:rPr>
          <w:rFonts w:hint="eastAsia"/>
          <w:spacing w:val="4"/>
        </w:rPr>
        <w:t>比索</w:t>
      </w:r>
      <w:r>
        <w:rPr>
          <w:rFonts w:hint="eastAsia"/>
        </w:rPr>
        <w:t>，还有</w:t>
      </w:r>
      <w:r>
        <w:t>26.5</w:t>
      </w:r>
      <w:r>
        <w:t>8</w:t>
      </w:r>
      <w:r>
        <w:rPr>
          <w:rFonts w:hint="eastAsia"/>
        </w:rPr>
        <w:t>亿比索作为损害赔偿金。</w:t>
      </w:r>
    </w:p>
    <w:p w:rsidR="00000000" w:rsidRDefault="00457650">
      <w:pPr>
        <w:widowControl/>
        <w:tabs>
          <w:tab w:val="left" w:pos="630"/>
        </w:tabs>
        <w:spacing w:after="240" w:line="360" w:lineRule="exact"/>
        <w:rPr>
          <w:rFonts w:hint="eastAsia"/>
        </w:rPr>
      </w:pPr>
      <w:r>
        <w:t>988</w:t>
      </w:r>
      <w:r>
        <w:rPr>
          <w:rFonts w:hint="eastAsia"/>
        </w:rPr>
        <w:t>.</w:t>
      </w:r>
      <w:r>
        <w:rPr>
          <w:rFonts w:hint="eastAsia"/>
        </w:rPr>
        <w:tab/>
      </w:r>
      <w:r>
        <w:rPr>
          <w:rFonts w:hint="eastAsia"/>
        </w:rPr>
        <w:t>在</w:t>
      </w:r>
      <w:r>
        <w:t>2002</w:t>
      </w:r>
      <w:r>
        <w:rPr>
          <w:rFonts w:hint="eastAsia"/>
        </w:rPr>
        <w:t>年间，根据关于公共事务采购、租赁和服务，公共工程和相关服务的法案，以及《国家普通财产法》，被处罚的罪犯总数为</w:t>
      </w:r>
      <w:r>
        <w:t>83</w:t>
      </w:r>
      <w:r>
        <w:rPr>
          <w:rFonts w:hint="eastAsia"/>
        </w:rPr>
        <w:t>人；</w:t>
      </w:r>
      <w:r>
        <w:t>2003</w:t>
      </w:r>
      <w:r>
        <w:rPr>
          <w:rFonts w:hint="eastAsia"/>
        </w:rPr>
        <w:t>年，总共颁布了</w:t>
      </w:r>
      <w:r>
        <w:t>56</w:t>
      </w:r>
      <w:r>
        <w:rPr>
          <w:rFonts w:hint="eastAsia"/>
        </w:rPr>
        <w:t>项行政决定，也就是说，比</w:t>
      </w:r>
      <w:r>
        <w:t>2002</w:t>
      </w:r>
      <w:r>
        <w:rPr>
          <w:rFonts w:hint="eastAsia"/>
        </w:rPr>
        <w:t>年减少了</w:t>
      </w:r>
      <w:r>
        <w:t>32.53%</w:t>
      </w:r>
      <w:r>
        <w:rPr>
          <w:rFonts w:hint="eastAsia"/>
        </w:rPr>
        <w:t>，由此判定的罚款总额为</w:t>
      </w:r>
      <w:r>
        <w:t>373.9</w:t>
      </w:r>
      <w:r>
        <w:rPr>
          <w:rFonts w:hint="eastAsia"/>
        </w:rPr>
        <w:t>万比索。</w:t>
      </w:r>
    </w:p>
    <w:p w:rsidR="00000000" w:rsidRDefault="00457650">
      <w:pPr>
        <w:widowControl/>
        <w:tabs>
          <w:tab w:val="left" w:pos="630"/>
        </w:tabs>
        <w:spacing w:after="240" w:line="360" w:lineRule="exact"/>
        <w:rPr>
          <w:rFonts w:hint="eastAsia"/>
        </w:rPr>
      </w:pPr>
      <w:r>
        <w:t>989</w:t>
      </w:r>
      <w:r>
        <w:rPr>
          <w:rFonts w:hint="eastAsia"/>
        </w:rPr>
        <w:t>.</w:t>
      </w:r>
      <w:r>
        <w:rPr>
          <w:rFonts w:hint="eastAsia"/>
        </w:rPr>
        <w:tab/>
      </w:r>
      <w:r>
        <w:t>2003</w:t>
      </w:r>
      <w:r>
        <w:rPr>
          <w:rFonts w:hint="eastAsia"/>
        </w:rPr>
        <w:t>年</w:t>
      </w:r>
      <w:r>
        <w:t>12</w:t>
      </w:r>
      <w:r>
        <w:rPr>
          <w:rFonts w:hint="eastAsia"/>
        </w:rPr>
        <w:t>月</w:t>
      </w:r>
      <w:r>
        <w:t>31</w:t>
      </w:r>
      <w:r>
        <w:rPr>
          <w:rFonts w:hint="eastAsia"/>
        </w:rPr>
        <w:t>日，公共管理机构部门和实体总共收到了</w:t>
      </w:r>
      <w:r>
        <w:t>24</w:t>
      </w:r>
      <w:r>
        <w:rPr>
          <w:rFonts w:hint="eastAsia"/>
        </w:rPr>
        <w:t xml:space="preserve"> </w:t>
      </w:r>
      <w:r>
        <w:t>740</w:t>
      </w:r>
      <w:r>
        <w:rPr>
          <w:rFonts w:hint="eastAsia"/>
        </w:rPr>
        <w:t>项信息问询申请，其中</w:t>
      </w:r>
      <w:r>
        <w:t>21</w:t>
      </w:r>
      <w:r>
        <w:rPr>
          <w:rFonts w:hint="eastAsia"/>
        </w:rPr>
        <w:t xml:space="preserve"> </w:t>
      </w:r>
      <w:r>
        <w:t>530</w:t>
      </w:r>
      <w:r>
        <w:rPr>
          <w:rFonts w:hint="eastAsia"/>
        </w:rPr>
        <w:t>项（</w:t>
      </w:r>
      <w:r>
        <w:t>87.03%</w:t>
      </w:r>
      <w:r>
        <w:rPr>
          <w:rFonts w:hint="eastAsia"/>
        </w:rPr>
        <w:t>）得到了答复；</w:t>
      </w:r>
      <w:r>
        <w:t>266</w:t>
      </w:r>
      <w:r>
        <w:rPr>
          <w:rFonts w:hint="eastAsia"/>
        </w:rPr>
        <w:t>个案例的答复是否定的。此外，向该机构提交了</w:t>
      </w:r>
      <w:r>
        <w:t>636</w:t>
      </w:r>
      <w:r>
        <w:rPr>
          <w:rFonts w:hint="eastAsia"/>
        </w:rPr>
        <w:t>项以缺乏一致性为理由的上诉申请。</w:t>
      </w:r>
    </w:p>
    <w:p w:rsidR="00000000" w:rsidRDefault="00457650">
      <w:pPr>
        <w:widowControl/>
        <w:tabs>
          <w:tab w:val="left" w:pos="630"/>
        </w:tabs>
        <w:spacing w:after="240" w:line="360" w:lineRule="exact"/>
        <w:rPr>
          <w:rFonts w:hint="eastAsia"/>
        </w:rPr>
      </w:pPr>
      <w:r>
        <w:t>9</w:t>
      </w:r>
      <w:r>
        <w:t>90</w:t>
      </w:r>
      <w:r>
        <w:rPr>
          <w:rFonts w:hint="eastAsia"/>
        </w:rPr>
        <w:t>.</w:t>
      </w:r>
      <w:r>
        <w:rPr>
          <w:rFonts w:hint="eastAsia"/>
        </w:rPr>
        <w:tab/>
      </w:r>
      <w:r>
        <w:rPr>
          <w:rFonts w:hint="eastAsia"/>
        </w:rPr>
        <w:t>根据在</w:t>
      </w:r>
      <w:r>
        <w:t>IFAI</w:t>
      </w:r>
      <w:r>
        <w:rPr>
          <w:rFonts w:hint="eastAsia"/>
        </w:rPr>
        <w:t>网页上公布的综合信息索取系统提供的数据，从</w:t>
      </w:r>
      <w:r>
        <w:t>2003</w:t>
      </w:r>
      <w:r>
        <w:rPr>
          <w:rFonts w:hint="eastAsia"/>
        </w:rPr>
        <w:t>年</w:t>
      </w:r>
      <w:r>
        <w:t>12</w:t>
      </w:r>
      <w:r>
        <w:rPr>
          <w:rFonts w:hint="eastAsia"/>
        </w:rPr>
        <w:t>月</w:t>
      </w:r>
      <w:r>
        <w:t>31</w:t>
      </w:r>
      <w:r>
        <w:rPr>
          <w:rFonts w:hint="eastAsia"/>
        </w:rPr>
        <w:t>日起，</w:t>
      </w:r>
      <w:r>
        <w:t>39</w:t>
      </w:r>
      <w:r>
        <w:rPr>
          <w:rFonts w:hint="eastAsia"/>
        </w:rPr>
        <w:t>个公共部门各收到</w:t>
      </w:r>
      <w:r>
        <w:t>100</w:t>
      </w:r>
      <w:r>
        <w:rPr>
          <w:rFonts w:hint="eastAsia"/>
        </w:rPr>
        <w:t>多项上诉申请，而其他</w:t>
      </w:r>
      <w:r>
        <w:t>41</w:t>
      </w:r>
      <w:r>
        <w:rPr>
          <w:rFonts w:hint="eastAsia"/>
        </w:rPr>
        <w:t>个机构收到</w:t>
      </w:r>
      <w:r>
        <w:t>50</w:t>
      </w:r>
      <w:r>
        <w:rPr>
          <w:rFonts w:hint="eastAsia"/>
        </w:rPr>
        <w:t>至</w:t>
      </w:r>
      <w:r>
        <w:t>100</w:t>
      </w:r>
      <w:r>
        <w:rPr>
          <w:rFonts w:hint="eastAsia"/>
        </w:rPr>
        <w:t>项上诉申请，</w:t>
      </w:r>
      <w:r>
        <w:t>134</w:t>
      </w:r>
      <w:r>
        <w:rPr>
          <w:rFonts w:hint="eastAsia"/>
        </w:rPr>
        <w:t>个部门处理了</w:t>
      </w:r>
      <w:r>
        <w:t>10</w:t>
      </w:r>
      <w:r>
        <w:rPr>
          <w:rFonts w:hint="eastAsia"/>
        </w:rPr>
        <w:t>至</w:t>
      </w:r>
      <w:r>
        <w:t>50</w:t>
      </w:r>
      <w:r>
        <w:rPr>
          <w:rFonts w:hint="eastAsia"/>
        </w:rPr>
        <w:t>项申请，</w:t>
      </w:r>
      <w:r>
        <w:t>18</w:t>
      </w:r>
      <w:r>
        <w:rPr>
          <w:rFonts w:hint="eastAsia"/>
        </w:rPr>
        <w:t>个部门和实体收到的申请不到</w:t>
      </w:r>
      <w:r>
        <w:t>10</w:t>
      </w:r>
      <w:r>
        <w:rPr>
          <w:rFonts w:hint="eastAsia"/>
        </w:rPr>
        <w:t>项。</w:t>
      </w:r>
    </w:p>
    <w:p w:rsidR="00000000" w:rsidRDefault="00457650">
      <w:pPr>
        <w:widowControl/>
        <w:tabs>
          <w:tab w:val="left" w:pos="630"/>
        </w:tabs>
        <w:spacing w:after="240" w:line="360" w:lineRule="exact"/>
        <w:rPr>
          <w:rFonts w:hint="eastAsia"/>
        </w:rPr>
      </w:pPr>
      <w:r>
        <w:t>991</w:t>
      </w:r>
      <w:r>
        <w:rPr>
          <w:rFonts w:hint="eastAsia"/>
        </w:rPr>
        <w:t>.</w:t>
      </w:r>
      <w:r>
        <w:rPr>
          <w:rFonts w:hint="eastAsia"/>
        </w:rPr>
        <w:tab/>
      </w:r>
      <w:r>
        <w:t>2003</w:t>
      </w:r>
      <w:r>
        <w:rPr>
          <w:rFonts w:hint="eastAsia"/>
        </w:rPr>
        <w:t>年采取了若干行动，尤其是公民援助电子系统收到了</w:t>
      </w:r>
      <w:r>
        <w:t>69</w:t>
      </w:r>
      <w:r>
        <w:rPr>
          <w:rFonts w:hint="eastAsia"/>
        </w:rPr>
        <w:t xml:space="preserve"> </w:t>
      </w:r>
      <w:r>
        <w:t>326</w:t>
      </w:r>
      <w:r>
        <w:rPr>
          <w:rFonts w:hint="eastAsia"/>
        </w:rPr>
        <w:t>项上诉申请，此外，内部监督机构、地区监督办公室、中央办公室和公民援助电话系统也收到了这类申请。</w:t>
      </w:r>
      <w:r>
        <w:t>36</w:t>
      </w:r>
      <w:r>
        <w:rPr>
          <w:rFonts w:hint="eastAsia"/>
        </w:rPr>
        <w:t xml:space="preserve"> </w:t>
      </w:r>
      <w:r>
        <w:t>355</w:t>
      </w:r>
      <w:r>
        <w:rPr>
          <w:rFonts w:hint="eastAsia"/>
        </w:rPr>
        <w:t>项上诉申请直接受到了重视，比</w:t>
      </w:r>
      <w:r>
        <w:t>2002</w:t>
      </w:r>
      <w:r>
        <w:rPr>
          <w:rFonts w:hint="eastAsia"/>
        </w:rPr>
        <w:t>年增加了</w:t>
      </w:r>
      <w:r>
        <w:t>21.83%</w:t>
      </w:r>
      <w:r>
        <w:rPr>
          <w:rFonts w:hint="eastAsia"/>
        </w:rPr>
        <w:t>。</w:t>
      </w:r>
    </w:p>
    <w:p w:rsidR="00000000" w:rsidRDefault="00457650">
      <w:pPr>
        <w:widowControl/>
        <w:tabs>
          <w:tab w:val="left" w:pos="630"/>
        </w:tabs>
        <w:spacing w:after="240" w:line="360" w:lineRule="exact"/>
        <w:rPr>
          <w:rFonts w:hint="eastAsia"/>
        </w:rPr>
      </w:pPr>
      <w:r>
        <w:t>992</w:t>
      </w:r>
      <w:r>
        <w:rPr>
          <w:rFonts w:hint="eastAsia"/>
        </w:rPr>
        <w:t>.</w:t>
      </w:r>
      <w:r>
        <w:rPr>
          <w:rFonts w:hint="eastAsia"/>
        </w:rPr>
        <w:tab/>
      </w:r>
      <w:r>
        <w:rPr>
          <w:rFonts w:hint="eastAsia"/>
        </w:rPr>
        <w:t>另外，据违</w:t>
      </w:r>
      <w:r>
        <w:rPr>
          <w:rFonts w:hint="eastAsia"/>
        </w:rPr>
        <w:t>法行为电子举报系统报告，已发现</w:t>
      </w:r>
      <w:r>
        <w:t>3</w:t>
      </w:r>
      <w:r>
        <w:rPr>
          <w:rFonts w:hint="eastAsia"/>
        </w:rPr>
        <w:t xml:space="preserve"> </w:t>
      </w:r>
      <w:r>
        <w:t>587</w:t>
      </w:r>
      <w:r>
        <w:rPr>
          <w:rFonts w:hint="eastAsia"/>
        </w:rPr>
        <w:t>项违法行为，比上一年增加了</w:t>
      </w:r>
      <w:r>
        <w:t>24.77%</w:t>
      </w:r>
      <w:r>
        <w:rPr>
          <w:rFonts w:hint="eastAsia"/>
        </w:rPr>
        <w:t>。</w:t>
      </w:r>
      <w:r>
        <w:t>2003</w:t>
      </w:r>
      <w:r>
        <w:rPr>
          <w:rFonts w:hint="eastAsia"/>
        </w:rPr>
        <w:t>年收到</w:t>
      </w:r>
      <w:r>
        <w:t>284</w:t>
      </w:r>
      <w:r>
        <w:rPr>
          <w:rFonts w:hint="eastAsia"/>
        </w:rPr>
        <w:t xml:space="preserve"> </w:t>
      </w:r>
      <w:r>
        <w:t>534</w:t>
      </w:r>
      <w:r>
        <w:rPr>
          <w:rFonts w:hint="eastAsia"/>
        </w:rPr>
        <w:t>项通知，比上一年减少了</w:t>
      </w:r>
      <w:r>
        <w:t>2.19%</w:t>
      </w:r>
      <w:r>
        <w:rPr>
          <w:rFonts w:hint="eastAsia"/>
        </w:rPr>
        <w:t>。</w:t>
      </w:r>
    </w:p>
    <w:p w:rsidR="00000000" w:rsidRDefault="00457650">
      <w:pPr>
        <w:widowControl/>
        <w:tabs>
          <w:tab w:val="left" w:pos="630"/>
        </w:tabs>
        <w:spacing w:after="240" w:line="360" w:lineRule="exact"/>
        <w:rPr>
          <w:rFonts w:hint="eastAsia"/>
        </w:rPr>
      </w:pPr>
      <w:r>
        <w:t>993</w:t>
      </w:r>
      <w:r>
        <w:rPr>
          <w:rFonts w:hint="eastAsia"/>
        </w:rPr>
        <w:t>.</w:t>
      </w:r>
      <w:r>
        <w:rPr>
          <w:rFonts w:hint="eastAsia"/>
        </w:rPr>
        <w:tab/>
      </w:r>
      <w:r>
        <w:rPr>
          <w:rFonts w:hint="eastAsia"/>
        </w:rPr>
        <w:t>在</w:t>
      </w:r>
      <w:r>
        <w:t>2003</w:t>
      </w:r>
      <w:r>
        <w:rPr>
          <w:rFonts w:hint="eastAsia"/>
        </w:rPr>
        <w:t>年</w:t>
      </w:r>
      <w:r>
        <w:t>1</w:t>
      </w:r>
      <w:r>
        <w:rPr>
          <w:rFonts w:hint="eastAsia"/>
        </w:rPr>
        <w:t>月至</w:t>
      </w:r>
      <w:r>
        <w:t>12</w:t>
      </w:r>
      <w:r>
        <w:rPr>
          <w:rFonts w:hint="eastAsia"/>
        </w:rPr>
        <w:t>月，根据联邦与联邦各实体间已有的合作协议，对联邦公共资源使用情况进行了</w:t>
      </w:r>
      <w:r>
        <w:t>421</w:t>
      </w:r>
      <w:r>
        <w:rPr>
          <w:rFonts w:hint="eastAsia"/>
        </w:rPr>
        <w:t>项核查，占上一年所有</w:t>
      </w:r>
      <w:r>
        <w:t>255</w:t>
      </w:r>
      <w:r>
        <w:rPr>
          <w:rFonts w:hint="eastAsia"/>
        </w:rPr>
        <w:t>项干预行动的</w:t>
      </w:r>
      <w:r>
        <w:t>165%</w:t>
      </w:r>
      <w:r>
        <w:rPr>
          <w:rFonts w:hint="eastAsia"/>
        </w:rPr>
        <w:t>。</w:t>
      </w:r>
    </w:p>
    <w:p w:rsidR="00000000" w:rsidRDefault="00457650">
      <w:pPr>
        <w:widowControl/>
        <w:tabs>
          <w:tab w:val="left" w:pos="630"/>
        </w:tabs>
        <w:spacing w:after="240" w:line="360" w:lineRule="exact"/>
        <w:rPr>
          <w:rFonts w:hint="eastAsia"/>
        </w:rPr>
      </w:pPr>
      <w:r>
        <w:t>994</w:t>
      </w:r>
      <w:r>
        <w:rPr>
          <w:rFonts w:hint="eastAsia"/>
        </w:rPr>
        <w:t>.</w:t>
      </w:r>
      <w:r>
        <w:rPr>
          <w:rFonts w:hint="eastAsia"/>
        </w:rPr>
        <w:tab/>
      </w:r>
      <w:r>
        <w:rPr>
          <w:rFonts w:hint="eastAsia"/>
        </w:rPr>
        <w:t>在</w:t>
      </w:r>
      <w:r>
        <w:t>2003</w:t>
      </w:r>
      <w:r>
        <w:rPr>
          <w:rFonts w:hint="eastAsia"/>
        </w:rPr>
        <w:t>年</w:t>
      </w:r>
      <w:r>
        <w:t>1</w:t>
      </w:r>
      <w:r>
        <w:rPr>
          <w:rFonts w:hint="eastAsia"/>
        </w:rPr>
        <w:t>月至</w:t>
      </w:r>
      <w:r>
        <w:t>12</w:t>
      </w:r>
      <w:r>
        <w:rPr>
          <w:rFonts w:hint="eastAsia"/>
        </w:rPr>
        <w:t>月，对具体的联邦项目进行了</w:t>
      </w:r>
      <w:r>
        <w:t>20</w:t>
      </w:r>
      <w:r>
        <w:rPr>
          <w:rFonts w:hint="eastAsia"/>
        </w:rPr>
        <w:t>次审查；查明</w:t>
      </w:r>
      <w:r>
        <w:t>63</w:t>
      </w:r>
      <w:r>
        <w:rPr>
          <w:rFonts w:hint="eastAsia"/>
        </w:rPr>
        <w:t xml:space="preserve"> </w:t>
      </w:r>
      <w:r>
        <w:t>824</w:t>
      </w:r>
      <w:r>
        <w:rPr>
          <w:rFonts w:hint="eastAsia"/>
        </w:rPr>
        <w:t>个项目，其总金额为</w:t>
      </w:r>
      <w:r>
        <w:t>97</w:t>
      </w:r>
      <w:r>
        <w:rPr>
          <w:rFonts w:hint="eastAsia"/>
        </w:rPr>
        <w:t>亿比索。作为这些行动的结果，</w:t>
      </w:r>
      <w:r>
        <w:t xml:space="preserve"> 2003</w:t>
      </w:r>
      <w:r>
        <w:rPr>
          <w:rFonts w:hint="eastAsia"/>
        </w:rPr>
        <w:t>年收回</w:t>
      </w:r>
      <w:r>
        <w:t>1.089</w:t>
      </w:r>
      <w:r>
        <w:rPr>
          <w:rFonts w:hint="eastAsia"/>
        </w:rPr>
        <w:t>亿比索并返还联邦国库。</w:t>
      </w:r>
    </w:p>
    <w:p w:rsidR="00000000" w:rsidRDefault="00457650">
      <w:pPr>
        <w:widowControl/>
        <w:tabs>
          <w:tab w:val="left" w:pos="630"/>
        </w:tabs>
        <w:spacing w:after="240" w:line="360" w:lineRule="exact"/>
        <w:rPr>
          <w:rFonts w:hint="eastAsia"/>
        </w:rPr>
      </w:pPr>
      <w:r>
        <w:rPr>
          <w:rFonts w:hint="eastAsia"/>
        </w:rPr>
        <w:t>这些行动通过在三级政府加</w:t>
      </w:r>
      <w:r>
        <w:rPr>
          <w:rFonts w:hint="eastAsia"/>
        </w:rPr>
        <w:t>强和／或采用社会综合监督系统，促进了公民的参与。在这一框架内，随着与联邦各州和实体的监督办公室签署了</w:t>
      </w:r>
      <w:r>
        <w:t>31</w:t>
      </w:r>
      <w:r>
        <w:rPr>
          <w:rFonts w:hint="eastAsia"/>
        </w:rPr>
        <w:t>个工作计划，联邦政府和各州之间的协调与合作得到了加强。还与负责七个社会项目的部门制定了协议和工作计划。</w:t>
      </w:r>
    </w:p>
    <w:p w:rsidR="00000000" w:rsidRDefault="00457650">
      <w:pPr>
        <w:widowControl/>
        <w:tabs>
          <w:tab w:val="left" w:pos="630"/>
        </w:tabs>
        <w:spacing w:after="240" w:line="360" w:lineRule="exact"/>
        <w:rPr>
          <w:rFonts w:hint="eastAsia"/>
        </w:rPr>
      </w:pPr>
      <w:r>
        <w:t>996</w:t>
      </w:r>
      <w:r>
        <w:rPr>
          <w:rFonts w:hint="eastAsia"/>
        </w:rPr>
        <w:t>.</w:t>
      </w:r>
      <w:r>
        <w:rPr>
          <w:rFonts w:hint="eastAsia"/>
        </w:rPr>
        <w:tab/>
      </w:r>
      <w:r>
        <w:rPr>
          <w:rFonts w:hint="eastAsia"/>
        </w:rPr>
        <w:t>在同一年，随着</w:t>
      </w:r>
      <w:r>
        <w:t>Nayarit</w:t>
      </w:r>
      <w:r>
        <w:rPr>
          <w:rFonts w:hint="eastAsia"/>
        </w:rPr>
        <w:t>和</w:t>
      </w:r>
      <w:r>
        <w:t>Michoacán</w:t>
      </w:r>
      <w:r>
        <w:rPr>
          <w:rFonts w:hint="eastAsia"/>
        </w:rPr>
        <w:t>州，以及联邦区一个代表团的加入，“市政透明”项目成立了两个专题研究小组，负责制定和促进提高透明度的活动，以及社会监督和公民的参与，在这些方面有来自</w:t>
      </w:r>
      <w:r>
        <w:t>247</w:t>
      </w:r>
      <w:r>
        <w:rPr>
          <w:rFonts w:hint="eastAsia"/>
        </w:rPr>
        <w:t>个市政当局的公务人员参与，这使覆盖范围包括了</w:t>
      </w:r>
      <w:r>
        <w:t>13</w:t>
      </w:r>
      <w:r>
        <w:rPr>
          <w:rFonts w:hint="eastAsia"/>
        </w:rPr>
        <w:t>个参与其中的联盟实体和代表了全国总共</w:t>
      </w:r>
      <w:r>
        <w:t>14%</w:t>
      </w:r>
      <w:r>
        <w:rPr>
          <w:rFonts w:hint="eastAsia"/>
        </w:rPr>
        <w:t>的</w:t>
      </w:r>
      <w:r>
        <w:t>3</w:t>
      </w:r>
      <w:r>
        <w:t>44</w:t>
      </w:r>
      <w:r>
        <w:rPr>
          <w:rFonts w:hint="eastAsia"/>
        </w:rPr>
        <w:t>个市政当局。</w:t>
      </w:r>
    </w:p>
    <w:p w:rsidR="00000000" w:rsidRDefault="00457650">
      <w:pPr>
        <w:widowControl/>
        <w:tabs>
          <w:tab w:val="left" w:pos="630"/>
        </w:tabs>
        <w:spacing w:after="240" w:line="360" w:lineRule="exact"/>
        <w:rPr>
          <w:rFonts w:hint="eastAsia"/>
        </w:rPr>
      </w:pPr>
      <w:r>
        <w:t>997</w:t>
      </w:r>
      <w:r>
        <w:rPr>
          <w:rFonts w:hint="eastAsia"/>
        </w:rPr>
        <w:t>.</w:t>
      </w:r>
      <w:r>
        <w:rPr>
          <w:rFonts w:hint="eastAsia"/>
        </w:rPr>
        <w:tab/>
      </w:r>
      <w:r>
        <w:rPr>
          <w:rFonts w:hint="eastAsia"/>
        </w:rPr>
        <w:t>在采取行动加强适用于各州和市政联邦资源的标准框架内，对五个州的法律框架进行了分析，并且提出了更新提案；对</w:t>
      </w:r>
      <w:r>
        <w:t>22</w:t>
      </w:r>
      <w:r>
        <w:rPr>
          <w:rFonts w:hint="eastAsia"/>
        </w:rPr>
        <w:t>项刑事控告的处理，以及后续的</w:t>
      </w:r>
      <w:r>
        <w:t>70</w:t>
      </w:r>
      <w:r>
        <w:rPr>
          <w:rFonts w:hint="eastAsia"/>
        </w:rPr>
        <w:t>项给予了建议和技术支持。对</w:t>
      </w:r>
      <w:r>
        <w:t>PGR</w:t>
      </w:r>
      <w:r>
        <w:rPr>
          <w:rFonts w:hint="eastAsia"/>
        </w:rPr>
        <w:t>在恰帕斯、科阿韦拉、瓜纳华托、伊达尔戈、纳亚里特、普埃布拉、索诺拉和尤卡坦各州的分支机构进行了走访，以便将他们联合管辖的共同问题转由联邦管辖；此外，</w:t>
      </w:r>
      <w:r>
        <w:t>294</w:t>
      </w:r>
      <w:r>
        <w:rPr>
          <w:rFonts w:hint="eastAsia"/>
        </w:rPr>
        <w:t>项涉及不当使用联邦资源的投诉也呈交联邦管辖，这些投诉加上</w:t>
      </w:r>
      <w:r>
        <w:rPr>
          <w:rFonts w:hint="eastAsia"/>
        </w:rPr>
        <w:t>114</w:t>
      </w:r>
      <w:r>
        <w:rPr>
          <w:rFonts w:hint="eastAsia"/>
        </w:rPr>
        <w:t>项直接转交联邦审理的投诉，使调查过程中收到的投诉总数达到了</w:t>
      </w:r>
      <w:r>
        <w:t>404</w:t>
      </w:r>
      <w:r>
        <w:rPr>
          <w:rFonts w:hint="eastAsia"/>
        </w:rPr>
        <w:t>项。</w:t>
      </w:r>
    </w:p>
    <w:p w:rsidR="00000000" w:rsidRDefault="00457650">
      <w:pPr>
        <w:widowControl/>
        <w:tabs>
          <w:tab w:val="left" w:pos="630"/>
        </w:tabs>
        <w:spacing w:after="240" w:line="360" w:lineRule="exact"/>
        <w:rPr>
          <w:rFonts w:hint="eastAsia"/>
        </w:rPr>
      </w:pPr>
      <w:r>
        <w:t>998</w:t>
      </w:r>
      <w:r>
        <w:rPr>
          <w:rFonts w:hint="eastAsia"/>
        </w:rPr>
        <w:t>.</w:t>
      </w:r>
      <w:r>
        <w:rPr>
          <w:rFonts w:hint="eastAsia"/>
        </w:rPr>
        <w:tab/>
      </w:r>
      <w:r>
        <w:t>SFP</w:t>
      </w:r>
      <w:r>
        <w:rPr>
          <w:rFonts w:hint="eastAsia"/>
        </w:rPr>
        <w:t>与</w:t>
      </w:r>
      <w:r>
        <w:t>PGR</w:t>
      </w:r>
      <w:r>
        <w:rPr>
          <w:rFonts w:hint="eastAsia"/>
        </w:rPr>
        <w:t>和</w:t>
      </w:r>
      <w:r>
        <w:rPr>
          <w:rFonts w:hint="eastAsia"/>
        </w:rPr>
        <w:t>国家犯罪学研究所协作，设计了关于“更新联邦资源的来源、管理和使用”的课程，在</w:t>
      </w:r>
      <w:r>
        <w:t>2003</w:t>
      </w:r>
      <w:r>
        <w:rPr>
          <w:rFonts w:hint="eastAsia"/>
        </w:rPr>
        <w:t>年通过四次地区活动，为来自下加利福尼亚、南下加利福尼亚、坎佩切、恰帕斯、杜兰戈、瓜纳华托、哈利斯科、瓦哈卡、普埃布拉、金塔纳罗奥</w:t>
      </w:r>
      <w:r>
        <w:t> </w:t>
      </w:r>
      <w:r>
        <w:rPr>
          <w:rFonts w:hint="eastAsia"/>
        </w:rPr>
        <w:t>、锡那罗亚、索诺拉、塔瓦斯科、尤卡坦和萨卡特卡斯各州的</w:t>
      </w:r>
      <w:r>
        <w:t>192</w:t>
      </w:r>
      <w:r>
        <w:rPr>
          <w:rFonts w:hint="eastAsia"/>
        </w:rPr>
        <w:t>名公务人员提供了培训。每种课程长达</w:t>
      </w:r>
      <w:r>
        <w:t>40</w:t>
      </w:r>
      <w:r>
        <w:rPr>
          <w:rFonts w:hint="eastAsia"/>
        </w:rPr>
        <w:t>个小时，使用了《刑事诉讼手册》，以便让那些参与这些活动的公务人员更容易地获得必要的知识。</w:t>
      </w:r>
    </w:p>
    <w:p w:rsidR="00000000" w:rsidRDefault="00457650">
      <w:pPr>
        <w:widowControl/>
        <w:tabs>
          <w:tab w:val="left" w:pos="630"/>
        </w:tabs>
        <w:spacing w:after="240" w:line="360" w:lineRule="exact"/>
        <w:rPr>
          <w:rFonts w:hint="eastAsia"/>
        </w:rPr>
      </w:pPr>
      <w:r>
        <w:t>999</w:t>
      </w:r>
      <w:r>
        <w:rPr>
          <w:rFonts w:hint="eastAsia"/>
        </w:rPr>
        <w:t>.</w:t>
      </w:r>
      <w:r>
        <w:rPr>
          <w:rFonts w:hint="eastAsia"/>
        </w:rPr>
        <w:tab/>
      </w:r>
      <w:r>
        <w:rPr>
          <w:rFonts w:hint="eastAsia"/>
        </w:rPr>
        <w:t>在</w:t>
      </w:r>
      <w:r>
        <w:t>2003</w:t>
      </w:r>
      <w:r>
        <w:rPr>
          <w:rFonts w:hint="eastAsia"/>
        </w:rPr>
        <w:t>年行动的最后，对</w:t>
      </w:r>
      <w:r>
        <w:t>IDB 1161/CC/OC-ME</w:t>
      </w:r>
      <w:r>
        <w:rPr>
          <w:rFonts w:hint="eastAsia"/>
        </w:rPr>
        <w:t>外部信用审计进行了协调，为乡村社区水资源</w:t>
      </w:r>
      <w:r>
        <w:rPr>
          <w:rFonts w:hint="eastAsia"/>
        </w:rPr>
        <w:t>和卫生服务可持续发展项目的融资提供了部分帮助，并且得到了外部审计人员的好评。</w:t>
      </w:r>
    </w:p>
    <w:p w:rsidR="00000000" w:rsidRDefault="00457650">
      <w:pPr>
        <w:widowControl/>
        <w:tabs>
          <w:tab w:val="left" w:pos="630"/>
        </w:tabs>
        <w:spacing w:after="240" w:line="360" w:lineRule="exact"/>
        <w:rPr>
          <w:rFonts w:hint="eastAsia"/>
        </w:rPr>
      </w:pPr>
      <w:r>
        <w:t>1000</w:t>
      </w:r>
      <w:r>
        <w:rPr>
          <w:rFonts w:hint="eastAsia"/>
        </w:rPr>
        <w:t>.</w:t>
      </w:r>
      <w:r>
        <w:rPr>
          <w:rFonts w:hint="eastAsia"/>
        </w:rPr>
        <w:tab/>
      </w:r>
      <w:r>
        <w:rPr>
          <w:rFonts w:hint="eastAsia"/>
        </w:rPr>
        <w:t>此外，在</w:t>
      </w:r>
      <w:r>
        <w:t>SFP</w:t>
      </w:r>
      <w:r>
        <w:rPr>
          <w:rFonts w:hint="eastAsia"/>
        </w:rPr>
        <w:t>的指导下，颁布了《联邦项目运作规则》，其摘录经重新设计，加入了与项目相关，且被认为普遍关注的关于格式、咨询协议、要点和招标的信息。</w:t>
      </w:r>
    </w:p>
    <w:p w:rsidR="00000000" w:rsidRDefault="00457650">
      <w:pPr>
        <w:widowControl/>
        <w:tabs>
          <w:tab w:val="left" w:pos="630"/>
        </w:tabs>
        <w:spacing w:after="240" w:line="360" w:lineRule="exact"/>
        <w:rPr>
          <w:rFonts w:hint="eastAsia"/>
        </w:rPr>
      </w:pPr>
      <w:r>
        <w:t>1001</w:t>
      </w:r>
      <w:r>
        <w:rPr>
          <w:rFonts w:hint="eastAsia"/>
        </w:rPr>
        <w:t>.</w:t>
      </w:r>
      <w:r>
        <w:rPr>
          <w:rFonts w:hint="eastAsia"/>
        </w:rPr>
        <w:tab/>
      </w:r>
      <w:r>
        <w:rPr>
          <w:rFonts w:hint="eastAsia"/>
        </w:rPr>
        <w:t>为了应对各州监督机构的培训需要，</w:t>
      </w:r>
      <w:r>
        <w:t xml:space="preserve"> 2003</w:t>
      </w:r>
      <w:r>
        <w:rPr>
          <w:rFonts w:hint="eastAsia"/>
        </w:rPr>
        <w:t>年有</w:t>
      </w:r>
      <w:r>
        <w:t>923</w:t>
      </w:r>
      <w:r>
        <w:rPr>
          <w:rFonts w:hint="eastAsia"/>
        </w:rPr>
        <w:t>名公务人员参加了</w:t>
      </w:r>
      <w:r>
        <w:t>24</w:t>
      </w:r>
      <w:r>
        <w:rPr>
          <w:rFonts w:hint="eastAsia"/>
        </w:rPr>
        <w:t>个培训课程；其内容包括《公共部门采购、租赁和服务法》以及《公共工程和统计抽样技巧法》，这些法案对审计工作都适用。</w:t>
      </w:r>
    </w:p>
    <w:p w:rsidR="00000000" w:rsidRDefault="00457650">
      <w:pPr>
        <w:widowControl/>
        <w:tabs>
          <w:tab w:val="left" w:pos="630"/>
        </w:tabs>
        <w:spacing w:after="240" w:line="360" w:lineRule="exact"/>
        <w:rPr>
          <w:rFonts w:hint="eastAsia"/>
        </w:rPr>
      </w:pPr>
      <w:r>
        <w:t>1002</w:t>
      </w:r>
      <w:r>
        <w:rPr>
          <w:rFonts w:hint="eastAsia"/>
        </w:rPr>
        <w:t>.</w:t>
      </w:r>
      <w:r>
        <w:rPr>
          <w:rFonts w:hint="eastAsia"/>
        </w:rPr>
        <w:tab/>
      </w:r>
      <w:r>
        <w:t>2003</w:t>
      </w:r>
      <w:r>
        <w:rPr>
          <w:rFonts w:hint="eastAsia"/>
        </w:rPr>
        <w:t>年，与各种社会和私人组织签署了</w:t>
      </w:r>
      <w:r>
        <w:t>35</w:t>
      </w:r>
      <w:r>
        <w:rPr>
          <w:rFonts w:hint="eastAsia"/>
        </w:rPr>
        <w:t>项合作协议，以便长期有计</w:t>
      </w:r>
      <w:r>
        <w:rPr>
          <w:rFonts w:hint="eastAsia"/>
        </w:rPr>
        <w:t>划、有步骤地促进关于腐败问题的研究、分析和讨论，以及对增强诚信和透明度的工具和计划的使用。这些协议的签署百分之百地完成了</w:t>
      </w:r>
      <w:r>
        <w:t>2003</w:t>
      </w:r>
      <w:r>
        <w:rPr>
          <w:rFonts w:hint="eastAsia"/>
        </w:rPr>
        <w:t>年的预定目标。</w:t>
      </w:r>
    </w:p>
    <w:p w:rsidR="00000000" w:rsidRDefault="00457650">
      <w:pPr>
        <w:widowControl/>
        <w:tabs>
          <w:tab w:val="left" w:pos="630"/>
        </w:tabs>
        <w:spacing w:after="240" w:line="360" w:lineRule="exact"/>
        <w:rPr>
          <w:rFonts w:hint="eastAsia"/>
        </w:rPr>
      </w:pPr>
      <w:r>
        <w:t>1003</w:t>
      </w:r>
      <w:r>
        <w:rPr>
          <w:rFonts w:hint="eastAsia"/>
        </w:rPr>
        <w:t>.</w:t>
      </w:r>
      <w:r>
        <w:rPr>
          <w:rFonts w:hint="eastAsia"/>
        </w:rPr>
        <w:tab/>
      </w:r>
      <w:r>
        <w:rPr>
          <w:rFonts w:hint="eastAsia"/>
        </w:rPr>
        <w:t>作为与墨西哥国家独立大学合作协议的一部分，促进建立了腐败现象分析和记录研究办公室。除其他项目外，世界银行机构发展基金还将协助编制采购索引，以期在公共管理机构各部门和实体中做出最好的表率。</w:t>
      </w:r>
    </w:p>
    <w:p w:rsidR="00000000" w:rsidRDefault="00457650">
      <w:pPr>
        <w:widowControl/>
        <w:tabs>
          <w:tab w:val="left" w:pos="630"/>
        </w:tabs>
        <w:spacing w:after="240" w:line="360" w:lineRule="exact"/>
        <w:rPr>
          <w:rFonts w:hint="eastAsia"/>
        </w:rPr>
      </w:pPr>
      <w:r>
        <w:t>1004</w:t>
      </w:r>
      <w:r>
        <w:rPr>
          <w:rFonts w:hint="eastAsia"/>
        </w:rPr>
        <w:t>.</w:t>
      </w:r>
      <w:r>
        <w:rPr>
          <w:rFonts w:hint="eastAsia"/>
        </w:rPr>
        <w:tab/>
      </w:r>
      <w:r>
        <w:rPr>
          <w:rFonts w:hint="eastAsia"/>
        </w:rPr>
        <w:t>与国家大学和高等教育机构协会以及教育部联手，编写了一本名为《道德、社会责任和透明度》的书，并从</w:t>
      </w:r>
      <w:r>
        <w:t>2003</w:t>
      </w:r>
      <w:r>
        <w:rPr>
          <w:rFonts w:hint="eastAsia"/>
        </w:rPr>
        <w:t>年</w:t>
      </w:r>
      <w:r>
        <w:t>1</w:t>
      </w:r>
      <w:r>
        <w:rPr>
          <w:rFonts w:hint="eastAsia"/>
        </w:rPr>
        <w:t>月起向</w:t>
      </w:r>
      <w:r>
        <w:t>138</w:t>
      </w:r>
      <w:r>
        <w:rPr>
          <w:rFonts w:hint="eastAsia"/>
        </w:rPr>
        <w:t>个属于该协会的高等教育机构，以及各中等</w:t>
      </w:r>
      <w:r>
        <w:rPr>
          <w:rFonts w:hint="eastAsia"/>
        </w:rPr>
        <w:t>和高等教育机构分发，以鼓励他们将这方面的内容纳入其学术计划之中。</w:t>
      </w:r>
    </w:p>
    <w:p w:rsidR="00000000" w:rsidRDefault="00457650">
      <w:pPr>
        <w:widowControl/>
        <w:tabs>
          <w:tab w:val="left" w:pos="630"/>
        </w:tabs>
        <w:spacing w:after="240" w:line="360" w:lineRule="exact"/>
        <w:rPr>
          <w:rFonts w:hint="eastAsia"/>
        </w:rPr>
      </w:pPr>
      <w:r>
        <w:t>1005</w:t>
      </w:r>
      <w:r>
        <w:rPr>
          <w:rFonts w:hint="eastAsia"/>
        </w:rPr>
        <w:t>.</w:t>
      </w:r>
      <w:r>
        <w:rPr>
          <w:rFonts w:hint="eastAsia"/>
        </w:rPr>
        <w:tab/>
      </w:r>
      <w:r>
        <w:rPr>
          <w:rFonts w:hint="eastAsia"/>
        </w:rPr>
        <w:t>为了提高公民对腐败问题的重视，墨西哥电影研究院，以及国家文化和艺术委员会以“反腐败电影记录”为题制作了四部纪录片。</w:t>
      </w:r>
    </w:p>
    <w:p w:rsidR="00000000" w:rsidRDefault="00457650">
      <w:pPr>
        <w:widowControl/>
        <w:tabs>
          <w:tab w:val="left" w:pos="630"/>
        </w:tabs>
        <w:spacing w:after="240" w:line="360" w:lineRule="exact"/>
        <w:rPr>
          <w:rFonts w:hint="eastAsia"/>
        </w:rPr>
      </w:pPr>
      <w:r>
        <w:t>1006</w:t>
      </w:r>
      <w:r>
        <w:rPr>
          <w:rFonts w:hint="eastAsia"/>
        </w:rPr>
        <w:t>.</w:t>
      </w:r>
      <w:r>
        <w:rPr>
          <w:rFonts w:hint="eastAsia"/>
        </w:rPr>
        <w:tab/>
      </w:r>
      <w:r>
        <w:rPr>
          <w:rFonts w:hint="eastAsia"/>
        </w:rPr>
        <w:t>根据美洲国家组织《反腐败公约》的目标，与巴拉圭、阿根廷和加拿大签署了旨在预防腐败和提高透明度的协作和技术支持协议。</w:t>
      </w:r>
    </w:p>
    <w:p w:rsidR="00000000" w:rsidRDefault="00457650">
      <w:pPr>
        <w:widowControl/>
        <w:tabs>
          <w:tab w:val="left" w:pos="630"/>
        </w:tabs>
        <w:spacing w:after="240" w:line="360" w:lineRule="exact"/>
        <w:rPr>
          <w:rFonts w:hint="eastAsia"/>
        </w:rPr>
      </w:pPr>
      <w:r>
        <w:t>1007</w:t>
      </w:r>
      <w:r>
        <w:rPr>
          <w:rFonts w:hint="eastAsia"/>
        </w:rPr>
        <w:t>.</w:t>
      </w:r>
      <w:r>
        <w:rPr>
          <w:rFonts w:hint="eastAsia"/>
        </w:rPr>
        <w:tab/>
      </w:r>
      <w:r>
        <w:rPr>
          <w:rFonts w:hint="eastAsia"/>
        </w:rPr>
        <w:t>和阿根廷、加拿大、智利、波多黎各、美利坚合众国和乌拉圭联合创建了美洲政府公共道德研究机构网络。</w:t>
      </w:r>
    </w:p>
    <w:p w:rsidR="00000000" w:rsidRDefault="00457650">
      <w:pPr>
        <w:widowControl/>
        <w:tabs>
          <w:tab w:val="left" w:pos="630"/>
        </w:tabs>
        <w:spacing w:after="240" w:line="360" w:lineRule="exact"/>
        <w:rPr>
          <w:rFonts w:hint="eastAsia"/>
        </w:rPr>
      </w:pPr>
      <w:r>
        <w:t>1008</w:t>
      </w:r>
      <w:r>
        <w:rPr>
          <w:rFonts w:hint="eastAsia"/>
        </w:rPr>
        <w:t>.</w:t>
      </w:r>
      <w:r>
        <w:rPr>
          <w:rFonts w:hint="eastAsia"/>
        </w:rPr>
        <w:tab/>
      </w:r>
      <w:r>
        <w:rPr>
          <w:rFonts w:hint="eastAsia"/>
        </w:rPr>
        <w:t>在经济合作和发展组织《禁止在国际商业交易中贿赂外国公职人员公约》框架内</w:t>
      </w:r>
      <w:r>
        <w:rPr>
          <w:rFonts w:hint="eastAsia"/>
        </w:rPr>
        <w:t>，墨西哥将在</w:t>
      </w:r>
      <w:r>
        <w:t>2004</w:t>
      </w:r>
      <w:r>
        <w:rPr>
          <w:rFonts w:hint="eastAsia"/>
        </w:rPr>
        <w:t>年年初开始第二阶段的反腐败斗争评估。</w:t>
      </w:r>
    </w:p>
    <w:p w:rsidR="00000000" w:rsidRDefault="00457650">
      <w:pPr>
        <w:widowControl/>
        <w:tabs>
          <w:tab w:val="left" w:pos="630"/>
        </w:tabs>
        <w:spacing w:after="240" w:line="360" w:lineRule="exact"/>
        <w:rPr>
          <w:rFonts w:hint="eastAsia"/>
        </w:rPr>
      </w:pPr>
      <w:r>
        <w:t>1009</w:t>
      </w:r>
      <w:r>
        <w:rPr>
          <w:rFonts w:hint="eastAsia"/>
        </w:rPr>
        <w:t>.</w:t>
      </w:r>
      <w:r>
        <w:rPr>
          <w:rFonts w:hint="eastAsia"/>
        </w:rPr>
        <w:tab/>
      </w:r>
      <w:r>
        <w:rPr>
          <w:rFonts w:hint="eastAsia"/>
        </w:rPr>
        <w:t>应该指出，在过去两年中，就《联合国反腐败公约》进行了长期的谈判。</w:t>
      </w:r>
    </w:p>
    <w:p w:rsidR="00000000" w:rsidRDefault="00457650">
      <w:pPr>
        <w:widowControl/>
        <w:tabs>
          <w:tab w:val="left" w:pos="630"/>
        </w:tabs>
        <w:spacing w:after="240" w:line="360" w:lineRule="exact"/>
        <w:rPr>
          <w:rFonts w:hint="eastAsia"/>
        </w:rPr>
      </w:pPr>
      <w:r>
        <w:t>1010</w:t>
      </w:r>
      <w:r>
        <w:rPr>
          <w:rFonts w:hint="eastAsia"/>
        </w:rPr>
        <w:t>.</w:t>
      </w:r>
      <w:r>
        <w:rPr>
          <w:rFonts w:hint="eastAsia"/>
        </w:rPr>
        <w:tab/>
      </w:r>
      <w:r>
        <w:rPr>
          <w:rFonts w:hint="eastAsia"/>
        </w:rPr>
        <w:t>合众国参议院在</w:t>
      </w:r>
      <w:r>
        <w:t>2004</w:t>
      </w:r>
      <w:r>
        <w:rPr>
          <w:rFonts w:hint="eastAsia"/>
        </w:rPr>
        <w:t>年</w:t>
      </w:r>
      <w:r>
        <w:t>4</w:t>
      </w:r>
      <w:r>
        <w:rPr>
          <w:rFonts w:hint="eastAsia"/>
        </w:rPr>
        <w:t>月批准通过了该文书，外交部最后于</w:t>
      </w:r>
      <w:r>
        <w:t>7</w:t>
      </w:r>
      <w:r>
        <w:rPr>
          <w:rFonts w:hint="eastAsia"/>
        </w:rPr>
        <w:t>月</w:t>
      </w:r>
      <w:r>
        <w:t>20</w:t>
      </w:r>
      <w:r>
        <w:rPr>
          <w:rFonts w:hint="eastAsia"/>
        </w:rPr>
        <w:t>日将相应的文书交存联合国纽约总部。《公约》将在得到</w:t>
      </w:r>
      <w:r>
        <w:t>30</w:t>
      </w:r>
      <w:r>
        <w:rPr>
          <w:rFonts w:hint="eastAsia"/>
        </w:rPr>
        <w:t>个国家批准之后生效。到目前为止，已经有</w:t>
      </w:r>
      <w:r>
        <w:t>111</w:t>
      </w:r>
      <w:r>
        <w:rPr>
          <w:rFonts w:hint="eastAsia"/>
        </w:rPr>
        <w:t>个国家签署了《公约》，其中</w:t>
      </w:r>
      <w:r>
        <w:rPr>
          <w:rFonts w:hint="eastAsia"/>
        </w:rPr>
        <w:t>6</w:t>
      </w:r>
      <w:r>
        <w:rPr>
          <w:rFonts w:hint="eastAsia"/>
        </w:rPr>
        <w:t>个国家已经批准。</w:t>
      </w:r>
    </w:p>
    <w:p w:rsidR="00000000" w:rsidRDefault="00457650">
      <w:pPr>
        <w:widowControl/>
        <w:tabs>
          <w:tab w:val="left" w:pos="630"/>
        </w:tabs>
        <w:spacing w:after="240" w:line="360" w:lineRule="exact"/>
        <w:rPr>
          <w:rFonts w:hint="eastAsia"/>
        </w:rPr>
      </w:pPr>
      <w:r>
        <w:t>1011</w:t>
      </w:r>
      <w:r>
        <w:rPr>
          <w:rFonts w:hint="eastAsia"/>
        </w:rPr>
        <w:t>.</w:t>
      </w:r>
      <w:r>
        <w:rPr>
          <w:rFonts w:hint="eastAsia"/>
        </w:rPr>
        <w:tab/>
      </w:r>
      <w:r>
        <w:t>2002</w:t>
      </w:r>
      <w:r>
        <w:rPr>
          <w:rFonts w:hint="eastAsia"/>
        </w:rPr>
        <w:t>年</w:t>
      </w:r>
      <w:r>
        <w:t>9</w:t>
      </w:r>
      <w:r>
        <w:rPr>
          <w:rFonts w:hint="eastAsia"/>
        </w:rPr>
        <w:t>月，公共事务部启用了名为</w:t>
      </w:r>
      <w:r>
        <w:t>Normateca</w:t>
      </w:r>
      <w:r>
        <w:rPr>
          <w:rFonts w:hint="eastAsia"/>
        </w:rPr>
        <w:t>的因特网网站，将制约联邦公共管理机构各部门和实体运作和功能的所有法律和行政规定归结到一起</w:t>
      </w:r>
      <w:r>
        <w:rPr>
          <w:rFonts w:hint="eastAsia"/>
        </w:rPr>
        <w:t>。</w:t>
      </w:r>
      <w:r>
        <w:t>2003</w:t>
      </w:r>
      <w:r>
        <w:rPr>
          <w:rFonts w:hint="eastAsia"/>
        </w:rPr>
        <w:t>年</w:t>
      </w:r>
      <w:r>
        <w:t>12</w:t>
      </w:r>
      <w:r>
        <w:rPr>
          <w:rFonts w:hint="eastAsia"/>
        </w:rPr>
        <w:t>月，在该网站进行</w:t>
      </w:r>
      <w:r>
        <w:t>24.7</w:t>
      </w:r>
      <w:r>
        <w:rPr>
          <w:rFonts w:hint="eastAsia"/>
        </w:rPr>
        <w:t>万次搜索。</w:t>
      </w:r>
    </w:p>
    <w:p w:rsidR="00000000" w:rsidRDefault="00457650">
      <w:pPr>
        <w:widowControl/>
        <w:tabs>
          <w:tab w:val="left" w:pos="630"/>
        </w:tabs>
        <w:spacing w:after="240" w:line="360" w:lineRule="exact"/>
        <w:rPr>
          <w:rFonts w:hint="eastAsia"/>
        </w:rPr>
      </w:pPr>
      <w:r>
        <w:t>1012</w:t>
      </w:r>
      <w:r>
        <w:rPr>
          <w:rFonts w:hint="eastAsia"/>
        </w:rPr>
        <w:t>.</w:t>
      </w:r>
      <w:r>
        <w:rPr>
          <w:rFonts w:hint="eastAsia"/>
        </w:rPr>
        <w:tab/>
      </w:r>
      <w:r>
        <w:rPr>
          <w:spacing w:val="-4"/>
        </w:rPr>
        <w:t>2003</w:t>
      </w:r>
      <w:r>
        <w:rPr>
          <w:rFonts w:hint="eastAsia"/>
          <w:spacing w:val="-4"/>
        </w:rPr>
        <w:t>年</w:t>
      </w:r>
      <w:r>
        <w:rPr>
          <w:spacing w:val="-4"/>
        </w:rPr>
        <w:t>3</w:t>
      </w:r>
      <w:r>
        <w:rPr>
          <w:rFonts w:hint="eastAsia"/>
          <w:spacing w:val="-4"/>
        </w:rPr>
        <w:t>月，联邦政府</w:t>
      </w:r>
      <w:r>
        <w:rPr>
          <w:spacing w:val="-4"/>
        </w:rPr>
        <w:t>44</w:t>
      </w:r>
      <w:r>
        <w:rPr>
          <w:rFonts w:hint="eastAsia"/>
          <w:spacing w:val="-4"/>
        </w:rPr>
        <w:t>个部门和实体开始建立内部“</w:t>
      </w:r>
      <w:r>
        <w:rPr>
          <w:spacing w:val="-4"/>
        </w:rPr>
        <w:t>normatecas</w:t>
      </w:r>
      <w:r>
        <w:rPr>
          <w:rFonts w:hint="eastAsia"/>
          <w:spacing w:val="-4"/>
        </w:rPr>
        <w:t>”网站，并签署了关于该主题的协议。</w:t>
      </w:r>
    </w:p>
    <w:p w:rsidR="00000000" w:rsidRDefault="00457650">
      <w:pPr>
        <w:widowControl/>
        <w:tabs>
          <w:tab w:val="left" w:pos="630"/>
        </w:tabs>
        <w:spacing w:after="240" w:line="360" w:lineRule="exact"/>
        <w:rPr>
          <w:rFonts w:hint="eastAsia"/>
        </w:rPr>
      </w:pPr>
      <w:r>
        <w:t>1013</w:t>
      </w:r>
      <w:r>
        <w:rPr>
          <w:rFonts w:hint="eastAsia"/>
        </w:rPr>
        <w:t>.</w:t>
      </w:r>
      <w:r>
        <w:rPr>
          <w:rFonts w:hint="eastAsia"/>
        </w:rPr>
        <w:tab/>
      </w:r>
      <w:r>
        <w:t>12</w:t>
      </w:r>
      <w:r>
        <w:rPr>
          <w:rFonts w:hint="eastAsia"/>
        </w:rPr>
        <w:t>月</w:t>
      </w:r>
      <w:r>
        <w:t>31</w:t>
      </w:r>
      <w:r>
        <w:rPr>
          <w:rFonts w:hint="eastAsia"/>
        </w:rPr>
        <w:t>日，略超过</w:t>
      </w:r>
      <w:r>
        <w:t>86%</w:t>
      </w:r>
      <w:r>
        <w:rPr>
          <w:rFonts w:hint="eastAsia"/>
        </w:rPr>
        <w:t>的协议签署机构令人满意地履行了它们的承诺。</w:t>
      </w:r>
    </w:p>
    <w:p w:rsidR="00000000" w:rsidRDefault="00457650">
      <w:pPr>
        <w:widowControl/>
        <w:tabs>
          <w:tab w:val="left" w:pos="630"/>
        </w:tabs>
        <w:spacing w:after="240" w:line="360" w:lineRule="exact"/>
        <w:rPr>
          <w:rFonts w:hint="eastAsia"/>
        </w:rPr>
      </w:pPr>
      <w:r>
        <w:t>1014</w:t>
      </w:r>
      <w:r>
        <w:rPr>
          <w:rFonts w:hint="eastAsia"/>
        </w:rPr>
        <w:t>.</w:t>
      </w:r>
      <w:r>
        <w:rPr>
          <w:rFonts w:hint="eastAsia"/>
        </w:rPr>
        <w:tab/>
      </w:r>
      <w:r>
        <w:rPr>
          <w:rFonts w:hint="eastAsia"/>
        </w:rPr>
        <w:t>关于改进内部条例委员会，</w:t>
      </w:r>
      <w:r>
        <w:t>2003</w:t>
      </w:r>
      <w:r>
        <w:rPr>
          <w:rFonts w:hint="eastAsia"/>
        </w:rPr>
        <w:t>年</w:t>
      </w:r>
      <w:r>
        <w:t>12</w:t>
      </w:r>
      <w:r>
        <w:rPr>
          <w:rFonts w:hint="eastAsia"/>
        </w:rPr>
        <w:t>月</w:t>
      </w:r>
      <w:r>
        <w:t>31</w:t>
      </w:r>
      <w:r>
        <w:rPr>
          <w:rFonts w:hint="eastAsia"/>
        </w:rPr>
        <w:t>日，</w:t>
      </w:r>
      <w:r>
        <w:t>32</w:t>
      </w:r>
      <w:r>
        <w:rPr>
          <w:rFonts w:hint="eastAsia"/>
        </w:rPr>
        <w:t>个</w:t>
      </w:r>
      <w:r>
        <w:t>APF</w:t>
      </w:r>
      <w:r>
        <w:rPr>
          <w:rFonts w:hint="eastAsia"/>
        </w:rPr>
        <w:t>机构已经设置并正在使用行政简化工具，它们通过该委员会颁布了约</w:t>
      </w:r>
      <w:r>
        <w:t>250</w:t>
      </w:r>
      <w:r>
        <w:rPr>
          <w:rFonts w:hint="eastAsia"/>
        </w:rPr>
        <w:t>项决定，传递了提高透明度和行政水平的标准。</w:t>
      </w:r>
    </w:p>
    <w:p w:rsidR="00000000" w:rsidRDefault="00457650">
      <w:pPr>
        <w:widowControl/>
        <w:tabs>
          <w:tab w:val="left" w:pos="630"/>
        </w:tabs>
        <w:spacing w:after="240" w:line="360" w:lineRule="exact"/>
        <w:rPr>
          <w:rFonts w:hint="eastAsia"/>
        </w:rPr>
      </w:pPr>
      <w:r>
        <w:t>1015</w:t>
      </w:r>
      <w:r>
        <w:rPr>
          <w:rFonts w:hint="eastAsia"/>
        </w:rPr>
        <w:t>.</w:t>
      </w:r>
      <w:r>
        <w:rPr>
          <w:rFonts w:hint="eastAsia"/>
        </w:rPr>
        <w:tab/>
      </w:r>
      <w:r>
        <w:rPr>
          <w:rFonts w:hint="eastAsia"/>
        </w:rPr>
        <w:t>联邦公共管理机构及各州和市政府的</w:t>
      </w:r>
      <w:r>
        <w:t>4</w:t>
      </w:r>
      <w:r>
        <w:rPr>
          <w:rFonts w:hint="eastAsia"/>
        </w:rPr>
        <w:t xml:space="preserve"> </w:t>
      </w:r>
      <w:r>
        <w:t>000</w:t>
      </w:r>
      <w:r>
        <w:rPr>
          <w:rFonts w:hint="eastAsia"/>
        </w:rPr>
        <w:t>多个采购和公共工程单</w:t>
      </w:r>
      <w:r>
        <w:rPr>
          <w:rFonts w:hint="eastAsia"/>
        </w:rPr>
        <w:t>位，其缔约程序标准化通过</w:t>
      </w:r>
      <w:r>
        <w:t>COMPRANET</w:t>
      </w:r>
      <w:r>
        <w:rPr>
          <w:rFonts w:hint="eastAsia"/>
        </w:rPr>
        <w:t>系统已成为可能。</w:t>
      </w:r>
    </w:p>
    <w:p w:rsidR="00000000" w:rsidRDefault="00457650">
      <w:pPr>
        <w:widowControl/>
        <w:tabs>
          <w:tab w:val="left" w:pos="630"/>
        </w:tabs>
        <w:spacing w:after="240" w:line="360" w:lineRule="exact"/>
        <w:rPr>
          <w:rFonts w:hint="eastAsia"/>
        </w:rPr>
      </w:pPr>
      <w:r>
        <w:t>1016</w:t>
      </w:r>
      <w:r>
        <w:rPr>
          <w:rFonts w:hint="eastAsia"/>
        </w:rPr>
        <w:t>.</w:t>
      </w:r>
      <w:r>
        <w:rPr>
          <w:rFonts w:hint="eastAsia"/>
        </w:rPr>
        <w:tab/>
      </w:r>
      <w:r>
        <w:rPr>
          <w:rFonts w:hint="eastAsia"/>
        </w:rPr>
        <w:t>本届政府执政期间，十分重视加强电子投标机制、提高投标透明度和预防腐败。因此已集中精力对负责大量投标工作的采购和公共工程单位进行培训。</w:t>
      </w:r>
    </w:p>
    <w:p w:rsidR="00000000" w:rsidRDefault="00457650">
      <w:pPr>
        <w:widowControl/>
        <w:tabs>
          <w:tab w:val="left" w:pos="630"/>
        </w:tabs>
        <w:spacing w:after="240" w:line="360" w:lineRule="exact"/>
        <w:rPr>
          <w:rFonts w:hint="eastAsia"/>
        </w:rPr>
      </w:pPr>
      <w:r>
        <w:t>1017</w:t>
      </w:r>
      <w:r>
        <w:rPr>
          <w:rFonts w:hint="eastAsia"/>
        </w:rPr>
        <w:t>.</w:t>
      </w:r>
      <w:r>
        <w:rPr>
          <w:rFonts w:hint="eastAsia"/>
        </w:rPr>
        <w:tab/>
      </w:r>
      <w:r>
        <w:rPr>
          <w:rFonts w:hint="eastAsia"/>
        </w:rPr>
        <w:t>政府电子采购系统已成为透明的会计工具，毫无疑问对巩固民主有所帮助。</w:t>
      </w:r>
    </w:p>
    <w:p w:rsidR="00000000" w:rsidRDefault="00457650">
      <w:pPr>
        <w:widowControl/>
        <w:tabs>
          <w:tab w:val="left" w:pos="630"/>
        </w:tabs>
        <w:spacing w:after="240" w:line="360" w:lineRule="exact"/>
        <w:rPr>
          <w:rFonts w:hint="eastAsia"/>
        </w:rPr>
      </w:pPr>
      <w:r>
        <w:t>1018</w:t>
      </w:r>
      <w:r>
        <w:rPr>
          <w:rFonts w:hint="eastAsia"/>
        </w:rPr>
        <w:t>.</w:t>
      </w:r>
      <w:r>
        <w:rPr>
          <w:rFonts w:hint="eastAsia"/>
        </w:rPr>
        <w:tab/>
      </w:r>
      <w:r>
        <w:rPr>
          <w:rFonts w:hint="eastAsia"/>
        </w:rPr>
        <w:t>目前有</w:t>
      </w:r>
      <w:r>
        <w:t>4</w:t>
      </w:r>
      <w:r>
        <w:rPr>
          <w:rFonts w:hint="eastAsia"/>
        </w:rPr>
        <w:t>万多家公司使用政府政府电子采购系统进行数据查询，了解招标底线，制定银行支付模式。</w:t>
      </w:r>
    </w:p>
    <w:p w:rsidR="00000000" w:rsidRDefault="00457650">
      <w:pPr>
        <w:widowControl/>
        <w:tabs>
          <w:tab w:val="left" w:pos="630"/>
        </w:tabs>
        <w:spacing w:after="240" w:line="360" w:lineRule="exact"/>
        <w:rPr>
          <w:rFonts w:hint="eastAsia"/>
        </w:rPr>
      </w:pPr>
      <w:r>
        <w:t>1019</w:t>
      </w:r>
      <w:r>
        <w:rPr>
          <w:rFonts w:hint="eastAsia"/>
        </w:rPr>
        <w:t>.</w:t>
      </w:r>
      <w:r>
        <w:rPr>
          <w:rFonts w:hint="eastAsia"/>
        </w:rPr>
        <w:tab/>
      </w:r>
      <w:r>
        <w:rPr>
          <w:rFonts w:hint="eastAsia"/>
        </w:rPr>
        <w:t>根据已了解的信息，这些公司使用电子采购系统主要是为了每月都可以参与</w:t>
      </w:r>
      <w:r>
        <w:t>8</w:t>
      </w:r>
      <w:r>
        <w:rPr>
          <w:rFonts w:hint="eastAsia"/>
        </w:rPr>
        <w:t>千多项投标，很多供应商还利用网页来了解信息和</w:t>
      </w:r>
      <w:r>
        <w:rPr>
          <w:rFonts w:hint="eastAsia"/>
        </w:rPr>
        <w:t>其他文件，此外还有每天平均</w:t>
      </w:r>
      <w:r>
        <w:t>20</w:t>
      </w:r>
      <w:r>
        <w:rPr>
          <w:rFonts w:hint="eastAsia"/>
        </w:rPr>
        <w:t xml:space="preserve"> </w:t>
      </w:r>
      <w:r>
        <w:t>200</w:t>
      </w:r>
      <w:r>
        <w:rPr>
          <w:rFonts w:hint="eastAsia"/>
        </w:rPr>
        <w:t>次的咨询。</w:t>
      </w:r>
    </w:p>
    <w:p w:rsidR="00000000" w:rsidRDefault="00457650">
      <w:pPr>
        <w:widowControl/>
        <w:tabs>
          <w:tab w:val="left" w:pos="630"/>
        </w:tabs>
        <w:spacing w:after="240" w:line="360" w:lineRule="exact"/>
        <w:rPr>
          <w:rFonts w:hint="eastAsia"/>
        </w:rPr>
      </w:pPr>
      <w:r>
        <w:t>10</w:t>
      </w:r>
      <w:r>
        <w:rPr>
          <w:rFonts w:hint="eastAsia"/>
        </w:rPr>
        <w:t>20.</w:t>
      </w:r>
      <w:r>
        <w:rPr>
          <w:rFonts w:hint="eastAsia"/>
        </w:rPr>
        <w:tab/>
      </w:r>
      <w:r>
        <w:rPr>
          <w:rFonts w:hint="eastAsia"/>
        </w:rPr>
        <w:t>有资格参与电子投标的供应商和定约人数目在不断增加。</w:t>
      </w:r>
    </w:p>
    <w:p w:rsidR="00000000" w:rsidRDefault="00457650">
      <w:pPr>
        <w:widowControl/>
        <w:tabs>
          <w:tab w:val="left" w:pos="630"/>
        </w:tabs>
        <w:spacing w:after="240" w:line="360" w:lineRule="exact"/>
        <w:rPr>
          <w:rFonts w:hint="eastAsia"/>
        </w:rPr>
      </w:pPr>
      <w:r>
        <w:t>1021</w:t>
      </w:r>
      <w:r>
        <w:rPr>
          <w:rFonts w:hint="eastAsia"/>
        </w:rPr>
        <w:t>.</w:t>
      </w:r>
      <w:r>
        <w:rPr>
          <w:rFonts w:hint="eastAsia"/>
        </w:rPr>
        <w:tab/>
      </w:r>
      <w:r>
        <w:t>2002</w:t>
      </w:r>
      <w:r>
        <w:rPr>
          <w:rFonts w:hint="eastAsia"/>
        </w:rPr>
        <w:t>年</w:t>
      </w:r>
      <w:r>
        <w:t>1</w:t>
      </w:r>
      <w:r>
        <w:rPr>
          <w:rFonts w:hint="eastAsia"/>
        </w:rPr>
        <w:t>月，政府电子程序处理系统开始启动，着眼于将所有电脑都转变为政府的一个窗口。目前公民可以普遍了解所有联邦单位程序上的要求、其办公地和办公时间，并且以电子方式落实了其中的</w:t>
      </w:r>
      <w:r>
        <w:t>40</w:t>
      </w:r>
      <w:r>
        <w:rPr>
          <w:rFonts w:hint="eastAsia"/>
        </w:rPr>
        <w:t>多项程序。</w:t>
      </w:r>
    </w:p>
    <w:p w:rsidR="00000000" w:rsidRDefault="00457650">
      <w:pPr>
        <w:widowControl/>
        <w:tabs>
          <w:tab w:val="left" w:pos="630"/>
        </w:tabs>
        <w:spacing w:after="240" w:line="360" w:lineRule="exact"/>
        <w:rPr>
          <w:rFonts w:hint="eastAsia"/>
        </w:rPr>
      </w:pPr>
      <w:r>
        <w:rPr>
          <w:rFonts w:hint="eastAsia"/>
        </w:rPr>
        <w:t>1022.</w:t>
      </w:r>
      <w:r>
        <w:rPr>
          <w:rFonts w:hint="eastAsia"/>
        </w:rPr>
        <w:tab/>
      </w:r>
      <w:r>
        <w:rPr>
          <w:rFonts w:hint="eastAsia"/>
        </w:rPr>
        <w:t>目前有关</w:t>
      </w:r>
      <w:r>
        <w:t>5</w:t>
      </w:r>
      <w:r>
        <w:rPr>
          <w:rFonts w:hint="eastAsia"/>
        </w:rPr>
        <w:t xml:space="preserve"> </w:t>
      </w:r>
      <w:r>
        <w:t>674</w:t>
      </w:r>
      <w:r>
        <w:rPr>
          <w:rFonts w:hint="eastAsia"/>
        </w:rPr>
        <w:t>多项程序的信息可以通过电子程序处理系统网页获得。自</w:t>
      </w:r>
      <w:r>
        <w:t>2004</w:t>
      </w:r>
      <w:r>
        <w:rPr>
          <w:rFonts w:hint="eastAsia"/>
        </w:rPr>
        <w:t>年</w:t>
      </w:r>
      <w:r>
        <w:t>4</w:t>
      </w:r>
      <w:r>
        <w:rPr>
          <w:rFonts w:hint="eastAsia"/>
        </w:rPr>
        <w:t>月以来，</w:t>
      </w:r>
      <w:r>
        <w:t>67</w:t>
      </w:r>
      <w:r>
        <w:rPr>
          <w:rFonts w:hint="eastAsia"/>
        </w:rPr>
        <w:t>项电子程序已在运行中。</w:t>
      </w:r>
    </w:p>
    <w:p w:rsidR="00000000" w:rsidRDefault="00457650">
      <w:pPr>
        <w:widowControl/>
        <w:tabs>
          <w:tab w:val="left" w:pos="630"/>
        </w:tabs>
        <w:spacing w:after="240" w:line="360" w:lineRule="exact"/>
        <w:rPr>
          <w:rFonts w:hint="eastAsia"/>
        </w:rPr>
      </w:pPr>
      <w:r>
        <w:rPr>
          <w:rFonts w:hint="eastAsia"/>
        </w:rPr>
        <w:t>1023.</w:t>
      </w:r>
      <w:r>
        <w:rPr>
          <w:rFonts w:hint="eastAsia"/>
        </w:rPr>
        <w:tab/>
      </w:r>
      <w:r>
        <w:rPr>
          <w:rFonts w:hint="eastAsia"/>
        </w:rPr>
        <w:t>最有效果的做法就是获得并打印单一的人口登记密钥，并向</w:t>
      </w:r>
      <w:r>
        <w:rPr>
          <w:rFonts w:hint="eastAsia"/>
        </w:rPr>
        <w:t>有</w:t>
      </w:r>
      <w:r>
        <w:rPr>
          <w:rFonts w:hint="eastAsia"/>
        </w:rPr>
        <w:t>5 996 425</w:t>
      </w:r>
      <w:r>
        <w:rPr>
          <w:rFonts w:hint="eastAsia"/>
        </w:rPr>
        <w:t>个联营单位的社会保障局发布联营通知。</w:t>
      </w:r>
    </w:p>
    <w:p w:rsidR="00000000" w:rsidRDefault="00457650">
      <w:pPr>
        <w:widowControl/>
        <w:tabs>
          <w:tab w:val="left" w:pos="630"/>
        </w:tabs>
        <w:spacing w:after="240" w:line="360" w:lineRule="exact"/>
        <w:rPr>
          <w:rFonts w:hint="eastAsia"/>
        </w:rPr>
      </w:pPr>
      <w:r>
        <w:t>1024</w:t>
      </w:r>
      <w:r>
        <w:rPr>
          <w:rFonts w:hint="eastAsia"/>
        </w:rPr>
        <w:t>.</w:t>
      </w:r>
      <w:r>
        <w:rPr>
          <w:rFonts w:hint="eastAsia"/>
        </w:rPr>
        <w:tab/>
      </w:r>
      <w:r>
        <w:rPr>
          <w:rFonts w:hint="eastAsia"/>
        </w:rPr>
        <w:t>联邦公共管理机构各部门和实体的计算机基础设施配置不同，而且公务人员的技术素养参差不齐，这导致了</w:t>
      </w:r>
      <w:r>
        <w:t>DECLARANET</w:t>
      </w:r>
      <w:r>
        <w:rPr>
          <w:rFonts w:hint="eastAsia"/>
        </w:rPr>
        <w:t>项目的复杂化，但自</w:t>
      </w:r>
      <w:r>
        <w:t>2002</w:t>
      </w:r>
      <w:r>
        <w:rPr>
          <w:rFonts w:hint="eastAsia"/>
        </w:rPr>
        <w:t>年</w:t>
      </w:r>
      <w:r>
        <w:t>5</w:t>
      </w:r>
      <w:r>
        <w:rPr>
          <w:rFonts w:hint="eastAsia"/>
        </w:rPr>
        <w:t>月强制执行以来，</w:t>
      </w:r>
      <w:r>
        <w:t>95%</w:t>
      </w:r>
      <w:r>
        <w:rPr>
          <w:rFonts w:hint="eastAsia"/>
        </w:rPr>
        <w:t>以上的公务人员都已通过电子签名在因特网上申报了他们的资产。在</w:t>
      </w:r>
      <w:r>
        <w:t>2002</w:t>
      </w:r>
      <w:r>
        <w:rPr>
          <w:rFonts w:hint="eastAsia"/>
        </w:rPr>
        <w:t>年</w:t>
      </w:r>
      <w:r>
        <w:t>5</w:t>
      </w:r>
      <w:r>
        <w:rPr>
          <w:rFonts w:hint="eastAsia"/>
        </w:rPr>
        <w:t>月至</w:t>
      </w:r>
      <w:r>
        <w:t>2004</w:t>
      </w:r>
      <w:r>
        <w:rPr>
          <w:rFonts w:hint="eastAsia"/>
        </w:rPr>
        <w:t>年</w:t>
      </w:r>
      <w:r>
        <w:t>4</w:t>
      </w:r>
      <w:r>
        <w:rPr>
          <w:rFonts w:hint="eastAsia"/>
        </w:rPr>
        <w:t>月期间，通过因特网收到了</w:t>
      </w:r>
      <w:r>
        <w:t>560</w:t>
      </w:r>
      <w:r>
        <w:rPr>
          <w:rFonts w:hint="eastAsia"/>
        </w:rPr>
        <w:t xml:space="preserve"> </w:t>
      </w:r>
      <w:r>
        <w:t>505</w:t>
      </w:r>
      <w:r>
        <w:rPr>
          <w:rFonts w:hint="eastAsia"/>
        </w:rPr>
        <w:t>项申报。</w:t>
      </w:r>
    </w:p>
    <w:p w:rsidR="00000000" w:rsidRDefault="00457650">
      <w:pPr>
        <w:widowControl/>
        <w:tabs>
          <w:tab w:val="left" w:pos="630"/>
        </w:tabs>
        <w:spacing w:after="240" w:line="360" w:lineRule="exact"/>
        <w:rPr>
          <w:rFonts w:hint="eastAsia"/>
        </w:rPr>
      </w:pPr>
      <w:r>
        <w:t>1025</w:t>
      </w:r>
      <w:r>
        <w:rPr>
          <w:rFonts w:hint="eastAsia"/>
        </w:rPr>
        <w:t>.</w:t>
      </w:r>
      <w:r>
        <w:rPr>
          <w:rFonts w:hint="eastAsia"/>
        </w:rPr>
        <w:tab/>
      </w:r>
      <w:r>
        <w:rPr>
          <w:spacing w:val="-2"/>
        </w:rPr>
        <w:t>2003</w:t>
      </w:r>
      <w:r>
        <w:rPr>
          <w:rFonts w:hint="eastAsia"/>
          <w:spacing w:val="-2"/>
        </w:rPr>
        <w:t>年</w:t>
      </w:r>
      <w:r>
        <w:rPr>
          <w:spacing w:val="-2"/>
        </w:rPr>
        <w:t>5</w:t>
      </w:r>
      <w:r>
        <w:rPr>
          <w:rFonts w:hint="eastAsia"/>
          <w:spacing w:val="-2"/>
        </w:rPr>
        <w:t>月有</w:t>
      </w:r>
      <w:r>
        <w:rPr>
          <w:spacing w:val="-2"/>
        </w:rPr>
        <w:t>210 520</w:t>
      </w:r>
      <w:r>
        <w:rPr>
          <w:rFonts w:hint="eastAsia"/>
          <w:spacing w:val="-2"/>
        </w:rPr>
        <w:t>项所有权申报。尽管该数字和</w:t>
      </w:r>
      <w:r>
        <w:rPr>
          <w:spacing w:val="-2"/>
        </w:rPr>
        <w:t>2002</w:t>
      </w:r>
      <w:r>
        <w:rPr>
          <w:rFonts w:hint="eastAsia"/>
          <w:spacing w:val="-2"/>
        </w:rPr>
        <w:t>年的数字相似，但在本年度纳入了五项新的服务：恢复曾申报过的档案，</w:t>
      </w:r>
      <w:r>
        <w:rPr>
          <w:rFonts w:hint="eastAsia"/>
          <w:spacing w:val="-2"/>
        </w:rPr>
        <w:t>恢复以前颁发的证书，证书撤销，以及对重复交易使用格式公认条件的咨询等。</w:t>
      </w:r>
    </w:p>
    <w:p w:rsidR="00000000" w:rsidRDefault="00457650">
      <w:pPr>
        <w:widowControl/>
        <w:tabs>
          <w:tab w:val="left" w:pos="630"/>
        </w:tabs>
        <w:spacing w:after="240" w:line="360" w:lineRule="exact"/>
        <w:rPr>
          <w:rFonts w:hint="eastAsia"/>
        </w:rPr>
      </w:pPr>
      <w:r>
        <w:t>1026</w:t>
      </w:r>
      <w:r>
        <w:rPr>
          <w:rFonts w:hint="eastAsia"/>
        </w:rPr>
        <w:t>.</w:t>
      </w:r>
      <w:r>
        <w:rPr>
          <w:rFonts w:hint="eastAsia"/>
        </w:rPr>
        <w:tab/>
      </w:r>
      <w:r>
        <w:rPr>
          <w:rFonts w:hint="eastAsia"/>
        </w:rPr>
        <w:t>自开始运作以来，资料索取系统网页已经记录了</w:t>
      </w:r>
      <w:r>
        <w:t>3</w:t>
      </w:r>
      <w:r>
        <w:rPr>
          <w:rFonts w:hint="eastAsia"/>
        </w:rPr>
        <w:t>万多次咨询，在公民中作为一个发送索取资料的主要机制而被广为接受。</w:t>
      </w:r>
    </w:p>
    <w:p w:rsidR="00000000" w:rsidRDefault="00457650">
      <w:pPr>
        <w:widowControl/>
        <w:tabs>
          <w:tab w:val="left" w:pos="630"/>
        </w:tabs>
        <w:spacing w:after="240" w:line="360" w:lineRule="exact"/>
        <w:rPr>
          <w:rFonts w:hint="eastAsia"/>
        </w:rPr>
      </w:pPr>
      <w:r>
        <w:t>1027</w:t>
      </w:r>
      <w:r>
        <w:rPr>
          <w:rFonts w:hint="eastAsia"/>
        </w:rPr>
        <w:t>.</w:t>
      </w:r>
      <w:r>
        <w:rPr>
          <w:rFonts w:hint="eastAsia"/>
        </w:rPr>
        <w:tab/>
      </w:r>
      <w:r>
        <w:rPr>
          <w:rFonts w:hint="eastAsia"/>
        </w:rPr>
        <w:t>门户网站（</w:t>
      </w:r>
      <w:r>
        <w:t>www.gob.mx</w:t>
      </w:r>
      <w:r>
        <w:rPr>
          <w:rFonts w:hint="eastAsia"/>
        </w:rPr>
        <w:t>）支持《关于政府公共信息透明度和获取途径的联邦法案》，作为公共管理机构和公民间的联系纽带，通过具体说像因特网址之类的公共媒介发布关于各部门的信息。在这里，政府的程序和服务内容都集中提供，有助于了解联邦公共管理机构的信息，使公民进一步参与公共决策，以解决他们提出的问题和要求并采</w:t>
      </w:r>
      <w:r>
        <w:rPr>
          <w:rFonts w:hint="eastAsia"/>
        </w:rPr>
        <w:t>纳他们的建议，正如他们在论坛、聊天室和在线民意测验中的行为一样。</w:t>
      </w:r>
    </w:p>
    <w:p w:rsidR="00000000" w:rsidRDefault="00457650">
      <w:pPr>
        <w:widowControl/>
        <w:tabs>
          <w:tab w:val="left" w:pos="630"/>
        </w:tabs>
        <w:spacing w:after="240" w:line="360" w:lineRule="exact"/>
        <w:rPr>
          <w:rFonts w:hint="eastAsia"/>
        </w:rPr>
      </w:pPr>
      <w:r>
        <w:t>102</w:t>
      </w:r>
      <w:r>
        <w:rPr>
          <w:rFonts w:hint="eastAsia"/>
        </w:rPr>
        <w:t>8.</w:t>
      </w:r>
      <w:r>
        <w:rPr>
          <w:rFonts w:hint="eastAsia"/>
        </w:rPr>
        <w:tab/>
      </w:r>
      <w:r>
        <w:t>2004</w:t>
      </w:r>
      <w:r>
        <w:rPr>
          <w:rFonts w:hint="eastAsia"/>
        </w:rPr>
        <w:t>年面临的挑战与机遇：</w:t>
      </w:r>
    </w:p>
    <w:p w:rsidR="00000000" w:rsidRDefault="00457650">
      <w:pPr>
        <w:pStyle w:val="Date"/>
        <w:widowControl/>
        <w:tabs>
          <w:tab w:val="left" w:pos="630"/>
        </w:tabs>
        <w:spacing w:after="240" w:line="360" w:lineRule="exact"/>
        <w:rPr>
          <w:rFonts w:eastAsia="SimHei" w:hint="eastAsia"/>
          <w:bCs/>
        </w:rPr>
      </w:pPr>
      <w:r>
        <w:rPr>
          <w:rFonts w:eastAsia="SimHei" w:hint="eastAsia"/>
          <w:bCs/>
        </w:rPr>
        <w:tab/>
      </w:r>
      <w:r>
        <w:rPr>
          <w:rFonts w:eastAsia="SimHei" w:hint="eastAsia"/>
          <w:bCs/>
        </w:rPr>
        <w:t>概论</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根据《关于政府公共信息透明度和获取途径的联邦法》建立数据库，以便进行数据查询。</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根据《联邦公共管理机构职业专业化服务法》中规定的条件和最终期限，完成职业专业化服务系统的开发并投入运作。</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继续对内部监督机构工作人员进行培训，以加强这些机构的新做法。</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促使公民进一步参与举报和起诉公务人员的违法行为。</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作为放松行政管制和简化行政程序方案的一部分，确认并解决联邦、地区、州和市政各级政府的无效管理问题。</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根据《国家财产总法》修改《公共管理机构各部门可移动物品管理及处置规则》，并在适当的时候予以批准，以使相关条例更加明确，并且简化对各部门中无用的可移动财产的处置。</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颁布关于公共部门采购、租赁和服务法律的新条例，建立将其适用于法律改革的相关机构。</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鼓励各部门和实体通过发布相关指南，制定计划以在不用外来评估的情况下确保遗产的安全。</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在坚持透明度和合法性的情况下，继续针对采购活动加强违法行为举报系统、雇用劳务和公共工程监督人员，并使违法行为进一步受到处罚。</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在债务和资产部全面引入质量控制系统，通过该系统并根据</w:t>
      </w:r>
      <w:r>
        <w:t>IS</w:t>
      </w:r>
      <w:r>
        <w:t>O 9000</w:t>
      </w:r>
      <w:r>
        <w:rPr>
          <w:rFonts w:hint="eastAsia"/>
        </w:rPr>
        <w:t>管理条例进行认证，以更加充分地发挥我们资源的效用，并大力改进我们的服务质量。</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为了保证我们在这些整合工作中取得成功，我们必须重视全球化的挑战，勇于承担必要的改革任务，解决该大陆的腐败问题，并在廉政和透明度两个方面做出联合承诺。</w:t>
      </w:r>
    </w:p>
    <w:p w:rsidR="00000000" w:rsidRDefault="00457650">
      <w:pPr>
        <w:pStyle w:val="Date"/>
        <w:widowControl/>
        <w:tabs>
          <w:tab w:val="left" w:pos="630"/>
        </w:tabs>
        <w:spacing w:after="240" w:line="340" w:lineRule="exact"/>
        <w:rPr>
          <w:rFonts w:eastAsia="SimHei" w:hint="eastAsia"/>
          <w:bCs/>
        </w:rPr>
      </w:pPr>
      <w:r>
        <w:rPr>
          <w:rFonts w:eastAsia="SimHei" w:hint="eastAsia"/>
          <w:bCs/>
        </w:rPr>
        <w:tab/>
      </w:r>
      <w:r>
        <w:rPr>
          <w:rFonts w:eastAsia="SimHei" w:hint="eastAsia"/>
          <w:bCs/>
        </w:rPr>
        <w:t>专业化政府部门</w:t>
      </w:r>
    </w:p>
    <w:p w:rsidR="00000000" w:rsidRDefault="00457650" w:rsidP="00457650">
      <w:pPr>
        <w:widowControl/>
        <w:numPr>
          <w:ilvl w:val="0"/>
          <w:numId w:val="1972"/>
        </w:numPr>
        <w:tabs>
          <w:tab w:val="clear" w:pos="900"/>
          <w:tab w:val="left" w:pos="1050"/>
        </w:tabs>
        <w:spacing w:after="240" w:line="340" w:lineRule="exact"/>
        <w:ind w:leftChars="300" w:left="31680"/>
        <w:rPr>
          <w:rFonts w:hint="eastAsia"/>
        </w:rPr>
      </w:pPr>
      <w:r>
        <w:rPr>
          <w:rFonts w:hint="eastAsia"/>
        </w:rPr>
        <w:t>已考虑制定和公布《</w:t>
      </w:r>
      <w:r>
        <w:t>2004</w:t>
      </w:r>
      <w:r>
        <w:rPr>
          <w:rFonts w:hint="eastAsia"/>
        </w:rPr>
        <w:t>－</w:t>
      </w:r>
      <w:r>
        <w:t>2006</w:t>
      </w:r>
      <w:r>
        <w:rPr>
          <w:rFonts w:hint="eastAsia"/>
        </w:rPr>
        <w:t>年职业公务员制度特别方案》，以建立并运作职业专业化公务员制度，协调各部门间的工作，并为</w:t>
      </w:r>
      <w:r>
        <w:t>SPC</w:t>
      </w:r>
      <w:r>
        <w:rPr>
          <w:rFonts w:hint="eastAsia"/>
        </w:rPr>
        <w:t>的引入提供指导。</w:t>
      </w:r>
    </w:p>
    <w:p w:rsidR="00000000" w:rsidRDefault="00457650" w:rsidP="00457650">
      <w:pPr>
        <w:widowControl/>
        <w:numPr>
          <w:ilvl w:val="0"/>
          <w:numId w:val="1972"/>
        </w:numPr>
        <w:tabs>
          <w:tab w:val="clear" w:pos="900"/>
          <w:tab w:val="left" w:pos="1050"/>
        </w:tabs>
        <w:spacing w:after="240" w:line="340" w:lineRule="exact"/>
        <w:ind w:leftChars="300" w:left="31680"/>
        <w:rPr>
          <w:rFonts w:hint="eastAsia"/>
        </w:rPr>
      </w:pPr>
      <w:r>
        <w:rPr>
          <w:rFonts w:hint="eastAsia"/>
        </w:rPr>
        <w:t>在公布规章条例之后，受该法制约的各部门和下属机构必须保证他们所有符合</w:t>
      </w:r>
      <w:r>
        <w:t>SPC</w:t>
      </w:r>
      <w:r>
        <w:rPr>
          <w:rFonts w:hint="eastAsia"/>
        </w:rPr>
        <w:t>的职位空缺都通过公共公开的竞争予以</w:t>
      </w:r>
      <w:r>
        <w:rPr>
          <w:rFonts w:hint="eastAsia"/>
        </w:rPr>
        <w:t>填补。为了实现这一点，准入子系必须在</w:t>
      </w:r>
      <w:r>
        <w:t>2004</w:t>
      </w:r>
      <w:r>
        <w:rPr>
          <w:rFonts w:hint="eastAsia"/>
        </w:rPr>
        <w:t>年以前启动。</w:t>
      </w:r>
    </w:p>
    <w:p w:rsidR="00000000" w:rsidRDefault="00457650" w:rsidP="00457650">
      <w:pPr>
        <w:widowControl/>
        <w:numPr>
          <w:ilvl w:val="0"/>
          <w:numId w:val="1972"/>
        </w:numPr>
        <w:tabs>
          <w:tab w:val="clear" w:pos="900"/>
          <w:tab w:val="left" w:pos="1050"/>
        </w:tabs>
        <w:spacing w:after="240" w:line="340" w:lineRule="exact"/>
        <w:ind w:leftChars="300" w:left="31680"/>
        <w:rPr>
          <w:rFonts w:hint="eastAsia"/>
        </w:rPr>
      </w:pPr>
      <w:r>
        <w:rPr>
          <w:rFonts w:hint="eastAsia"/>
        </w:rPr>
        <w:t>必须进行大量的工作，更新和管理职务登记，建立评估、监督和职业专业化制度透明度机制。在此情况下，业绩评估子系统的概念模式必须与制度目标的确立相一致。</w:t>
      </w:r>
    </w:p>
    <w:p w:rsidR="00000000" w:rsidRDefault="00457650" w:rsidP="00457650">
      <w:pPr>
        <w:widowControl/>
        <w:numPr>
          <w:ilvl w:val="0"/>
          <w:numId w:val="1972"/>
        </w:numPr>
        <w:tabs>
          <w:tab w:val="clear" w:pos="900"/>
          <w:tab w:val="left" w:pos="1050"/>
        </w:tabs>
        <w:spacing w:after="240" w:line="340" w:lineRule="exact"/>
        <w:ind w:leftChars="300" w:left="31680"/>
        <w:rPr>
          <w:rFonts w:hint="eastAsia"/>
        </w:rPr>
      </w:pPr>
      <w:r>
        <w:rPr>
          <w:rFonts w:hint="eastAsia"/>
        </w:rPr>
        <w:t>独立的子系统必须能够处理候选人就登记程序发生的争论，还应能酌情处理职业专业化公务员中存在的违法行为。</w:t>
      </w:r>
    </w:p>
    <w:p w:rsidR="00000000" w:rsidRDefault="00457650" w:rsidP="00457650">
      <w:pPr>
        <w:widowControl/>
        <w:numPr>
          <w:ilvl w:val="0"/>
          <w:numId w:val="1972"/>
        </w:numPr>
        <w:tabs>
          <w:tab w:val="clear" w:pos="900"/>
          <w:tab w:val="left" w:pos="1050"/>
        </w:tabs>
        <w:spacing w:after="240" w:line="340" w:lineRule="exact"/>
        <w:ind w:leftChars="300" w:left="31680"/>
        <w:rPr>
          <w:rFonts w:hint="eastAsia"/>
        </w:rPr>
      </w:pPr>
      <w:r>
        <w:rPr>
          <w:rFonts w:hint="eastAsia"/>
        </w:rPr>
        <w:t>到</w:t>
      </w:r>
      <w:r>
        <w:t>2005</w:t>
      </w:r>
      <w:r>
        <w:rPr>
          <w:rFonts w:hint="eastAsia"/>
        </w:rPr>
        <w:t>年，系统的完善必须侧重于一系列最基本的特性；例如，在人力资源规划领域，</w:t>
      </w:r>
      <w:r>
        <w:t>RUSP</w:t>
      </w:r>
      <w:r>
        <w:rPr>
          <w:rFonts w:hint="eastAsia"/>
        </w:rPr>
        <w:t>和职位登记，包括职位描述和简介都应具有充分的可操作性。</w:t>
      </w:r>
    </w:p>
    <w:p w:rsidR="00000000" w:rsidRDefault="00457650" w:rsidP="00457650">
      <w:pPr>
        <w:widowControl/>
        <w:numPr>
          <w:ilvl w:val="0"/>
          <w:numId w:val="1972"/>
        </w:numPr>
        <w:tabs>
          <w:tab w:val="clear" w:pos="900"/>
          <w:tab w:val="left" w:pos="1050"/>
        </w:tabs>
        <w:spacing w:after="240" w:line="340" w:lineRule="exact"/>
        <w:ind w:leftChars="300" w:left="31680"/>
        <w:rPr>
          <w:rFonts w:hint="eastAsia"/>
        </w:rPr>
      </w:pPr>
      <w:r>
        <w:rPr>
          <w:rFonts w:hint="eastAsia"/>
        </w:rPr>
        <w:t>最后，计划到</w:t>
      </w:r>
      <w:r>
        <w:t>2006</w:t>
      </w:r>
      <w:r>
        <w:rPr>
          <w:rFonts w:hint="eastAsia"/>
        </w:rPr>
        <w:t>年，使所有子系统都具有或随时具有充分的可</w:t>
      </w:r>
      <w:r>
        <w:rPr>
          <w:rFonts w:hint="eastAsia"/>
        </w:rPr>
        <w:t>操作性。</w:t>
      </w:r>
    </w:p>
    <w:p w:rsidR="00000000" w:rsidRDefault="00457650">
      <w:pPr>
        <w:keepNext/>
        <w:widowControl/>
        <w:tabs>
          <w:tab w:val="left" w:pos="630"/>
        </w:tabs>
        <w:spacing w:after="240" w:line="340" w:lineRule="exact"/>
        <w:rPr>
          <w:rFonts w:eastAsia="SimHei" w:hint="eastAsia"/>
          <w:bCs/>
        </w:rPr>
      </w:pPr>
      <w:r>
        <w:rPr>
          <w:rFonts w:eastAsia="SimHei"/>
          <w:bCs/>
        </w:rPr>
        <w:tab/>
      </w:r>
      <w:r>
        <w:rPr>
          <w:rFonts w:eastAsia="SimHei" w:hint="eastAsia"/>
          <w:bCs/>
        </w:rPr>
        <w:t>改进行政程序，提高政府素质</w:t>
      </w:r>
    </w:p>
    <w:p w:rsidR="00000000" w:rsidRDefault="00457650" w:rsidP="00457650">
      <w:pPr>
        <w:keepNext/>
        <w:widowControl/>
        <w:numPr>
          <w:ilvl w:val="0"/>
          <w:numId w:val="1972"/>
        </w:numPr>
        <w:tabs>
          <w:tab w:val="clear" w:pos="900"/>
          <w:tab w:val="left" w:pos="1050"/>
        </w:tabs>
        <w:spacing w:after="240" w:line="340" w:lineRule="exact"/>
        <w:ind w:leftChars="300" w:left="31680"/>
        <w:rPr>
          <w:rFonts w:hint="eastAsia"/>
        </w:rPr>
      </w:pPr>
      <w:r>
        <w:rPr>
          <w:rFonts w:hint="eastAsia"/>
        </w:rPr>
        <w:t>这一计划旨在简化和提高工作效率、改进并在可能的情况下取消发挥行政功效高级程序和服务系统，以及联邦政府内那些阻碍公司和公民生产力发展的程序。计划加强各个应用领域</w:t>
      </w:r>
      <w:r>
        <w:t>172</w:t>
      </w:r>
      <w:r>
        <w:rPr>
          <w:rFonts w:hint="eastAsia"/>
        </w:rPr>
        <w:t>项程序的行政质量。</w:t>
      </w:r>
    </w:p>
    <w:p w:rsidR="00000000" w:rsidRDefault="00457650" w:rsidP="00457650">
      <w:pPr>
        <w:widowControl/>
        <w:numPr>
          <w:ilvl w:val="0"/>
          <w:numId w:val="1972"/>
        </w:numPr>
        <w:tabs>
          <w:tab w:val="clear" w:pos="900"/>
          <w:tab w:val="left" w:pos="1050"/>
        </w:tabs>
        <w:spacing w:after="240" w:line="340" w:lineRule="exact"/>
        <w:ind w:leftChars="300" w:left="31680"/>
        <w:rPr>
          <w:rFonts w:hint="eastAsia"/>
        </w:rPr>
      </w:pPr>
      <w:r>
        <w:rPr>
          <w:rFonts w:hint="eastAsia"/>
        </w:rPr>
        <w:t>此外，还计划通过加强和简化规章及其操作和经营程序，提高四个发挥行政功效高级社会支助方案的效率。</w:t>
      </w:r>
    </w:p>
    <w:p w:rsidR="00000000" w:rsidRDefault="00457650">
      <w:pPr>
        <w:widowControl/>
        <w:tabs>
          <w:tab w:val="left" w:pos="630"/>
        </w:tabs>
        <w:spacing w:after="240" w:line="340" w:lineRule="exact"/>
        <w:rPr>
          <w:rFonts w:eastAsia="SimHei" w:hint="eastAsia"/>
          <w:bCs/>
        </w:rPr>
      </w:pPr>
      <w:r>
        <w:rPr>
          <w:rFonts w:eastAsia="SimHei" w:hint="eastAsia"/>
          <w:bCs/>
        </w:rPr>
        <w:tab/>
      </w:r>
      <w:r>
        <w:rPr>
          <w:rFonts w:eastAsia="SimHei" w:hint="eastAsia"/>
          <w:bCs/>
        </w:rPr>
        <w:t>数字化政府</w:t>
      </w:r>
    </w:p>
    <w:p w:rsidR="00000000" w:rsidRDefault="00457650" w:rsidP="00457650">
      <w:pPr>
        <w:widowControl/>
        <w:numPr>
          <w:ilvl w:val="0"/>
          <w:numId w:val="1972"/>
        </w:numPr>
        <w:tabs>
          <w:tab w:val="clear" w:pos="900"/>
          <w:tab w:val="left" w:pos="1050"/>
        </w:tabs>
        <w:spacing w:after="240" w:line="340" w:lineRule="exact"/>
        <w:ind w:leftChars="300" w:left="31680"/>
        <w:rPr>
          <w:rFonts w:hint="eastAsia"/>
        </w:rPr>
      </w:pPr>
      <w:r>
        <w:rPr>
          <w:rFonts w:hint="eastAsia"/>
        </w:rPr>
        <w:t>本计划的目的是为总共</w:t>
      </w:r>
      <w:r>
        <w:t>280</w:t>
      </w:r>
      <w:r>
        <w:rPr>
          <w:rFonts w:hint="eastAsia"/>
        </w:rPr>
        <w:t>项采购或公共工程单位适用招标程序创造条件，并为总共</w:t>
      </w:r>
      <w:r>
        <w:t>1500</w:t>
      </w:r>
      <w:r>
        <w:rPr>
          <w:rFonts w:hint="eastAsia"/>
        </w:rPr>
        <w:t>个供应商或承包商参加电子招标提供合格证明。</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b/>
        </w:rPr>
        <w:t>20</w:t>
      </w:r>
      <w:r>
        <w:rPr>
          <w:rFonts w:ascii="KaiTi_GB2312" w:eastAsia="KaiTi_GB2312" w:hint="eastAsia"/>
          <w:b/>
        </w:rPr>
        <w:t>.</w:t>
      </w:r>
      <w:r>
        <w:rPr>
          <w:rFonts w:ascii="KaiTi_GB2312" w:eastAsia="KaiTi_GB2312" w:hint="eastAsia"/>
          <w:b/>
        </w:rPr>
        <w:tab/>
      </w:r>
      <w:r>
        <w:rPr>
          <w:rFonts w:ascii="KaiTi_GB2312" w:eastAsia="KaiTi_GB2312" w:hint="eastAsia"/>
          <w:b/>
        </w:rPr>
        <w:t>尽管墨西哥整体经济指数积极增长，尤其是通货</w:t>
      </w:r>
      <w:r>
        <w:rPr>
          <w:rFonts w:ascii="KaiTi_GB2312" w:eastAsia="KaiTi_GB2312" w:hint="eastAsia"/>
          <w:b/>
        </w:rPr>
        <w:t>膨胀水平大幅下降，国家最低工资委员会仍然没有相应调整最低工资水平，委员会对此表示遗憾。目前，要落实官方确定的基础口粮篮大约需要五项最低工资标准，这不符合《公约》第</w:t>
      </w:r>
      <w:r>
        <w:rPr>
          <w:rFonts w:ascii="KaiTi_GB2312" w:eastAsia="KaiTi_GB2312"/>
          <w:b/>
        </w:rPr>
        <w:t>7</w:t>
      </w:r>
      <w:r>
        <w:rPr>
          <w:rFonts w:ascii="KaiTi_GB2312" w:eastAsia="KaiTi_GB2312" w:hint="eastAsia"/>
          <w:b/>
        </w:rPr>
        <w:t>条（</w:t>
      </w:r>
      <w:r>
        <w:rPr>
          <w:rFonts w:ascii="KaiTi_GB2312" w:eastAsia="KaiTi_GB2312"/>
          <w:b/>
        </w:rPr>
        <w:t>a</w:t>
      </w:r>
      <w:r>
        <w:rPr>
          <w:rFonts w:ascii="KaiTi_GB2312" w:eastAsia="KaiTi_GB2312" w:hint="eastAsia"/>
          <w:b/>
        </w:rPr>
        <w:t>）</w:t>
      </w:r>
      <w:r>
        <w:rPr>
          <w:rFonts w:ascii="KaiTi_GB2312" w:eastAsia="KaiTi_GB2312"/>
          <w:b/>
        </w:rPr>
        <w:t>(</w:t>
      </w:r>
      <w:r>
        <w:rPr>
          <w:rFonts w:ascii="KaiTi_GB2312" w:eastAsia="KaiTi_GB2312" w:hint="eastAsia"/>
          <w:b/>
        </w:rPr>
        <w:t>二</w:t>
      </w:r>
      <w:r>
        <w:rPr>
          <w:rFonts w:ascii="KaiTi_GB2312" w:eastAsia="KaiTi_GB2312"/>
          <w:b/>
        </w:rPr>
        <w:t>)</w:t>
      </w:r>
      <w:r>
        <w:rPr>
          <w:rFonts w:ascii="KaiTi_GB2312" w:eastAsia="KaiTi_GB2312" w:hint="eastAsia"/>
          <w:b/>
        </w:rPr>
        <w:t>的规定，这种情况反映在国家立法（《宪法》第</w:t>
      </w:r>
      <w:r>
        <w:rPr>
          <w:rFonts w:ascii="KaiTi_GB2312" w:eastAsia="KaiTi_GB2312"/>
          <w:b/>
        </w:rPr>
        <w:t>123</w:t>
      </w:r>
      <w:r>
        <w:rPr>
          <w:rFonts w:ascii="KaiTi_GB2312" w:eastAsia="KaiTi_GB2312" w:hint="eastAsia"/>
          <w:b/>
        </w:rPr>
        <w:t>条第</w:t>
      </w:r>
      <w:r>
        <w:rPr>
          <w:rFonts w:ascii="KaiTi_GB2312" w:eastAsia="KaiTi_GB2312" w:hint="eastAsia"/>
          <w:b/>
        </w:rPr>
        <w:t>6</w:t>
      </w:r>
      <w:r>
        <w:rPr>
          <w:rFonts w:ascii="KaiTi_GB2312" w:eastAsia="KaiTi_GB2312" w:hint="eastAsia"/>
          <w:b/>
        </w:rPr>
        <w:t>款）中。</w:t>
      </w:r>
    </w:p>
    <w:p w:rsidR="00000000" w:rsidRDefault="00457650">
      <w:pPr>
        <w:widowControl/>
        <w:tabs>
          <w:tab w:val="left" w:pos="630"/>
        </w:tabs>
        <w:spacing w:after="240" w:line="360" w:lineRule="exact"/>
        <w:rPr>
          <w:rFonts w:hint="eastAsia"/>
        </w:rPr>
      </w:pPr>
      <w:r>
        <w:t>1029</w:t>
      </w:r>
      <w:r>
        <w:rPr>
          <w:rFonts w:hint="eastAsia"/>
        </w:rPr>
        <w:t>.</w:t>
      </w:r>
      <w:r>
        <w:rPr>
          <w:rFonts w:hint="eastAsia"/>
        </w:rPr>
        <w:tab/>
      </w:r>
      <w:r>
        <w:rPr>
          <w:rFonts w:hint="eastAsia"/>
        </w:rPr>
        <w:t>最低工资已实际恢复了</w:t>
      </w:r>
      <w:r>
        <w:t>4.7%</w:t>
      </w:r>
      <w:r>
        <w:rPr>
          <w:rFonts w:hint="eastAsia"/>
        </w:rPr>
        <w:t>，不过，经济增长未达到预期的水平，也未能满足国家经济持续恢复的需要。以下是按地理区域分列的最低工资分布情况：</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5"/>
        <w:gridCol w:w="2345"/>
        <w:gridCol w:w="2345"/>
      </w:tblGrid>
      <w:tr w:rsidR="00000000">
        <w:tblPrEx>
          <w:tblCellMar>
            <w:top w:w="0" w:type="dxa"/>
            <w:bottom w:w="0" w:type="dxa"/>
          </w:tblCellMar>
        </w:tblPrEx>
        <w:trPr>
          <w:trHeight w:val="541"/>
          <w:jc w:val="center"/>
        </w:trPr>
        <w:tc>
          <w:tcPr>
            <w:tcW w:w="2345" w:type="dxa"/>
            <w:vAlign w:val="center"/>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hint="eastAsia"/>
                <w:sz w:val="18"/>
              </w:rPr>
              <w:t>地理区域</w:t>
            </w:r>
          </w:p>
        </w:tc>
        <w:tc>
          <w:tcPr>
            <w:tcW w:w="2345" w:type="dxa"/>
            <w:vAlign w:val="center"/>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hint="eastAsia"/>
                <w:sz w:val="18"/>
              </w:rPr>
              <w:t>六年的实际变化（</w:t>
            </w:r>
            <w:r>
              <w:rPr>
                <w:rFonts w:ascii="KaiTi_GB2312" w:eastAsia="KaiTi_GB2312"/>
                <w:sz w:val="18"/>
              </w:rPr>
              <w:t>%</w:t>
            </w:r>
            <w:r>
              <w:rPr>
                <w:rFonts w:ascii="KaiTi_GB2312" w:eastAsia="KaiTi_GB2312" w:hint="eastAsia"/>
                <w:sz w:val="18"/>
              </w:rPr>
              <w:t>）</w:t>
            </w:r>
          </w:p>
        </w:tc>
        <w:tc>
          <w:tcPr>
            <w:tcW w:w="2345" w:type="dxa"/>
            <w:vAlign w:val="center"/>
          </w:tcPr>
          <w:p w:rsidR="00000000" w:rsidRDefault="00457650">
            <w:pPr>
              <w:widowControl/>
              <w:tabs>
                <w:tab w:val="left" w:pos="630"/>
              </w:tabs>
              <w:spacing w:after="120" w:line="320" w:lineRule="exact"/>
              <w:jc w:val="center"/>
              <w:rPr>
                <w:rFonts w:ascii="KaiTi_GB2312" w:eastAsia="KaiTi_GB2312" w:hint="eastAsia"/>
                <w:sz w:val="18"/>
              </w:rPr>
            </w:pPr>
            <w:r>
              <w:rPr>
                <w:rFonts w:ascii="KaiTi_GB2312" w:eastAsia="KaiTi_GB2312" w:hint="eastAsia"/>
                <w:sz w:val="18"/>
              </w:rPr>
              <w:t>最低收入的工薪层</w:t>
            </w:r>
            <w:r>
              <w:rPr>
                <w:rFonts w:ascii="KaiTi_GB2312" w:eastAsia="KaiTi_GB2312"/>
                <w:sz w:val="18"/>
              </w:rPr>
              <w:br/>
            </w:r>
            <w:r>
              <w:rPr>
                <w:rFonts w:ascii="KaiTi_GB2312" w:eastAsia="KaiTi_GB2312" w:hint="eastAsia"/>
                <w:sz w:val="18"/>
              </w:rPr>
              <w:t>（百分比结构）</w:t>
            </w:r>
          </w:p>
        </w:tc>
      </w:tr>
      <w:tr w:rsidR="00000000">
        <w:tblPrEx>
          <w:tblCellMar>
            <w:top w:w="0" w:type="dxa"/>
            <w:bottom w:w="0" w:type="dxa"/>
          </w:tblCellMar>
        </w:tblPrEx>
        <w:trPr>
          <w:trHeight w:val="541"/>
          <w:jc w:val="center"/>
        </w:trPr>
        <w:tc>
          <w:tcPr>
            <w:tcW w:w="2345" w:type="dxa"/>
          </w:tcPr>
          <w:p w:rsidR="00000000" w:rsidRDefault="00457650">
            <w:pPr>
              <w:widowControl/>
              <w:tabs>
                <w:tab w:val="left" w:pos="630"/>
              </w:tabs>
              <w:spacing w:after="120" w:line="320" w:lineRule="exact"/>
              <w:jc w:val="center"/>
              <w:rPr>
                <w:rFonts w:hint="eastAsia"/>
                <w:sz w:val="18"/>
              </w:rPr>
            </w:pPr>
            <w:r>
              <w:rPr>
                <w:rFonts w:hint="eastAsia"/>
                <w:sz w:val="18"/>
                <w:lang w:val="en-GB"/>
              </w:rPr>
              <w:t>“</w:t>
            </w:r>
            <w:r>
              <w:rPr>
                <w:sz w:val="18"/>
              </w:rPr>
              <w:t>A</w:t>
            </w:r>
            <w:r>
              <w:rPr>
                <w:rFonts w:hint="eastAsia"/>
                <w:sz w:val="18"/>
                <w:lang w:val="en-GB"/>
              </w:rPr>
              <w:t>”</w:t>
            </w:r>
          </w:p>
        </w:tc>
        <w:tc>
          <w:tcPr>
            <w:tcW w:w="2345" w:type="dxa"/>
          </w:tcPr>
          <w:p w:rsidR="00000000" w:rsidRDefault="00457650">
            <w:pPr>
              <w:widowControl/>
              <w:tabs>
                <w:tab w:val="left" w:pos="630"/>
              </w:tabs>
              <w:spacing w:after="120" w:line="320" w:lineRule="exact"/>
              <w:jc w:val="center"/>
              <w:rPr>
                <w:rFonts w:hint="eastAsia"/>
                <w:sz w:val="18"/>
              </w:rPr>
            </w:pPr>
            <w:r>
              <w:rPr>
                <w:sz w:val="18"/>
              </w:rPr>
              <w:t>1.3</w:t>
            </w:r>
          </w:p>
        </w:tc>
        <w:tc>
          <w:tcPr>
            <w:tcW w:w="2345" w:type="dxa"/>
          </w:tcPr>
          <w:p w:rsidR="00000000" w:rsidRDefault="00457650">
            <w:pPr>
              <w:widowControl/>
              <w:tabs>
                <w:tab w:val="left" w:pos="630"/>
              </w:tabs>
              <w:spacing w:after="120" w:line="320" w:lineRule="exact"/>
              <w:jc w:val="center"/>
              <w:rPr>
                <w:rFonts w:hint="eastAsia"/>
                <w:sz w:val="18"/>
              </w:rPr>
            </w:pPr>
            <w:r>
              <w:rPr>
                <w:sz w:val="18"/>
              </w:rPr>
              <w:t>37.7</w:t>
            </w:r>
          </w:p>
        </w:tc>
      </w:tr>
      <w:tr w:rsidR="00000000">
        <w:tblPrEx>
          <w:tblCellMar>
            <w:top w:w="0" w:type="dxa"/>
            <w:bottom w:w="0" w:type="dxa"/>
          </w:tblCellMar>
        </w:tblPrEx>
        <w:trPr>
          <w:trHeight w:val="541"/>
          <w:jc w:val="center"/>
        </w:trPr>
        <w:tc>
          <w:tcPr>
            <w:tcW w:w="2345" w:type="dxa"/>
          </w:tcPr>
          <w:p w:rsidR="00000000" w:rsidRDefault="00457650">
            <w:pPr>
              <w:widowControl/>
              <w:tabs>
                <w:tab w:val="left" w:pos="630"/>
              </w:tabs>
              <w:spacing w:after="120" w:line="320" w:lineRule="exact"/>
              <w:jc w:val="center"/>
              <w:rPr>
                <w:rFonts w:hint="eastAsia"/>
                <w:sz w:val="18"/>
              </w:rPr>
            </w:pPr>
            <w:r>
              <w:rPr>
                <w:rFonts w:hint="eastAsia"/>
                <w:sz w:val="18"/>
                <w:lang w:val="en-GB"/>
              </w:rPr>
              <w:t>“</w:t>
            </w:r>
            <w:r>
              <w:rPr>
                <w:sz w:val="18"/>
              </w:rPr>
              <w:t>B</w:t>
            </w:r>
            <w:r>
              <w:rPr>
                <w:rFonts w:hint="eastAsia"/>
                <w:sz w:val="18"/>
                <w:lang w:val="en-GB"/>
              </w:rPr>
              <w:t>”</w:t>
            </w:r>
          </w:p>
        </w:tc>
        <w:tc>
          <w:tcPr>
            <w:tcW w:w="2345" w:type="dxa"/>
          </w:tcPr>
          <w:p w:rsidR="00000000" w:rsidRDefault="00457650">
            <w:pPr>
              <w:widowControl/>
              <w:tabs>
                <w:tab w:val="left" w:pos="630"/>
              </w:tabs>
              <w:spacing w:after="120" w:line="320" w:lineRule="exact"/>
              <w:jc w:val="center"/>
              <w:rPr>
                <w:rFonts w:hint="eastAsia"/>
                <w:sz w:val="18"/>
              </w:rPr>
            </w:pPr>
            <w:r>
              <w:rPr>
                <w:sz w:val="18"/>
              </w:rPr>
              <w:t>5.8</w:t>
            </w:r>
          </w:p>
        </w:tc>
        <w:tc>
          <w:tcPr>
            <w:tcW w:w="2345" w:type="dxa"/>
          </w:tcPr>
          <w:p w:rsidR="00000000" w:rsidRDefault="00457650">
            <w:pPr>
              <w:widowControl/>
              <w:tabs>
                <w:tab w:val="left" w:pos="630"/>
              </w:tabs>
              <w:spacing w:after="120" w:line="320" w:lineRule="exact"/>
              <w:jc w:val="center"/>
              <w:rPr>
                <w:rFonts w:hint="eastAsia"/>
                <w:sz w:val="18"/>
              </w:rPr>
            </w:pPr>
            <w:r>
              <w:rPr>
                <w:sz w:val="18"/>
              </w:rPr>
              <w:t>13.3</w:t>
            </w:r>
          </w:p>
        </w:tc>
      </w:tr>
      <w:tr w:rsidR="00000000">
        <w:tblPrEx>
          <w:tblCellMar>
            <w:top w:w="0" w:type="dxa"/>
            <w:bottom w:w="0" w:type="dxa"/>
          </w:tblCellMar>
        </w:tblPrEx>
        <w:trPr>
          <w:trHeight w:val="541"/>
          <w:jc w:val="center"/>
        </w:trPr>
        <w:tc>
          <w:tcPr>
            <w:tcW w:w="2345" w:type="dxa"/>
          </w:tcPr>
          <w:p w:rsidR="00000000" w:rsidRDefault="00457650">
            <w:pPr>
              <w:widowControl/>
              <w:tabs>
                <w:tab w:val="left" w:pos="630"/>
              </w:tabs>
              <w:spacing w:after="120" w:line="320" w:lineRule="exact"/>
              <w:jc w:val="center"/>
              <w:rPr>
                <w:rFonts w:hint="eastAsia"/>
                <w:sz w:val="18"/>
              </w:rPr>
            </w:pPr>
            <w:r>
              <w:rPr>
                <w:rFonts w:hint="eastAsia"/>
                <w:sz w:val="18"/>
              </w:rPr>
              <w:t>“</w:t>
            </w:r>
            <w:r>
              <w:rPr>
                <w:sz w:val="18"/>
              </w:rPr>
              <w:t>C</w:t>
            </w:r>
            <w:r>
              <w:rPr>
                <w:rFonts w:hint="eastAsia"/>
                <w:sz w:val="18"/>
              </w:rPr>
              <w:t>”</w:t>
            </w:r>
          </w:p>
        </w:tc>
        <w:tc>
          <w:tcPr>
            <w:tcW w:w="2345" w:type="dxa"/>
          </w:tcPr>
          <w:p w:rsidR="00000000" w:rsidRDefault="00457650">
            <w:pPr>
              <w:widowControl/>
              <w:tabs>
                <w:tab w:val="left" w:pos="630"/>
              </w:tabs>
              <w:spacing w:after="120" w:line="320" w:lineRule="exact"/>
              <w:jc w:val="center"/>
              <w:rPr>
                <w:rFonts w:hint="eastAsia"/>
                <w:sz w:val="18"/>
              </w:rPr>
            </w:pPr>
            <w:r>
              <w:rPr>
                <w:sz w:val="18"/>
              </w:rPr>
              <w:t>9.3</w:t>
            </w:r>
          </w:p>
        </w:tc>
        <w:tc>
          <w:tcPr>
            <w:tcW w:w="2345" w:type="dxa"/>
          </w:tcPr>
          <w:p w:rsidR="00000000" w:rsidRDefault="00457650">
            <w:pPr>
              <w:widowControl/>
              <w:tabs>
                <w:tab w:val="left" w:pos="630"/>
              </w:tabs>
              <w:spacing w:after="120" w:line="320" w:lineRule="exact"/>
              <w:jc w:val="center"/>
              <w:rPr>
                <w:rFonts w:hint="eastAsia"/>
                <w:sz w:val="18"/>
              </w:rPr>
            </w:pPr>
            <w:r>
              <w:rPr>
                <w:sz w:val="18"/>
              </w:rPr>
              <w:t>49.0</w:t>
            </w:r>
          </w:p>
        </w:tc>
      </w:tr>
    </w:tbl>
    <w:p w:rsidR="00000000" w:rsidRDefault="00457650">
      <w:pPr>
        <w:pStyle w:val="Date"/>
        <w:widowControl/>
        <w:tabs>
          <w:tab w:val="left" w:pos="630"/>
        </w:tabs>
        <w:spacing w:line="360" w:lineRule="exact"/>
        <w:rPr>
          <w:rFonts w:hint="eastAsia"/>
        </w:rPr>
      </w:pPr>
    </w:p>
    <w:p w:rsidR="00000000" w:rsidRDefault="00457650">
      <w:pPr>
        <w:widowControl/>
        <w:tabs>
          <w:tab w:val="left" w:pos="630"/>
        </w:tabs>
        <w:spacing w:after="240" w:line="360" w:lineRule="exact"/>
        <w:rPr>
          <w:rFonts w:hint="eastAsia"/>
        </w:rPr>
      </w:pPr>
      <w:r>
        <w:t>1030.</w:t>
      </w:r>
      <w:r>
        <w:tab/>
      </w:r>
      <w:r>
        <w:rPr>
          <w:rFonts w:hint="eastAsia"/>
        </w:rPr>
        <w:t>正如所预计的，经济业绩一直不佳，不过，通货膨胀持续下降，当前政府已经能够实现最低薪资购买力的逐渐恢复，此前四届政府都未能取得如此成就。</w:t>
      </w:r>
    </w:p>
    <w:p w:rsidR="00000000" w:rsidRDefault="00457650">
      <w:pPr>
        <w:widowControl/>
        <w:tabs>
          <w:tab w:val="left" w:pos="630"/>
        </w:tabs>
        <w:spacing w:after="240" w:line="360" w:lineRule="exact"/>
        <w:rPr>
          <w:rFonts w:hint="eastAsia"/>
        </w:rPr>
      </w:pPr>
      <w:r>
        <w:t>1031</w:t>
      </w:r>
      <w:r>
        <w:rPr>
          <w:rFonts w:hint="eastAsia"/>
        </w:rPr>
        <w:t>.</w:t>
      </w:r>
      <w:r>
        <w:rPr>
          <w:rFonts w:hint="eastAsia"/>
        </w:rPr>
        <w:tab/>
      </w:r>
      <w:r>
        <w:rPr>
          <w:rFonts w:hint="eastAsia"/>
        </w:rPr>
        <w:t>应该指出的是，国家最低工资委员会已经采取措施降低国内薪资差别，以便增加工人现有的收入。在这种情况下，墨西哥合众国为了适用最低薪资做法划分为三个地理区域，委员会代表理事会已经不同程度地增加了这三个区域的最低薪酬。</w:t>
      </w:r>
    </w:p>
    <w:p w:rsidR="00000000" w:rsidRDefault="00457650">
      <w:pPr>
        <w:widowControl/>
        <w:tabs>
          <w:tab w:val="left" w:pos="630"/>
        </w:tabs>
        <w:spacing w:after="240" w:line="360" w:lineRule="exact"/>
        <w:rPr>
          <w:rFonts w:hint="eastAsia"/>
        </w:rPr>
      </w:pPr>
      <w:r>
        <w:t>1032</w:t>
      </w:r>
      <w:r>
        <w:rPr>
          <w:rFonts w:hint="eastAsia"/>
        </w:rPr>
        <w:t>.</w:t>
      </w:r>
      <w:r>
        <w:rPr>
          <w:rFonts w:hint="eastAsia"/>
        </w:rPr>
        <w:tab/>
      </w:r>
      <w:r>
        <w:rPr>
          <w:rFonts w:hint="eastAsia"/>
        </w:rPr>
        <w:t>作为上述做法的一种结果，以及为了继续推进在全国逐步统一最低一般薪资的进程，代表理事会决定将地理</w:t>
      </w:r>
      <w:r>
        <w:rPr>
          <w:rFonts w:hint="eastAsia"/>
        </w:rPr>
        <w:t>区域“</w:t>
      </w:r>
      <w:r>
        <w:t>A</w:t>
      </w:r>
      <w:r>
        <w:rPr>
          <w:rFonts w:hint="eastAsia"/>
        </w:rPr>
        <w:t>”和“</w:t>
      </w:r>
      <w:r>
        <w:t>B</w:t>
      </w:r>
      <w:r>
        <w:rPr>
          <w:rFonts w:hint="eastAsia"/>
        </w:rPr>
        <w:t>”之间的有效最低收入差别从</w:t>
      </w:r>
      <w:r>
        <w:t>4.3%</w:t>
      </w:r>
      <w:r>
        <w:rPr>
          <w:rFonts w:hint="eastAsia"/>
        </w:rPr>
        <w:t>减少到</w:t>
      </w:r>
      <w:r>
        <w:t>3.45%</w:t>
      </w:r>
      <w:r>
        <w:rPr>
          <w:rFonts w:hint="eastAsia"/>
        </w:rPr>
        <w:t>，“</w:t>
      </w:r>
      <w:r>
        <w:t>A</w:t>
      </w:r>
      <w:r>
        <w:rPr>
          <w:rFonts w:hint="eastAsia"/>
        </w:rPr>
        <w:t>”和“</w:t>
      </w:r>
      <w:r>
        <w:t>C</w:t>
      </w:r>
      <w:r>
        <w:rPr>
          <w:rFonts w:hint="eastAsia"/>
        </w:rPr>
        <w:t>”之间从</w:t>
      </w:r>
      <w:r>
        <w:t>8.31%</w:t>
      </w:r>
      <w:r>
        <w:rPr>
          <w:rFonts w:hint="eastAsia"/>
        </w:rPr>
        <w:t>减少到</w:t>
      </w:r>
      <w:r>
        <w:t>7.43%</w:t>
      </w:r>
      <w:r>
        <w:rPr>
          <w:rFonts w:hint="eastAsia"/>
        </w:rPr>
        <w:t>。</w:t>
      </w:r>
    </w:p>
    <w:p w:rsidR="00000000" w:rsidRDefault="00457650">
      <w:pPr>
        <w:widowControl/>
        <w:tabs>
          <w:tab w:val="left" w:pos="630"/>
        </w:tabs>
        <w:spacing w:after="240" w:line="360" w:lineRule="exact"/>
        <w:rPr>
          <w:rFonts w:hint="eastAsia"/>
        </w:rPr>
      </w:pPr>
      <w:r>
        <w:t>1033</w:t>
      </w:r>
      <w:r>
        <w:rPr>
          <w:rFonts w:hint="eastAsia"/>
        </w:rPr>
        <w:t>.</w:t>
      </w:r>
      <w:r>
        <w:rPr>
          <w:rFonts w:hint="eastAsia"/>
        </w:rPr>
        <w:tab/>
      </w:r>
      <w:r>
        <w:rPr>
          <w:rFonts w:hint="eastAsia"/>
        </w:rPr>
        <w:t>通过这一进程，本届政府有可能将地理区域“</w:t>
      </w:r>
      <w:r>
        <w:t>A</w:t>
      </w:r>
      <w:r>
        <w:rPr>
          <w:rFonts w:hint="eastAsia"/>
        </w:rPr>
        <w:t>”和“</w:t>
      </w:r>
      <w:r>
        <w:t>C</w:t>
      </w:r>
      <w:r>
        <w:rPr>
          <w:rFonts w:hint="eastAsia"/>
        </w:rPr>
        <w:t>”之间的差距减少</w:t>
      </w:r>
      <w:r>
        <w:t>8.47</w:t>
      </w:r>
      <w:r>
        <w:rPr>
          <w:rFonts w:hint="eastAsia"/>
        </w:rPr>
        <w:t>个百分点，从</w:t>
      </w:r>
      <w:r>
        <w:t>2000</w:t>
      </w:r>
      <w:r>
        <w:rPr>
          <w:rFonts w:hint="eastAsia"/>
        </w:rPr>
        <w:t>年的</w:t>
      </w:r>
      <w:r>
        <w:t>15.9%</w:t>
      </w:r>
      <w:r>
        <w:rPr>
          <w:rFonts w:hint="eastAsia"/>
        </w:rPr>
        <w:t>减少到</w:t>
      </w:r>
      <w:r>
        <w:t>2004</w:t>
      </w:r>
      <w:r>
        <w:rPr>
          <w:rFonts w:hint="eastAsia"/>
        </w:rPr>
        <w:t>年的</w:t>
      </w:r>
      <w:r>
        <w:t>7.43%</w:t>
      </w:r>
      <w:r>
        <w:rPr>
          <w:rFonts w:hint="eastAsia"/>
        </w:rPr>
        <w:t>；而地理区域“</w:t>
      </w:r>
      <w:r>
        <w:t>A</w:t>
      </w:r>
      <w:r>
        <w:rPr>
          <w:rFonts w:hint="eastAsia"/>
        </w:rPr>
        <w:t>”和“</w:t>
      </w:r>
      <w:r>
        <w:t>B</w:t>
      </w:r>
      <w:r>
        <w:rPr>
          <w:rFonts w:hint="eastAsia"/>
        </w:rPr>
        <w:t>”之间的差距减少</w:t>
      </w:r>
      <w:r>
        <w:t>4.52</w:t>
      </w:r>
      <w:r>
        <w:rPr>
          <w:rFonts w:hint="eastAsia"/>
        </w:rPr>
        <w:t>个百分点，从</w:t>
      </w:r>
      <w:r>
        <w:t>2000</w:t>
      </w:r>
      <w:r>
        <w:rPr>
          <w:rFonts w:hint="eastAsia"/>
        </w:rPr>
        <w:t>年的</w:t>
      </w:r>
      <w:r>
        <w:t>7.98%</w:t>
      </w:r>
      <w:r>
        <w:rPr>
          <w:rFonts w:hint="eastAsia"/>
        </w:rPr>
        <w:t>减少到</w:t>
      </w:r>
      <w:r>
        <w:t>2004</w:t>
      </w:r>
      <w:r>
        <w:rPr>
          <w:rFonts w:hint="eastAsia"/>
        </w:rPr>
        <w:t>年的</w:t>
      </w:r>
      <w:r>
        <w:t>3.45%</w:t>
      </w:r>
      <w:r>
        <w:rPr>
          <w:rFonts w:hint="eastAsia"/>
        </w:rPr>
        <w:t>。</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b/>
        </w:rPr>
        <w:t>21</w:t>
      </w:r>
      <w:r>
        <w:rPr>
          <w:rFonts w:ascii="KaiTi_GB2312" w:eastAsia="KaiTi_GB2312" w:hint="eastAsia"/>
          <w:b/>
        </w:rPr>
        <w:t>.</w:t>
      </w:r>
      <w:r>
        <w:rPr>
          <w:rFonts w:ascii="KaiTi_GB2312" w:eastAsia="KaiTi_GB2312" w:hint="eastAsia"/>
          <w:b/>
        </w:rPr>
        <w:tab/>
      </w:r>
      <w:r>
        <w:rPr>
          <w:rFonts w:ascii="KaiTi_GB2312" w:eastAsia="KaiTi_GB2312" w:hint="eastAsia"/>
          <w:b/>
        </w:rPr>
        <w:t>委员会十分关心边境加工业女性工人的情况，她们中的一些人在招工和工作期间接受了怀孕检查，并且一旦发现怀孕就会被解雇。</w:t>
      </w:r>
    </w:p>
    <w:p w:rsidR="00000000" w:rsidRDefault="00457650">
      <w:pPr>
        <w:widowControl/>
        <w:tabs>
          <w:tab w:val="left" w:pos="630"/>
        </w:tabs>
        <w:spacing w:after="240" w:line="360" w:lineRule="exact"/>
        <w:rPr>
          <w:rFonts w:hint="eastAsia"/>
        </w:rPr>
      </w:pPr>
      <w:r>
        <w:t>103</w:t>
      </w:r>
      <w:r>
        <w:rPr>
          <w:rFonts w:hint="eastAsia"/>
        </w:rPr>
        <w:t>4</w:t>
      </w:r>
      <w:r>
        <w:rPr>
          <w:rFonts w:hint="eastAsia"/>
        </w:rPr>
        <w:t>.</w:t>
      </w:r>
      <w:r>
        <w:rPr>
          <w:rFonts w:hint="eastAsia"/>
        </w:rPr>
        <w:tab/>
      </w:r>
      <w:r>
        <w:rPr>
          <w:rFonts w:hint="eastAsia"/>
        </w:rPr>
        <w:t>在劳务问题上，劳工和社会福利部正在开展一项长期性的活动，以消除在工作场所，以及与性别有关的培训中对妇女的歧视。以下是这项积极行动的一些方面：</w:t>
      </w:r>
    </w:p>
    <w:p w:rsidR="00000000" w:rsidRDefault="00457650" w:rsidP="00457650">
      <w:pPr>
        <w:widowControl/>
        <w:tabs>
          <w:tab w:val="left" w:pos="630"/>
        </w:tabs>
        <w:spacing w:after="240" w:line="360" w:lineRule="exact"/>
        <w:ind w:leftChars="250" w:left="31680" w:hangingChars="250" w:firstLine="31680"/>
        <w:rPr>
          <w:rFonts w:hint="eastAsia"/>
        </w:rPr>
      </w:pPr>
      <w:r>
        <w:rPr>
          <w:rFonts w:hint="eastAsia"/>
        </w:rPr>
        <w:t>（</w:t>
      </w:r>
      <w:r>
        <w:rPr>
          <w:rFonts w:hint="eastAsia"/>
        </w:rPr>
        <w:t>1</w:t>
      </w:r>
      <w:r>
        <w:rPr>
          <w:rFonts w:hint="eastAsia"/>
        </w:rPr>
        <w:t>）与各种公司、州政府和妇女协会签署了</w:t>
      </w:r>
      <w:r>
        <w:t>13</w:t>
      </w:r>
      <w:r>
        <w:rPr>
          <w:rFonts w:hint="eastAsia"/>
        </w:rPr>
        <w:t>项协议，禁止在求职时要求提供未孕证明，并就家庭责任和工作场所母乳喂养做了规定；</w:t>
      </w:r>
    </w:p>
    <w:p w:rsidR="00000000" w:rsidRDefault="00457650" w:rsidP="00457650">
      <w:pPr>
        <w:widowControl/>
        <w:tabs>
          <w:tab w:val="left" w:pos="630"/>
        </w:tabs>
        <w:spacing w:after="240" w:line="360" w:lineRule="exact"/>
        <w:ind w:leftChars="250" w:left="31680" w:hangingChars="250" w:firstLine="31680"/>
        <w:rPr>
          <w:rFonts w:hint="eastAsia"/>
        </w:rPr>
      </w:pPr>
      <w:r>
        <w:rPr>
          <w:rFonts w:hint="eastAsia"/>
        </w:rPr>
        <w:t>（</w:t>
      </w:r>
      <w:r>
        <w:rPr>
          <w:rFonts w:hint="eastAsia"/>
        </w:rPr>
        <w:t>2</w:t>
      </w:r>
      <w:r>
        <w:rPr>
          <w:rFonts w:hint="eastAsia"/>
        </w:rPr>
        <w:t>）通过现场广播、海报、权力和义务宪章等宣传妇女的劳动权利；</w:t>
      </w:r>
    </w:p>
    <w:p w:rsidR="00000000" w:rsidRDefault="00457650" w:rsidP="00457650">
      <w:pPr>
        <w:widowControl/>
        <w:tabs>
          <w:tab w:val="left" w:pos="630"/>
        </w:tabs>
        <w:spacing w:after="240" w:line="360" w:lineRule="exact"/>
        <w:ind w:leftChars="250" w:left="31680" w:hangingChars="250" w:firstLine="31680"/>
        <w:rPr>
          <w:rFonts w:hint="eastAsia"/>
        </w:rPr>
      </w:pPr>
      <w:r>
        <w:rPr>
          <w:rFonts w:hint="eastAsia"/>
        </w:rPr>
        <w:t>（</w:t>
      </w:r>
      <w:r>
        <w:rPr>
          <w:rFonts w:hint="eastAsia"/>
        </w:rPr>
        <w:t>3</w:t>
      </w:r>
      <w:r>
        <w:rPr>
          <w:rFonts w:hint="eastAsia"/>
        </w:rPr>
        <w:t>）开展了两项活动：首先是全国职业女性聚会，产妇保护：提倡性别平等的工联主义，以及反对工作场所的性骚扰和暴力。</w:t>
      </w:r>
    </w:p>
    <w:p w:rsidR="00000000" w:rsidRDefault="00457650">
      <w:pPr>
        <w:widowControl/>
        <w:tabs>
          <w:tab w:val="left" w:pos="630"/>
        </w:tabs>
        <w:spacing w:after="240" w:line="360" w:lineRule="exact"/>
        <w:rPr>
          <w:rFonts w:hint="eastAsia"/>
        </w:rPr>
      </w:pPr>
      <w:r>
        <w:t>1035</w:t>
      </w:r>
      <w:r>
        <w:rPr>
          <w:rFonts w:hint="eastAsia"/>
        </w:rPr>
        <w:t>.</w:t>
      </w:r>
      <w:r>
        <w:rPr>
          <w:rFonts w:hint="eastAsia"/>
        </w:rPr>
        <w:tab/>
      </w:r>
      <w:r>
        <w:rPr>
          <w:rFonts w:hint="eastAsia"/>
        </w:rPr>
        <w:t>与此同时，对《墨西哥合众国宪法》劳动保护条款的改革正</w:t>
      </w:r>
      <w:r>
        <w:rPr>
          <w:rFonts w:hint="eastAsia"/>
        </w:rPr>
        <w:t>等待批准。另外，为了禁止雇用者或老板要求女性提供未孕证明作为聘用前提条件的做法，还要对《社会保险法》和《联邦劳动法》进行改革。</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b/>
        </w:rPr>
        <w:t>22</w:t>
      </w:r>
      <w:r>
        <w:rPr>
          <w:rFonts w:ascii="KaiTi_GB2312" w:eastAsia="KaiTi_GB2312" w:hint="eastAsia"/>
          <w:b/>
        </w:rPr>
        <w:t>.</w:t>
      </w:r>
      <w:r>
        <w:rPr>
          <w:rFonts w:ascii="KaiTi_GB2312" w:eastAsia="KaiTi_GB2312" w:hint="eastAsia"/>
          <w:b/>
        </w:rPr>
        <w:tab/>
      </w:r>
      <w:r>
        <w:rPr>
          <w:rFonts w:ascii="KaiTi_GB2312" w:eastAsia="KaiTi_GB2312" w:hint="eastAsia"/>
          <w:b/>
        </w:rPr>
        <w:t>令委员会遗憾的是，缔约国没有做出承诺，提高</w:t>
      </w:r>
      <w:r>
        <w:rPr>
          <w:rFonts w:ascii="KaiTi_GB2312" w:eastAsia="KaiTi_GB2312"/>
          <w:b/>
        </w:rPr>
        <w:t>14</w:t>
      </w:r>
      <w:r>
        <w:rPr>
          <w:rFonts w:ascii="KaiTi_GB2312" w:eastAsia="KaiTi_GB2312" w:hint="eastAsia"/>
          <w:b/>
        </w:rPr>
        <w:t>-</w:t>
      </w:r>
      <w:r>
        <w:rPr>
          <w:rFonts w:ascii="KaiTi_GB2312" w:eastAsia="KaiTi_GB2312"/>
          <w:b/>
        </w:rPr>
        <w:t>16</w:t>
      </w:r>
      <w:r>
        <w:rPr>
          <w:rFonts w:ascii="KaiTi_GB2312" w:eastAsia="KaiTi_GB2312" w:hint="eastAsia"/>
          <w:b/>
        </w:rPr>
        <w:t>岁儿童最低工作年龄的承诺，因为</w:t>
      </w:r>
      <w:r>
        <w:rPr>
          <w:rFonts w:ascii="KaiTi_GB2312" w:eastAsia="KaiTi_GB2312"/>
          <w:b/>
        </w:rPr>
        <w:t>16</w:t>
      </w:r>
      <w:r>
        <w:rPr>
          <w:rFonts w:ascii="KaiTi_GB2312" w:eastAsia="KaiTi_GB2312" w:hint="eastAsia"/>
          <w:b/>
        </w:rPr>
        <w:t>岁通常是完成基础教育的年龄。</w:t>
      </w:r>
    </w:p>
    <w:p w:rsidR="00000000" w:rsidRDefault="00457650">
      <w:pPr>
        <w:widowControl/>
        <w:tabs>
          <w:tab w:val="left" w:pos="630"/>
        </w:tabs>
        <w:spacing w:after="240" w:line="360" w:lineRule="exact"/>
        <w:rPr>
          <w:rFonts w:hint="eastAsia"/>
        </w:rPr>
      </w:pPr>
      <w:r>
        <w:t>1036</w:t>
      </w:r>
      <w:r>
        <w:rPr>
          <w:rFonts w:hint="eastAsia"/>
        </w:rPr>
        <w:t>.</w:t>
      </w:r>
      <w:r>
        <w:rPr>
          <w:rFonts w:hint="eastAsia"/>
        </w:rPr>
        <w:tab/>
      </w:r>
      <w:r>
        <w:t>2000</w:t>
      </w:r>
      <w:r>
        <w:rPr>
          <w:rFonts w:hint="eastAsia"/>
        </w:rPr>
        <w:t>年对《宪法》第</w:t>
      </w:r>
      <w:r>
        <w:t>4</w:t>
      </w:r>
      <w:r>
        <w:rPr>
          <w:rFonts w:hint="eastAsia"/>
        </w:rPr>
        <w:t>条进行了改革，以维持《墨西哥宪法》中对儿童权利的尊重和保护。该条经改革后规定，“父母有责任保护未成年人满足自身需求以及生理和心理健康的权利。法律应该明确在公共机构负责下，对保护未成年人所提供的援助。”</w:t>
      </w:r>
    </w:p>
    <w:p w:rsidR="00000000" w:rsidRDefault="00457650">
      <w:pPr>
        <w:widowControl/>
        <w:tabs>
          <w:tab w:val="left" w:pos="630"/>
        </w:tabs>
        <w:spacing w:after="240" w:line="360" w:lineRule="exact"/>
        <w:rPr>
          <w:rFonts w:hint="eastAsia"/>
        </w:rPr>
      </w:pPr>
      <w:r>
        <w:t>1037</w:t>
      </w:r>
      <w:r>
        <w:rPr>
          <w:rFonts w:hint="eastAsia"/>
        </w:rPr>
        <w:t>.</w:t>
      </w:r>
      <w:r>
        <w:rPr>
          <w:rFonts w:hint="eastAsia"/>
        </w:rPr>
        <w:tab/>
      </w:r>
      <w:r>
        <w:rPr>
          <w:rFonts w:hint="eastAsia"/>
        </w:rPr>
        <w:t>《联邦劳动</w:t>
      </w:r>
      <w:r>
        <w:rPr>
          <w:rFonts w:hint="eastAsia"/>
        </w:rPr>
        <w:t>法》禁止雇用年龄在</w:t>
      </w:r>
      <w:r>
        <w:t>14</w:t>
      </w:r>
      <w:r>
        <w:rPr>
          <w:rFonts w:hint="eastAsia"/>
        </w:rPr>
        <w:t>岁以下的儿童，并对超过该年龄、为老板服务的人所从事的工作做了规定。《关于安全、健康和工作环境的联邦条例》在第</w:t>
      </w:r>
      <w:r>
        <w:t>154</w:t>
      </w:r>
      <w:r>
        <w:rPr>
          <w:rFonts w:hint="eastAsia"/>
        </w:rPr>
        <w:t>条中列出了</w:t>
      </w:r>
      <w:r>
        <w:t>14</w:t>
      </w:r>
      <w:r>
        <w:rPr>
          <w:rFonts w:hint="eastAsia"/>
        </w:rPr>
        <w:t>-</w:t>
      </w:r>
      <w:r>
        <w:t>16</w:t>
      </w:r>
      <w:r>
        <w:rPr>
          <w:rFonts w:hint="eastAsia"/>
        </w:rPr>
        <w:t>岁儿童不能从事的危险和不健康的工作。</w:t>
      </w:r>
    </w:p>
    <w:p w:rsidR="00000000" w:rsidRDefault="00457650">
      <w:pPr>
        <w:widowControl/>
        <w:tabs>
          <w:tab w:val="left" w:pos="630"/>
        </w:tabs>
        <w:spacing w:after="240" w:line="360" w:lineRule="exact"/>
        <w:rPr>
          <w:rFonts w:hint="eastAsia"/>
        </w:rPr>
      </w:pPr>
      <w:r>
        <w:t>1038</w:t>
      </w:r>
      <w:r>
        <w:rPr>
          <w:rFonts w:hint="eastAsia"/>
        </w:rPr>
        <w:t>.</w:t>
      </w:r>
      <w:r>
        <w:rPr>
          <w:rFonts w:hint="eastAsia"/>
        </w:rPr>
        <w:tab/>
      </w:r>
      <w:r>
        <w:rPr>
          <w:rFonts w:hint="eastAsia"/>
        </w:rPr>
        <w:t>《联邦劳动法》第</w:t>
      </w:r>
      <w:r>
        <w:t>22</w:t>
      </w:r>
      <w:r>
        <w:rPr>
          <w:rFonts w:hint="eastAsia"/>
        </w:rPr>
        <w:t>条明确规定，禁止雇用未满</w:t>
      </w:r>
      <w:r>
        <w:t>14</w:t>
      </w:r>
      <w:r>
        <w:rPr>
          <w:rFonts w:hint="eastAsia"/>
        </w:rPr>
        <w:t>岁，或者那些已满</w:t>
      </w:r>
      <w:r>
        <w:t>14</w:t>
      </w:r>
      <w:r>
        <w:rPr>
          <w:rFonts w:hint="eastAsia"/>
        </w:rPr>
        <w:t>岁但未到</w:t>
      </w:r>
      <w:r>
        <w:t>16</w:t>
      </w:r>
      <w:r>
        <w:rPr>
          <w:rFonts w:hint="eastAsia"/>
        </w:rPr>
        <w:t>岁，还未完成义务教育的未成年人，除非在特殊情况下，主管当局根据学习和工作的兼顾性予以批准。</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b/>
        </w:rPr>
        <w:t>2</w:t>
      </w:r>
      <w:r>
        <w:rPr>
          <w:rFonts w:ascii="KaiTi_GB2312" w:eastAsia="KaiTi_GB2312" w:hint="eastAsia"/>
          <w:b/>
        </w:rPr>
        <w:t>3.</w:t>
      </w:r>
      <w:r>
        <w:rPr>
          <w:rFonts w:ascii="KaiTi_GB2312" w:eastAsia="KaiTi_GB2312" w:hint="eastAsia"/>
          <w:b/>
        </w:rPr>
        <w:tab/>
      </w:r>
      <w:r>
        <w:rPr>
          <w:rFonts w:ascii="KaiTi_GB2312" w:eastAsia="KaiTi_GB2312" w:hint="eastAsia"/>
          <w:b/>
        </w:rPr>
        <w:t>还令委员会遗憾的是，尽管组成工会和进行罢工的权利已写入《墨西哥宪法》以及相应的法规中，但仍没有计划撤销缔约国对《公约》第</w:t>
      </w:r>
      <w:r>
        <w:rPr>
          <w:rFonts w:ascii="KaiTi_GB2312" w:eastAsia="KaiTi_GB2312"/>
          <w:b/>
        </w:rPr>
        <w:t>8</w:t>
      </w:r>
      <w:r>
        <w:rPr>
          <w:rFonts w:ascii="KaiTi_GB2312" w:eastAsia="KaiTi_GB2312" w:hint="eastAsia"/>
          <w:b/>
        </w:rPr>
        <w:t>条的</w:t>
      </w:r>
      <w:r>
        <w:rPr>
          <w:rFonts w:ascii="KaiTi_GB2312" w:eastAsia="KaiTi_GB2312" w:hint="eastAsia"/>
          <w:b/>
        </w:rPr>
        <w:t>限制。公共部门仍坚持单一的工联主义原则，而且工会官员都不是直接选举产生，委员会对这一现象尤其感到遗憾。</w:t>
      </w:r>
    </w:p>
    <w:p w:rsidR="00000000" w:rsidRDefault="00457650">
      <w:pPr>
        <w:widowControl/>
        <w:tabs>
          <w:tab w:val="left" w:pos="630"/>
        </w:tabs>
        <w:spacing w:after="240" w:line="360" w:lineRule="exact"/>
        <w:rPr>
          <w:rFonts w:hint="eastAsia"/>
        </w:rPr>
      </w:pPr>
      <w:r>
        <w:t>1039</w:t>
      </w:r>
      <w:r>
        <w:rPr>
          <w:rFonts w:hint="eastAsia"/>
        </w:rPr>
        <w:t>.</w:t>
      </w:r>
      <w:r>
        <w:rPr>
          <w:rFonts w:hint="eastAsia"/>
        </w:rPr>
        <w:tab/>
      </w:r>
      <w:r>
        <w:rPr>
          <w:rFonts w:hint="eastAsia"/>
        </w:rPr>
        <w:t>第</w:t>
      </w:r>
      <w:r>
        <w:t>8</w:t>
      </w:r>
      <w:r>
        <w:rPr>
          <w:rFonts w:hint="eastAsia"/>
        </w:rPr>
        <w:t>条中规定的方法适用于墨西哥合众国，而且与《政治宪法》及其执行法中适用条款规定的程序相一致，根据这种情况，墨西哥加入了《公约》。</w:t>
      </w:r>
    </w:p>
    <w:p w:rsidR="00000000" w:rsidRDefault="00457650">
      <w:pPr>
        <w:widowControl/>
        <w:tabs>
          <w:tab w:val="left" w:pos="630"/>
        </w:tabs>
        <w:spacing w:after="240" w:line="360" w:lineRule="exact"/>
        <w:rPr>
          <w:rFonts w:hint="eastAsia"/>
        </w:rPr>
      </w:pPr>
      <w:r>
        <w:t>1040</w:t>
      </w:r>
      <w:r>
        <w:rPr>
          <w:rFonts w:hint="eastAsia"/>
        </w:rPr>
        <w:t>.</w:t>
      </w:r>
      <w:r>
        <w:rPr>
          <w:rFonts w:hint="eastAsia"/>
        </w:rPr>
        <w:tab/>
      </w:r>
      <w:r>
        <w:rPr>
          <w:rFonts w:hint="eastAsia"/>
        </w:rPr>
        <w:t>《公约》第</w:t>
      </w:r>
      <w:r>
        <w:t>8</w:t>
      </w:r>
      <w:r>
        <w:rPr>
          <w:rFonts w:hint="eastAsia"/>
        </w:rPr>
        <w:t>条规定，缔约各国应保证人人有权组织工会和参加他所选择的工会，对这一权利的行使，不得加以除法律所规定及在民主社会中为了国家安全或公共秩序的利益或为保护他人的权利和自由所需要的限制以外的任何限制。</w:t>
      </w:r>
    </w:p>
    <w:p w:rsidR="00000000" w:rsidRDefault="00457650">
      <w:pPr>
        <w:widowControl/>
        <w:tabs>
          <w:tab w:val="left" w:pos="630"/>
        </w:tabs>
        <w:spacing w:after="240" w:line="360" w:lineRule="exact"/>
        <w:rPr>
          <w:rFonts w:hint="eastAsia"/>
        </w:rPr>
      </w:pPr>
      <w:r>
        <w:t>1041</w:t>
      </w:r>
      <w:r>
        <w:rPr>
          <w:rFonts w:hint="eastAsia"/>
        </w:rPr>
        <w:t>.</w:t>
      </w:r>
      <w:r>
        <w:rPr>
          <w:rFonts w:hint="eastAsia"/>
        </w:rPr>
        <w:tab/>
      </w:r>
      <w:r>
        <w:rPr>
          <w:rFonts w:hint="eastAsia"/>
        </w:rPr>
        <w:t>服务于国家之中，工人自由加入工会的</w:t>
      </w:r>
      <w:r>
        <w:rPr>
          <w:rFonts w:hint="eastAsia"/>
        </w:rPr>
        <w:t>原则被写入了《墨西哥合众国宪法》。根据这一精神以及《联邦国家工人法》按《宪法》第</w:t>
      </w:r>
      <w:r>
        <w:t>123</w:t>
      </w:r>
      <w:r>
        <w:rPr>
          <w:rFonts w:hint="eastAsia"/>
        </w:rPr>
        <w:t>条</w:t>
      </w:r>
      <w:r>
        <w:rPr>
          <w:rFonts w:hint="eastAsia"/>
        </w:rPr>
        <w:t>B</w:t>
      </w:r>
      <w:r>
        <w:rPr>
          <w:rFonts w:hint="eastAsia"/>
        </w:rPr>
        <w:t>部分所做的限制性规定，最高法院颁布了第</w:t>
      </w:r>
      <w:r>
        <w:t>43</w:t>
      </w:r>
      <w:r>
        <w:rPr>
          <w:rFonts w:hint="eastAsia"/>
        </w:rPr>
        <w:t>／</w:t>
      </w:r>
      <w:r>
        <w:t>1999</w:t>
      </w:r>
      <w:r>
        <w:rPr>
          <w:rFonts w:hint="eastAsia"/>
        </w:rPr>
        <w:t>号案例法规则，根据其中的一项原则，要求政府各部门单独成立官员工会（上述法案第</w:t>
      </w:r>
      <w:r>
        <w:t>68</w:t>
      </w:r>
      <w:r>
        <w:rPr>
          <w:rFonts w:hint="eastAsia"/>
        </w:rPr>
        <w:t>条）的法律规定不符合《宪法》第</w:t>
      </w:r>
      <w:r>
        <w:t>123</w:t>
      </w:r>
      <w:r>
        <w:rPr>
          <w:rFonts w:hint="eastAsia"/>
        </w:rPr>
        <w:t>条</w:t>
      </w:r>
      <w:r>
        <w:rPr>
          <w:rFonts w:hint="eastAsia"/>
        </w:rPr>
        <w:t>B</w:t>
      </w:r>
      <w:r>
        <w:rPr>
          <w:rFonts w:hint="eastAsia"/>
        </w:rPr>
        <w:t>部分第</w:t>
      </w:r>
      <w:r>
        <w:rPr>
          <w:rFonts w:hint="eastAsia"/>
        </w:rPr>
        <w:t>10</w:t>
      </w:r>
      <w:r>
        <w:rPr>
          <w:rFonts w:hint="eastAsia"/>
        </w:rPr>
        <w:t>款中规定的、对自由工会的社会保证。</w:t>
      </w:r>
    </w:p>
    <w:p w:rsidR="00000000" w:rsidRDefault="00457650">
      <w:pPr>
        <w:widowControl/>
        <w:tabs>
          <w:tab w:val="left" w:pos="630"/>
        </w:tabs>
        <w:spacing w:after="240" w:line="360" w:lineRule="exact"/>
        <w:rPr>
          <w:rFonts w:hint="eastAsia"/>
        </w:rPr>
      </w:pPr>
      <w:r>
        <w:t>1042</w:t>
      </w:r>
      <w:r>
        <w:rPr>
          <w:rFonts w:hint="eastAsia"/>
        </w:rPr>
        <w:t>.</w:t>
      </w:r>
      <w:r>
        <w:rPr>
          <w:rFonts w:hint="eastAsia"/>
        </w:rPr>
        <w:tab/>
      </w:r>
      <w:r>
        <w:rPr>
          <w:rFonts w:hint="eastAsia"/>
        </w:rPr>
        <w:t>法庭和相应的行政当局必须应用国家最高法院第</w:t>
      </w:r>
      <w:r>
        <w:t>43</w:t>
      </w:r>
      <w:r>
        <w:rPr>
          <w:rFonts w:hint="eastAsia"/>
        </w:rPr>
        <w:t>／</w:t>
      </w:r>
      <w:r>
        <w:t>1999</w:t>
      </w:r>
      <w:r>
        <w:rPr>
          <w:rFonts w:hint="eastAsia"/>
        </w:rPr>
        <w:t>号案例法规则中规定的标准，并依照《墨西哥合众国宪法》第</w:t>
      </w:r>
      <w:r>
        <w:t>94</w:t>
      </w:r>
      <w:r>
        <w:rPr>
          <w:rFonts w:hint="eastAsia"/>
        </w:rPr>
        <w:t>条和《保护法》第</w:t>
      </w:r>
      <w:r>
        <w:t>192</w:t>
      </w:r>
      <w:r>
        <w:rPr>
          <w:rFonts w:hint="eastAsia"/>
        </w:rPr>
        <w:t>条。为了执行这一标准，相关负责当局已经允许各部门可能有不</w:t>
      </w:r>
      <w:r>
        <w:rPr>
          <w:rFonts w:hint="eastAsia"/>
        </w:rPr>
        <w:t>止一个工会进行登记，例如：</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1.</w:t>
      </w:r>
      <w:r>
        <w:rPr>
          <w:rFonts w:hint="eastAsia"/>
        </w:rPr>
        <w:tab/>
      </w:r>
      <w:r>
        <w:rPr>
          <w:rFonts w:hint="eastAsia"/>
        </w:rPr>
        <w:t>税收管理机构工会。</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2.</w:t>
      </w:r>
      <w:r>
        <w:rPr>
          <w:rFonts w:hint="eastAsia"/>
        </w:rPr>
        <w:tab/>
      </w:r>
      <w:r>
        <w:rPr>
          <w:rFonts w:hint="eastAsia"/>
        </w:rPr>
        <w:t>农业、家畜、农村发展、渔业和粮食部水产业和渔业全国工会联合会。</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3.</w:t>
      </w:r>
      <w:r>
        <w:rPr>
          <w:rFonts w:hint="eastAsia"/>
        </w:rPr>
        <w:tab/>
      </w:r>
      <w:r>
        <w:rPr>
          <w:rFonts w:hint="eastAsia"/>
        </w:rPr>
        <w:t>环境和自然资源部独立民主工会。</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4.</w:t>
      </w:r>
      <w:r>
        <w:rPr>
          <w:rFonts w:hint="eastAsia"/>
        </w:rPr>
        <w:tab/>
      </w:r>
      <w:r>
        <w:rPr>
          <w:rFonts w:hint="eastAsia"/>
        </w:rPr>
        <w:t>交通和公路系统工人联合会（联邦区政府）。</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5.</w:t>
      </w:r>
      <w:r>
        <w:rPr>
          <w:rFonts w:hint="eastAsia"/>
        </w:rPr>
        <w:tab/>
      </w:r>
      <w:r>
        <w:rPr>
          <w:rFonts w:hint="eastAsia"/>
        </w:rPr>
        <w:t>联邦区司法部总检察长办公室民主联合会。</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6.</w:t>
      </w:r>
      <w:r>
        <w:rPr>
          <w:rFonts w:hint="eastAsia"/>
        </w:rPr>
        <w:tab/>
      </w:r>
      <w:r>
        <w:t>CORENA</w:t>
      </w:r>
      <w:r>
        <w:rPr>
          <w:rFonts w:hint="eastAsia"/>
        </w:rPr>
        <w:t>“自由工人大联合”工人联合会（联邦区政府）。</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7.</w:t>
      </w:r>
      <w:r>
        <w:rPr>
          <w:rFonts w:hint="eastAsia"/>
        </w:rPr>
        <w:tab/>
      </w:r>
      <w:r>
        <w:rPr>
          <w:rFonts w:hint="eastAsia"/>
        </w:rPr>
        <w:t>国家统计、地理和信息技术研究所独立工会。</w:t>
      </w:r>
    </w:p>
    <w:p w:rsidR="00000000" w:rsidRDefault="00457650" w:rsidP="00457650">
      <w:pPr>
        <w:widowControl/>
        <w:tabs>
          <w:tab w:val="left" w:pos="630"/>
        </w:tabs>
        <w:spacing w:after="240" w:line="360" w:lineRule="exact"/>
        <w:ind w:leftChars="300" w:left="31680" w:hangingChars="200" w:firstLine="31680"/>
        <w:rPr>
          <w:rFonts w:hint="eastAsia"/>
        </w:rPr>
      </w:pPr>
      <w:r>
        <w:rPr>
          <w:rFonts w:hint="eastAsia"/>
        </w:rPr>
        <w:t>8.</w:t>
      </w:r>
      <w:r>
        <w:rPr>
          <w:rFonts w:hint="eastAsia"/>
        </w:rPr>
        <w:tab/>
      </w:r>
      <w:r>
        <w:rPr>
          <w:rFonts w:hint="eastAsia"/>
        </w:rPr>
        <w:t>合众国司法部长办公室工人尊严国家联合会。</w:t>
      </w:r>
    </w:p>
    <w:p w:rsidR="00000000" w:rsidRDefault="00457650">
      <w:pPr>
        <w:widowControl/>
        <w:tabs>
          <w:tab w:val="left" w:pos="630"/>
        </w:tabs>
        <w:spacing w:after="240" w:line="360" w:lineRule="exact"/>
        <w:rPr>
          <w:rFonts w:hint="eastAsia"/>
        </w:rPr>
      </w:pPr>
      <w:r>
        <w:t>1043</w:t>
      </w:r>
      <w:r>
        <w:rPr>
          <w:rFonts w:hint="eastAsia"/>
        </w:rPr>
        <w:t>.</w:t>
      </w:r>
      <w:r>
        <w:rPr>
          <w:rFonts w:hint="eastAsia"/>
        </w:rPr>
        <w:tab/>
      </w:r>
      <w:r>
        <w:rPr>
          <w:rFonts w:hint="eastAsia"/>
        </w:rPr>
        <w:t>作为墨西哥政府“新劳动文化”的一部分，正在进行劳动法改革，以进一步促进工人的培训、参</w:t>
      </w:r>
      <w:r>
        <w:rPr>
          <w:rFonts w:hint="eastAsia"/>
        </w:rPr>
        <w:t>与和公平报酬。</w:t>
      </w:r>
    </w:p>
    <w:p w:rsidR="00000000" w:rsidRDefault="00457650">
      <w:pPr>
        <w:widowControl/>
        <w:tabs>
          <w:tab w:val="left" w:pos="630"/>
        </w:tabs>
        <w:spacing w:after="240" w:line="360" w:lineRule="exact"/>
        <w:rPr>
          <w:rFonts w:hint="eastAsia"/>
        </w:rPr>
      </w:pPr>
      <w:r>
        <w:t>1044</w:t>
      </w:r>
      <w:r>
        <w:rPr>
          <w:rFonts w:hint="eastAsia"/>
        </w:rPr>
        <w:t>.</w:t>
      </w:r>
      <w:r>
        <w:rPr>
          <w:rFonts w:hint="eastAsia"/>
        </w:rPr>
        <w:tab/>
      </w:r>
      <w:r>
        <w:rPr>
          <w:rFonts w:hint="eastAsia"/>
        </w:rPr>
        <w:t>为此，创建了《联邦劳动法》改革中央决策委员会。经过多次的艰苦努力，墨西哥工人和雇主组织，在政府的协助下，终于推出了一项《联邦劳动法》改革项目，除其他专题外，该项目还涉及了工会自由以及有效确认集体谈判权利等专题。</w:t>
      </w:r>
    </w:p>
    <w:p w:rsidR="00000000" w:rsidRDefault="00457650">
      <w:pPr>
        <w:widowControl/>
        <w:tabs>
          <w:tab w:val="left" w:pos="630"/>
        </w:tabs>
        <w:spacing w:after="240" w:line="360" w:lineRule="exact"/>
        <w:rPr>
          <w:rFonts w:hint="eastAsia"/>
        </w:rPr>
      </w:pPr>
      <w:r>
        <w:t>1045</w:t>
      </w:r>
      <w:r>
        <w:rPr>
          <w:rFonts w:hint="eastAsia"/>
        </w:rPr>
        <w:t>.</w:t>
      </w:r>
      <w:r>
        <w:rPr>
          <w:rFonts w:hint="eastAsia"/>
        </w:rPr>
        <w:tab/>
      </w:r>
      <w:r>
        <w:rPr>
          <w:rFonts w:hint="eastAsia"/>
        </w:rPr>
        <w:t>该项目在</w:t>
      </w:r>
      <w:r>
        <w:t>2002</w:t>
      </w:r>
      <w:r>
        <w:rPr>
          <w:rFonts w:hint="eastAsia"/>
        </w:rPr>
        <w:t>年</w:t>
      </w:r>
      <w:r>
        <w:t>12</w:t>
      </w:r>
      <w:r>
        <w:rPr>
          <w:rFonts w:hint="eastAsia"/>
        </w:rPr>
        <w:t>月</w:t>
      </w:r>
      <w:r>
        <w:t>12</w:t>
      </w:r>
      <w:r>
        <w:rPr>
          <w:rFonts w:hint="eastAsia"/>
        </w:rPr>
        <w:t>日列入一项法律草案，该草案由墨西哥三大主要政党（宪政改革党、国家行动党和墨西哥绿色生态党）的立法委员提出。</w:t>
      </w:r>
    </w:p>
    <w:p w:rsidR="00000000" w:rsidRDefault="00457650">
      <w:pPr>
        <w:widowControl/>
        <w:tabs>
          <w:tab w:val="left" w:pos="630"/>
        </w:tabs>
        <w:spacing w:after="240" w:line="360" w:lineRule="exact"/>
        <w:rPr>
          <w:rFonts w:hint="eastAsia"/>
        </w:rPr>
      </w:pPr>
      <w:r>
        <w:t>1046</w:t>
      </w:r>
      <w:r>
        <w:rPr>
          <w:rFonts w:hint="eastAsia"/>
        </w:rPr>
        <w:t>.</w:t>
      </w:r>
      <w:r>
        <w:rPr>
          <w:rFonts w:hint="eastAsia"/>
        </w:rPr>
        <w:tab/>
      </w:r>
      <w:r>
        <w:rPr>
          <w:rFonts w:hint="eastAsia"/>
        </w:rPr>
        <w:t>关于工会的自由和对集体谈判权利的有效确认，草案建议改革《联邦劳动法》，以便按规定的程序选举工会行政人员，并确定通</w:t>
      </w:r>
      <w:r>
        <w:rPr>
          <w:rFonts w:hint="eastAsia"/>
        </w:rPr>
        <w:t>过无记名投票或直接选举产生的成员人数，这样更符合当前国内普遍存在的民主条件。</w:t>
      </w:r>
    </w:p>
    <w:p w:rsidR="00000000" w:rsidRDefault="00457650">
      <w:pPr>
        <w:widowControl/>
        <w:tabs>
          <w:tab w:val="left" w:pos="630"/>
        </w:tabs>
        <w:spacing w:after="240" w:line="360" w:lineRule="exact"/>
        <w:rPr>
          <w:rFonts w:hint="eastAsia"/>
        </w:rPr>
      </w:pPr>
      <w:r>
        <w:t>104</w:t>
      </w:r>
      <w:r>
        <w:rPr>
          <w:rFonts w:hint="eastAsia"/>
        </w:rPr>
        <w:t>7.</w:t>
      </w:r>
      <w:r>
        <w:rPr>
          <w:rFonts w:hint="eastAsia"/>
        </w:rPr>
        <w:tab/>
      </w:r>
      <w:r>
        <w:rPr>
          <w:rFonts w:hint="eastAsia"/>
        </w:rPr>
        <w:t>《联邦劳动法》改革草案将由墨西哥立法机构审议后再予以批准。</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hint="eastAsia"/>
          <w:b/>
        </w:rPr>
        <w:t xml:space="preserve">24. </w:t>
      </w:r>
      <w:r>
        <w:rPr>
          <w:rFonts w:ascii="KaiTi_GB2312" w:eastAsia="KaiTi_GB2312" w:hint="eastAsia"/>
          <w:b/>
        </w:rPr>
        <w:t>委员会对社会保障制度的私有化表示关注，此举有可能使那些没有能力向个人养老金账户缴款的人，如失业者、未充分就业者、低收入工人和受雇于非正规部门的人失去某些福利。</w:t>
      </w:r>
    </w:p>
    <w:p w:rsidR="00000000" w:rsidRDefault="00457650">
      <w:pPr>
        <w:widowControl/>
        <w:tabs>
          <w:tab w:val="left" w:pos="630"/>
        </w:tabs>
        <w:spacing w:after="240" w:line="340" w:lineRule="exact"/>
        <w:rPr>
          <w:rFonts w:hint="eastAsia"/>
        </w:rPr>
      </w:pPr>
      <w:r>
        <w:t>1048</w:t>
      </w:r>
      <w:r>
        <w:rPr>
          <w:rFonts w:hint="eastAsia"/>
        </w:rPr>
        <w:t>.</w:t>
      </w:r>
      <w:r>
        <w:rPr>
          <w:rFonts w:hint="eastAsia"/>
        </w:rPr>
        <w:tab/>
      </w:r>
      <w:r>
        <w:rPr>
          <w:rFonts w:hint="eastAsia"/>
        </w:rPr>
        <w:t>过去</w:t>
      </w:r>
      <w:r>
        <w:rPr>
          <w:rFonts w:hint="eastAsia"/>
        </w:rPr>
        <w:t>10</w:t>
      </w:r>
      <w:r>
        <w:rPr>
          <w:rFonts w:hint="eastAsia"/>
        </w:rPr>
        <w:t>年中已对墨西哥社会保障机构的退休金和养恤金制度进行了改革。今年</w:t>
      </w:r>
      <w:r>
        <w:rPr>
          <w:rFonts w:hint="eastAsia"/>
        </w:rPr>
        <w:t>8</w:t>
      </w:r>
      <w:r>
        <w:rPr>
          <w:rFonts w:hint="eastAsia"/>
        </w:rPr>
        <w:t>月批准了改革的最后一项内容，涉及今后在社会保障局工作的人的退休金和其他养恤金问题，这类改革以及计划对国家劳动者</w:t>
      </w:r>
      <w:r>
        <w:rPr>
          <w:rFonts w:hint="eastAsia"/>
        </w:rPr>
        <w:t>社会保障和服务协会的改革不考虑任何私有化行动，也没有这方面打算。</w:t>
      </w:r>
    </w:p>
    <w:p w:rsidR="00000000" w:rsidRDefault="00457650">
      <w:pPr>
        <w:widowControl/>
        <w:tabs>
          <w:tab w:val="left" w:pos="630"/>
        </w:tabs>
        <w:spacing w:after="240" w:line="340" w:lineRule="exact"/>
        <w:rPr>
          <w:rFonts w:hint="eastAsia"/>
        </w:rPr>
      </w:pPr>
      <w:r>
        <w:t>1049</w:t>
      </w:r>
      <w:r>
        <w:rPr>
          <w:rFonts w:hint="eastAsia"/>
        </w:rPr>
        <w:t>.</w:t>
      </w:r>
      <w:r>
        <w:rPr>
          <w:rFonts w:hint="eastAsia"/>
        </w:rPr>
        <w:tab/>
      </w:r>
      <w:r>
        <w:rPr>
          <w:rFonts w:hint="eastAsia"/>
        </w:rPr>
        <w:t>这一立场在对法律改革的建议和讨论中都已作了说明，而且得到了联邦议会立法委员会的同意。政府当局、社会保障局和国家工人社会保障和服务协会中的工会，以及中央工会和其他工会组织也表示了相同的立场。</w:t>
      </w:r>
    </w:p>
    <w:p w:rsidR="00000000" w:rsidRDefault="00457650">
      <w:pPr>
        <w:widowControl/>
        <w:tabs>
          <w:tab w:val="left" w:pos="630"/>
        </w:tabs>
        <w:spacing w:after="240" w:line="340" w:lineRule="exact"/>
        <w:rPr>
          <w:rFonts w:hint="eastAsia"/>
        </w:rPr>
      </w:pPr>
      <w:r>
        <w:rPr>
          <w:rFonts w:hint="eastAsia"/>
        </w:rPr>
        <w:t>1050</w:t>
      </w:r>
      <w:r>
        <w:t>.</w:t>
      </w:r>
      <w:r>
        <w:rPr>
          <w:rFonts w:hint="eastAsia"/>
        </w:rPr>
        <w:tab/>
      </w:r>
      <w:r>
        <w:rPr>
          <w:rFonts w:hint="eastAsia"/>
        </w:rPr>
        <w:t>如上所述，人民健康保险计划有助于国家为贫穷者和赤贫者提供保护。</w:t>
      </w:r>
    </w:p>
    <w:p w:rsidR="00000000" w:rsidRDefault="00457650">
      <w:pPr>
        <w:widowControl/>
        <w:tabs>
          <w:tab w:val="left" w:pos="630"/>
        </w:tabs>
        <w:spacing w:after="240" w:line="340" w:lineRule="exact"/>
        <w:rPr>
          <w:rFonts w:hint="eastAsia"/>
        </w:rPr>
      </w:pPr>
      <w:r>
        <w:t>105</w:t>
      </w:r>
      <w:r>
        <w:rPr>
          <w:rFonts w:hint="eastAsia"/>
        </w:rPr>
        <w:t>1.</w:t>
      </w:r>
      <w:r>
        <w:rPr>
          <w:rFonts w:hint="eastAsia"/>
        </w:rPr>
        <w:tab/>
      </w:r>
      <w:r>
        <w:rPr>
          <w:rFonts w:hint="eastAsia"/>
        </w:rPr>
        <w:t>另外一些政府机构，如家庭综合发展系统和国家卫生系统其他机构，为大众提供的支助不必成为任何特定社会保障制度的一部分。</w:t>
      </w:r>
    </w:p>
    <w:p w:rsidR="00000000" w:rsidRDefault="00457650" w:rsidP="00457650">
      <w:pPr>
        <w:keepNext/>
        <w:widowControl/>
        <w:tabs>
          <w:tab w:val="left" w:pos="630"/>
        </w:tabs>
        <w:spacing w:after="240" w:line="340" w:lineRule="exact"/>
        <w:ind w:leftChars="300" w:left="31680"/>
        <w:rPr>
          <w:rFonts w:ascii="KaiTi_GB2312" w:eastAsia="KaiTi_GB2312" w:hint="eastAsia"/>
          <w:b/>
        </w:rPr>
      </w:pPr>
      <w:r>
        <w:rPr>
          <w:rFonts w:ascii="KaiTi_GB2312" w:eastAsia="KaiTi_GB2312" w:hint="eastAsia"/>
          <w:b/>
        </w:rPr>
        <w:t xml:space="preserve">25. </w:t>
      </w:r>
      <w:r>
        <w:rPr>
          <w:rFonts w:ascii="KaiTi_GB2312" w:eastAsia="KaiTi_GB2312" w:hint="eastAsia"/>
          <w:b/>
        </w:rPr>
        <w:t>委员会对恰帕斯土著社区和该地区其</w:t>
      </w:r>
      <w:r>
        <w:rPr>
          <w:rFonts w:ascii="KaiTi_GB2312" w:eastAsia="KaiTi_GB2312" w:hint="eastAsia"/>
          <w:b/>
        </w:rPr>
        <w:t>他州中众多军事和准军事力量的存在表示关注，尤其是，据民间社会组织指称，这些因素干扰了对发展计划的监测和执行，以及经济和社会援助的分配。另外，委员会还对有关社区缺少协商机制表示关注。</w:t>
      </w:r>
    </w:p>
    <w:p w:rsidR="00000000" w:rsidRDefault="00457650">
      <w:pPr>
        <w:keepNext/>
        <w:widowControl/>
        <w:tabs>
          <w:tab w:val="left" w:pos="630"/>
        </w:tabs>
        <w:spacing w:after="240" w:line="340" w:lineRule="exact"/>
        <w:rPr>
          <w:rFonts w:hint="eastAsia"/>
        </w:rPr>
      </w:pPr>
      <w:r>
        <w:t>1052</w:t>
      </w:r>
      <w:r>
        <w:rPr>
          <w:rFonts w:hint="eastAsia"/>
        </w:rPr>
        <w:t>.</w:t>
      </w:r>
      <w:r>
        <w:rPr>
          <w:rFonts w:hint="eastAsia"/>
        </w:rPr>
        <w:tab/>
      </w:r>
      <w:r>
        <w:rPr>
          <w:rFonts w:hint="eastAsia"/>
        </w:rPr>
        <w:t>墨西哥没有准军事组织。应该指出的是，在</w:t>
      </w:r>
      <w:r>
        <w:t>1998</w:t>
      </w:r>
      <w:r>
        <w:rPr>
          <w:rFonts w:hint="eastAsia"/>
        </w:rPr>
        <w:t>–</w:t>
      </w:r>
      <w:r>
        <w:t>2003</w:t>
      </w:r>
      <w:r>
        <w:rPr>
          <w:rFonts w:hint="eastAsia"/>
        </w:rPr>
        <w:t>年，墨西哥军队在本国境内协助联邦政府实施了各项社会发展计划，有</w:t>
      </w:r>
      <w:r>
        <w:t>12</w:t>
      </w:r>
      <w:r>
        <w:rPr>
          <w:rFonts w:hint="eastAsia"/>
        </w:rPr>
        <w:t xml:space="preserve"> </w:t>
      </w:r>
      <w:r>
        <w:t>082</w:t>
      </w:r>
      <w:r>
        <w:rPr>
          <w:rFonts w:hint="eastAsia"/>
        </w:rPr>
        <w:t xml:space="preserve"> </w:t>
      </w:r>
      <w:r>
        <w:t>092</w:t>
      </w:r>
      <w:r>
        <w:rPr>
          <w:rFonts w:hint="eastAsia"/>
        </w:rPr>
        <w:t>人从中获益。</w:t>
      </w:r>
    </w:p>
    <w:p w:rsidR="00000000" w:rsidRDefault="00457650">
      <w:pPr>
        <w:widowControl/>
        <w:tabs>
          <w:tab w:val="left" w:pos="630"/>
        </w:tabs>
        <w:spacing w:after="240" w:line="340" w:lineRule="exact"/>
        <w:rPr>
          <w:rFonts w:hint="eastAsia"/>
        </w:rPr>
      </w:pPr>
      <w:r>
        <w:rPr>
          <w:rFonts w:hint="eastAsia"/>
        </w:rPr>
        <w:t>1053.</w:t>
      </w:r>
      <w:r>
        <w:rPr>
          <w:rFonts w:hint="eastAsia"/>
        </w:rPr>
        <w:tab/>
      </w:r>
      <w:r>
        <w:rPr>
          <w:rFonts w:hint="eastAsia"/>
        </w:rPr>
        <w:t>更多的信息可查阅对委员会第</w:t>
      </w:r>
      <w:r>
        <w:t>44</w:t>
      </w:r>
      <w:r>
        <w:rPr>
          <w:rFonts w:hint="eastAsia"/>
        </w:rPr>
        <w:t>号观察报告的答复。</w:t>
      </w:r>
    </w:p>
    <w:p w:rsidR="00000000" w:rsidRDefault="00457650" w:rsidP="00457650">
      <w:pPr>
        <w:keepNext/>
        <w:widowControl/>
        <w:tabs>
          <w:tab w:val="left" w:pos="630"/>
        </w:tabs>
        <w:spacing w:after="240" w:line="340" w:lineRule="exact"/>
        <w:ind w:leftChars="300" w:left="31680"/>
        <w:rPr>
          <w:rFonts w:ascii="KaiTi_GB2312" w:eastAsia="KaiTi_GB2312" w:hint="eastAsia"/>
          <w:b/>
        </w:rPr>
      </w:pPr>
      <w:r>
        <w:rPr>
          <w:rFonts w:ascii="KaiTi_GB2312" w:eastAsia="KaiTi_GB2312" w:hint="eastAsia"/>
          <w:b/>
        </w:rPr>
        <w:t xml:space="preserve">26. </w:t>
      </w:r>
      <w:r>
        <w:rPr>
          <w:rFonts w:ascii="KaiTi_GB2312" w:eastAsia="KaiTi_GB2312" w:hint="eastAsia"/>
          <w:b/>
        </w:rPr>
        <w:t>国内暴力发生率高居不下，尤其是针对妇女的国内暴力行为，这引起了委员会的警惕。委员会也对流浪儿童人</w:t>
      </w:r>
      <w:r>
        <w:rPr>
          <w:rFonts w:ascii="KaiTi_GB2312" w:eastAsia="KaiTi_GB2312" w:hint="eastAsia"/>
          <w:b/>
        </w:rPr>
        <w:t>数的增加表示关注，尽管政府已采取措施处理这一问题。</w:t>
      </w:r>
    </w:p>
    <w:p w:rsidR="00000000" w:rsidRDefault="00457650">
      <w:pPr>
        <w:keepNext/>
        <w:widowControl/>
        <w:tabs>
          <w:tab w:val="left" w:pos="630"/>
        </w:tabs>
        <w:spacing w:after="240" w:line="340" w:lineRule="exact"/>
        <w:ind w:left="300"/>
        <w:rPr>
          <w:rFonts w:hint="eastAsia"/>
        </w:rPr>
      </w:pPr>
      <w:r>
        <w:t>1054</w:t>
      </w:r>
      <w:r>
        <w:rPr>
          <w:rFonts w:hint="eastAsia"/>
        </w:rPr>
        <w:t>.</w:t>
      </w:r>
      <w:r>
        <w:rPr>
          <w:rFonts w:hint="eastAsia"/>
        </w:rPr>
        <w:tab/>
      </w:r>
      <w:r>
        <w:rPr>
          <w:rFonts w:hint="eastAsia"/>
        </w:rPr>
        <w:t>国家人权委员会正在实施关于妇女、儿童和家庭事务的计划，以便采取有效行动，对侵犯妇女和儿童人权的行为进行起诉。与此同时，它努力促使立法和行政法庭进一步根除对妇女和儿童的各种形式的歧视与暴力。</w:t>
      </w:r>
    </w:p>
    <w:p w:rsidR="00000000" w:rsidRDefault="00457650">
      <w:pPr>
        <w:widowControl/>
        <w:tabs>
          <w:tab w:val="left" w:pos="630"/>
        </w:tabs>
        <w:spacing w:after="240" w:line="340" w:lineRule="exact"/>
        <w:rPr>
          <w:rFonts w:hint="eastAsia"/>
        </w:rPr>
      </w:pPr>
      <w:r>
        <w:t>1055</w:t>
      </w:r>
      <w:r>
        <w:rPr>
          <w:rFonts w:hint="eastAsia"/>
        </w:rPr>
        <w:t>.</w:t>
      </w:r>
      <w:r>
        <w:rPr>
          <w:rFonts w:hint="eastAsia"/>
        </w:rPr>
        <w:tab/>
      </w:r>
      <w:r>
        <w:rPr>
          <w:rFonts w:hint="eastAsia"/>
        </w:rPr>
        <w:t>此外，于</w:t>
      </w:r>
      <w:r>
        <w:t>2001</w:t>
      </w:r>
      <w:r>
        <w:rPr>
          <w:rFonts w:hint="eastAsia"/>
        </w:rPr>
        <w:t>年成立了全国妇女协会，目的是营造和发展一种没有暴力和歧视的公正平等的氛围，以便能够促进所有墨西哥妇女的全面发展，让男女公民都能充分行使自己的所有权利。</w:t>
      </w:r>
    </w:p>
    <w:p w:rsidR="00000000" w:rsidRDefault="00457650">
      <w:pPr>
        <w:widowControl/>
        <w:tabs>
          <w:tab w:val="left" w:pos="630"/>
        </w:tabs>
        <w:spacing w:after="240" w:line="340" w:lineRule="exact"/>
        <w:rPr>
          <w:rFonts w:hint="eastAsia"/>
        </w:rPr>
      </w:pPr>
      <w:r>
        <w:t>1056</w:t>
      </w:r>
      <w:r>
        <w:rPr>
          <w:rFonts w:hint="eastAsia"/>
        </w:rPr>
        <w:t>.</w:t>
      </w:r>
      <w:r>
        <w:rPr>
          <w:rFonts w:hint="eastAsia"/>
        </w:rPr>
        <w:tab/>
      </w:r>
      <w:r>
        <w:rPr>
          <w:rFonts w:hint="eastAsia"/>
        </w:rPr>
        <w:t>国家家庭综合发展系统正通过关怀儿童和防止儿童受到家庭暴力和虐待项目</w:t>
      </w:r>
      <w:r>
        <w:rPr>
          <w:rFonts w:hint="eastAsia"/>
        </w:rPr>
        <w:t>，促进为学校、日间托儿所、医院中心和其他机构中负责照看未成年人的人员开展教育和培训活动，以提高他们对家庭暴力行为的认识，同时还与社区的一些家长进行了协作，以提高对未成年人的照看、教育和培训质量。</w:t>
      </w:r>
    </w:p>
    <w:p w:rsidR="00000000" w:rsidRDefault="00457650">
      <w:pPr>
        <w:widowControl/>
        <w:tabs>
          <w:tab w:val="left" w:pos="630"/>
        </w:tabs>
        <w:spacing w:after="240" w:line="340" w:lineRule="exact"/>
        <w:rPr>
          <w:rFonts w:hint="eastAsia"/>
        </w:rPr>
      </w:pPr>
      <w:r>
        <w:t>1057</w:t>
      </w:r>
      <w:r>
        <w:rPr>
          <w:rFonts w:hint="eastAsia"/>
        </w:rPr>
        <w:t>.</w:t>
      </w:r>
      <w:r>
        <w:rPr>
          <w:rFonts w:hint="eastAsia"/>
        </w:rPr>
        <w:tab/>
      </w:r>
      <w:r>
        <w:rPr>
          <w:rFonts w:hint="eastAsia"/>
        </w:rPr>
        <w:t>墨西哥政府在履行对照看收留的流浪男孩、女孩和青年的承诺的过程中，制定了一项被称为“从街头到生活”、针对女孩、男孩和青年的全国性照顾和预防方案，并已经开始生效，为了针对流浪儿童问题从中长期角度找到解决方法，并为这些儿童提供全面的照顾，该方案准备加强在公共、私人和社会部门的工作联系与协调，从而提高预防和照管</w:t>
      </w:r>
      <w:r>
        <w:rPr>
          <w:rFonts w:hint="eastAsia"/>
        </w:rPr>
        <w:t>能力。</w:t>
      </w:r>
    </w:p>
    <w:p w:rsidR="00000000" w:rsidRDefault="00457650">
      <w:pPr>
        <w:widowControl/>
        <w:tabs>
          <w:tab w:val="left" w:pos="630"/>
        </w:tabs>
        <w:spacing w:after="240" w:line="360" w:lineRule="exact"/>
        <w:rPr>
          <w:rFonts w:hint="eastAsia"/>
        </w:rPr>
      </w:pPr>
      <w:r>
        <w:t>1058</w:t>
      </w:r>
      <w:r>
        <w:rPr>
          <w:rFonts w:hint="eastAsia"/>
        </w:rPr>
        <w:t>.</w:t>
      </w:r>
      <w:r>
        <w:rPr>
          <w:rFonts w:hint="eastAsia"/>
        </w:rPr>
        <w:tab/>
      </w:r>
      <w:r>
        <w:rPr>
          <w:rFonts w:hint="eastAsia"/>
        </w:rPr>
        <w:t>该方案在</w:t>
      </w:r>
      <w:r>
        <w:t>8</w:t>
      </w:r>
      <w:r>
        <w:rPr>
          <w:rFonts w:hint="eastAsia"/>
        </w:rPr>
        <w:t>个州和</w:t>
      </w:r>
      <w:r>
        <w:t>136</w:t>
      </w:r>
      <w:r>
        <w:rPr>
          <w:rFonts w:hint="eastAsia"/>
        </w:rPr>
        <w:t>个市政进行，有</w:t>
      </w:r>
      <w:r>
        <w:t>83</w:t>
      </w:r>
      <w:r>
        <w:rPr>
          <w:rFonts w:hint="eastAsia"/>
        </w:rPr>
        <w:t>个民间社会组织参加；</w:t>
      </w:r>
      <w:r>
        <w:t>2003</w:t>
      </w:r>
      <w:r>
        <w:rPr>
          <w:rFonts w:hint="eastAsia"/>
        </w:rPr>
        <w:t>年，</w:t>
      </w:r>
      <w:r>
        <w:t>36</w:t>
      </w:r>
      <w:r>
        <w:rPr>
          <w:rFonts w:hint="eastAsia"/>
        </w:rPr>
        <w:t xml:space="preserve"> </w:t>
      </w:r>
      <w:r>
        <w:t>992</w:t>
      </w:r>
      <w:r>
        <w:rPr>
          <w:rFonts w:hint="eastAsia"/>
        </w:rPr>
        <w:t>个流浪女孩、男孩和青年受益于在</w:t>
      </w:r>
      <w:r>
        <w:t>129</w:t>
      </w:r>
      <w:r>
        <w:rPr>
          <w:rFonts w:hint="eastAsia"/>
        </w:rPr>
        <w:t>个具体项目、</w:t>
      </w:r>
      <w:r>
        <w:t>11</w:t>
      </w:r>
      <w:r>
        <w:rPr>
          <w:rFonts w:hint="eastAsia"/>
        </w:rPr>
        <w:t>项调查和</w:t>
      </w:r>
      <w:r>
        <w:t>140</w:t>
      </w:r>
      <w:r>
        <w:rPr>
          <w:rFonts w:hint="eastAsia"/>
        </w:rPr>
        <w:t>项奖学金计划框架内实施的该计划。</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hint="eastAsia"/>
          <w:b/>
        </w:rPr>
        <w:t xml:space="preserve">27. </w:t>
      </w:r>
      <w:r>
        <w:rPr>
          <w:rFonts w:ascii="KaiTi_GB2312" w:eastAsia="KaiTi_GB2312" w:hint="eastAsia"/>
          <w:b/>
        </w:rPr>
        <w:t>令委员会遗憾的是，对其以前的结论性意见，以及就武力驱逐向代表团提出的书面和口头问题没有做出令人满意的答复。委员会曾询问过有关问题的程度，以及政府为保护所有公民免受武力驱逐所采取的措施，但它迄今没有收到一份令人满意的答复。另外，委员会始终关心住房短缺问题，以及很大一部分公民住房条件差表示关注，尤其是在</w:t>
      </w:r>
      <w:r>
        <w:rPr>
          <w:rFonts w:ascii="KaiTi_GB2312" w:eastAsia="KaiTi_GB2312" w:hint="eastAsia"/>
          <w:b/>
        </w:rPr>
        <w:t>农村地区，那里许多住处没有电、配套的排污管道和自来水。</w:t>
      </w:r>
    </w:p>
    <w:p w:rsidR="00000000" w:rsidRDefault="00457650">
      <w:pPr>
        <w:widowControl/>
        <w:tabs>
          <w:tab w:val="left" w:pos="630"/>
        </w:tabs>
        <w:spacing w:after="240" w:line="360" w:lineRule="exact"/>
        <w:rPr>
          <w:rFonts w:hint="eastAsia"/>
        </w:rPr>
      </w:pPr>
      <w:r>
        <w:rPr>
          <w:rFonts w:hint="eastAsia"/>
        </w:rPr>
        <w:t>1059.</w:t>
      </w:r>
      <w:r>
        <w:rPr>
          <w:rFonts w:hint="eastAsia"/>
        </w:rPr>
        <w:tab/>
      </w:r>
      <w:r>
        <w:rPr>
          <w:rFonts w:hint="eastAsia"/>
        </w:rPr>
        <w:t>从第</w:t>
      </w:r>
      <w:r>
        <w:t>3</w:t>
      </w:r>
      <w:r>
        <w:rPr>
          <w:rFonts w:hint="eastAsia"/>
        </w:rPr>
        <w:t>条</w:t>
      </w:r>
      <w:r>
        <w:rPr>
          <w:rFonts w:hint="eastAsia"/>
        </w:rPr>
        <w:t>B</w:t>
      </w:r>
      <w:r>
        <w:rPr>
          <w:rFonts w:hint="eastAsia"/>
        </w:rPr>
        <w:t>部分第</w:t>
      </w:r>
      <w:r>
        <w:rPr>
          <w:rFonts w:hint="eastAsia"/>
        </w:rPr>
        <w:t>6</w:t>
      </w:r>
      <w:r>
        <w:rPr>
          <w:rFonts w:hint="eastAsia"/>
        </w:rPr>
        <w:t>款项下可以找到答案。</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hint="eastAsia"/>
          <w:b/>
        </w:rPr>
        <w:t xml:space="preserve">28. </w:t>
      </w:r>
      <w:r>
        <w:rPr>
          <w:rFonts w:ascii="KaiTi_GB2312" w:eastAsia="KaiTi_GB2312" w:hint="eastAsia"/>
          <w:b/>
        </w:rPr>
        <w:t>委员会对长期的营养不良问题，尤其是对农村地区</w:t>
      </w:r>
      <w:r>
        <w:rPr>
          <w:rFonts w:ascii="KaiTi_GB2312" w:eastAsia="KaiTi_GB2312" w:hint="eastAsia"/>
          <w:b/>
        </w:rPr>
        <w:t>5</w:t>
      </w:r>
      <w:r>
        <w:rPr>
          <w:rFonts w:ascii="KaiTi_GB2312" w:eastAsia="KaiTi_GB2312" w:hint="eastAsia"/>
          <w:b/>
        </w:rPr>
        <w:t>岁以下儿童的营养不良表示关注。与营养不良相关的疾病是导致墨西哥死亡率高的主要原因之一，这一点也引起了委员会的不安。</w:t>
      </w:r>
    </w:p>
    <w:p w:rsidR="00000000" w:rsidRDefault="00457650">
      <w:pPr>
        <w:widowControl/>
        <w:tabs>
          <w:tab w:val="left" w:pos="630"/>
        </w:tabs>
        <w:spacing w:after="240" w:line="360" w:lineRule="exact"/>
        <w:rPr>
          <w:rFonts w:hint="eastAsia"/>
        </w:rPr>
      </w:pPr>
      <w:r>
        <w:rPr>
          <w:rFonts w:hint="eastAsia"/>
        </w:rPr>
        <w:t>1060.</w:t>
      </w:r>
      <w:r>
        <w:rPr>
          <w:rFonts w:hint="eastAsia"/>
        </w:rPr>
        <w:tab/>
      </w:r>
      <w:r>
        <w:rPr>
          <w:rFonts w:hint="eastAsia"/>
        </w:rPr>
        <w:t>随着行政权力下放和分散化的开始，国家家庭综合发展系统一直在考虑如何加强其指导作用和制定标准的职责。除其他外，这项战略有助于对多种照顾模式的理解、传播和加强；在当前情况下，新的项目结构旨在从性别、大众的文化素养、道德和跨代观</w:t>
      </w:r>
      <w:r>
        <w:rPr>
          <w:rFonts w:hint="eastAsia"/>
        </w:rPr>
        <w:t>点等方面规范和评估营养计划。</w:t>
      </w:r>
    </w:p>
    <w:p w:rsidR="00000000" w:rsidRDefault="00457650">
      <w:pPr>
        <w:widowControl/>
        <w:tabs>
          <w:tab w:val="left" w:pos="630"/>
        </w:tabs>
        <w:spacing w:after="240" w:line="360" w:lineRule="exact"/>
        <w:rPr>
          <w:rFonts w:hint="eastAsia"/>
        </w:rPr>
      </w:pPr>
      <w:r>
        <w:t>1061</w:t>
      </w:r>
      <w:r>
        <w:rPr>
          <w:rFonts w:hint="eastAsia"/>
        </w:rPr>
        <w:t>.</w:t>
      </w:r>
      <w:r>
        <w:rPr>
          <w:rFonts w:hint="eastAsia"/>
        </w:rPr>
        <w:tab/>
      </w:r>
      <w:r>
        <w:rPr>
          <w:rFonts w:hint="eastAsia"/>
        </w:rPr>
        <w:t>学校早餐计划涵盖公立学前班和小学的</w:t>
      </w:r>
      <w:r>
        <w:rPr>
          <w:rFonts w:hint="eastAsia"/>
        </w:rPr>
        <w:t>510</w:t>
      </w:r>
      <w:r>
        <w:rPr>
          <w:rFonts w:hint="eastAsia"/>
        </w:rPr>
        <w:t>万有些营养不良且面临风险的男孩和女孩，而且优先考虑土著、乡村和城市边缘地区的学校的男孩和女孩。人力发展作为综合社会政策的一部分得到加强，其中包括卫生、教育和饮食指导等。墨西哥学校早餐计划的目标是改善本国男孩和女孩的营养状况，并发展健康的饮食习惯。</w:t>
      </w:r>
    </w:p>
    <w:p w:rsidR="00000000" w:rsidRDefault="00457650">
      <w:pPr>
        <w:widowControl/>
        <w:tabs>
          <w:tab w:val="left" w:pos="630"/>
        </w:tabs>
        <w:spacing w:after="240" w:line="360" w:lineRule="exact"/>
        <w:rPr>
          <w:rFonts w:hint="eastAsia"/>
        </w:rPr>
      </w:pPr>
      <w:r>
        <w:t>1062</w:t>
      </w:r>
      <w:r>
        <w:rPr>
          <w:rFonts w:hint="eastAsia"/>
        </w:rPr>
        <w:t>.</w:t>
      </w:r>
      <w:r>
        <w:rPr>
          <w:rFonts w:hint="eastAsia"/>
        </w:rPr>
        <w:tab/>
      </w:r>
      <w:r>
        <w:rPr>
          <w:rFonts w:hint="eastAsia"/>
        </w:rPr>
        <w:t>根据</w:t>
      </w:r>
      <w:r>
        <w:t>2003</w:t>
      </w:r>
      <w:r>
        <w:rPr>
          <w:rFonts w:hint="eastAsia"/>
        </w:rPr>
        <w:t>年首次于墨西哥启动的“</w:t>
      </w:r>
      <w:r>
        <w:t>5</w:t>
      </w:r>
      <w:r>
        <w:rPr>
          <w:rFonts w:hint="eastAsia"/>
        </w:rPr>
        <w:t>岁以下危险儿童照顾”方案，</w:t>
      </w:r>
      <w:r>
        <w:t>87</w:t>
      </w:r>
      <w:r>
        <w:rPr>
          <w:rFonts w:hint="eastAsia"/>
        </w:rPr>
        <w:t xml:space="preserve"> </w:t>
      </w:r>
      <w:r>
        <w:t>000</w:t>
      </w:r>
      <w:r>
        <w:rPr>
          <w:rFonts w:hint="eastAsia"/>
        </w:rPr>
        <w:t>名</w:t>
      </w:r>
      <w:r>
        <w:t>5</w:t>
      </w:r>
      <w:r>
        <w:rPr>
          <w:rFonts w:hint="eastAsia"/>
        </w:rPr>
        <w:t>岁以下、没有上学、遭受一定程度的营养不良并且处于危险中的未成年人得到了照顾。相关的儿童住在土</w:t>
      </w:r>
      <w:r>
        <w:rPr>
          <w:rFonts w:hint="eastAsia"/>
        </w:rPr>
        <w:t>著、乡村和城市边缘地区，无法接受任何其他计划的援助。投入的资金总额为</w:t>
      </w:r>
      <w:r>
        <w:t>1.97</w:t>
      </w:r>
      <w:r>
        <w:rPr>
          <w:rFonts w:hint="eastAsia"/>
        </w:rPr>
        <w:t>亿比索，该方案为父母组织了各种饮食指导活动，帮助他们改变饮食和健康习惯。</w:t>
      </w:r>
    </w:p>
    <w:p w:rsidR="00000000" w:rsidRDefault="00457650">
      <w:pPr>
        <w:widowControl/>
        <w:tabs>
          <w:tab w:val="left" w:pos="630"/>
        </w:tabs>
        <w:spacing w:after="240" w:line="360" w:lineRule="exact"/>
        <w:rPr>
          <w:rFonts w:hint="eastAsia"/>
        </w:rPr>
      </w:pPr>
      <w:r>
        <w:t>1063</w:t>
      </w:r>
      <w:r>
        <w:rPr>
          <w:rFonts w:hint="eastAsia"/>
        </w:rPr>
        <w:t>.</w:t>
      </w:r>
      <w:r>
        <w:rPr>
          <w:rFonts w:hint="eastAsia"/>
        </w:rPr>
        <w:tab/>
      </w:r>
      <w:r>
        <w:t>1994</w:t>
      </w:r>
      <w:r>
        <w:rPr>
          <w:rFonts w:hint="eastAsia"/>
        </w:rPr>
        <w:t>年和</w:t>
      </w:r>
      <w:r>
        <w:t>1999</w:t>
      </w:r>
      <w:r>
        <w:rPr>
          <w:rFonts w:hint="eastAsia"/>
        </w:rPr>
        <w:t>年进行过国家人口身高普查，这类普查按州和市提供了数据、统计表和数字化图表，给出特定年龄段的身高缺陷指数，并进行了跨时间和跨空间比较。这种比较极为有用，因为它有助于评估各种方案对卫生、营养和社会福利的影响。今年将进行一项新的人口普查，与此同时还要进行一项比较分析，并衡量在结合身高改善营养状况方面所取得的进展。</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hint="eastAsia"/>
          <w:b/>
        </w:rPr>
        <w:t>29.</w:t>
      </w:r>
      <w:r>
        <w:rPr>
          <w:rFonts w:ascii="KaiTi_GB2312" w:eastAsia="KaiTi_GB2312" w:hint="eastAsia"/>
          <w:b/>
        </w:rPr>
        <w:tab/>
      </w:r>
      <w:r>
        <w:rPr>
          <w:rFonts w:ascii="KaiTi_GB2312" w:eastAsia="KaiTi_GB2312" w:hint="eastAsia"/>
          <w:b/>
        </w:rPr>
        <w:t>委员会不安地</w:t>
      </w:r>
      <w:r>
        <w:rPr>
          <w:rFonts w:ascii="KaiTi_GB2312" w:eastAsia="KaiTi_GB2312" w:hint="eastAsia"/>
          <w:b/>
        </w:rPr>
        <w:t>了解到，导致墨西哥妇女死亡的原因中排在第四位的是非法堕胎。</w:t>
      </w:r>
    </w:p>
    <w:p w:rsidR="00000000" w:rsidRDefault="00457650">
      <w:pPr>
        <w:widowControl/>
        <w:tabs>
          <w:tab w:val="left" w:pos="630"/>
        </w:tabs>
        <w:spacing w:after="240" w:line="360" w:lineRule="exact"/>
        <w:rPr>
          <w:rFonts w:hint="eastAsia"/>
          <w:spacing w:val="2"/>
        </w:rPr>
      </w:pPr>
      <w:r>
        <w:t>1064</w:t>
      </w:r>
      <w:r>
        <w:rPr>
          <w:rFonts w:hint="eastAsia"/>
        </w:rPr>
        <w:t>.</w:t>
      </w:r>
      <w:r>
        <w:rPr>
          <w:rFonts w:hint="eastAsia"/>
        </w:rPr>
        <w:tab/>
      </w:r>
      <w:r>
        <w:rPr>
          <w:rFonts w:hint="eastAsia"/>
          <w:spacing w:val="2"/>
        </w:rPr>
        <w:t>一开始就应该指出，关于非法堕胎是导致妇女死亡的第四大原因的说法是不正确的。在墨西哥，</w:t>
      </w:r>
      <w:r>
        <w:rPr>
          <w:spacing w:val="2"/>
        </w:rPr>
        <w:t>2001</w:t>
      </w:r>
      <w:r>
        <w:rPr>
          <w:rFonts w:hint="eastAsia"/>
          <w:spacing w:val="2"/>
        </w:rPr>
        <w:t>年导致妇女死亡的前十大原因为：糖尿病、心肌疾病、脑动脉疾病、围产期发生的某些感染、慢性阻塞性肺部疾病、肝硬化和其他慢性肝病、急性下呼吸道疾病、高血压引起的疾病、肾炎、肾变病和子宫颈恶性肿瘤。</w:t>
      </w:r>
    </w:p>
    <w:p w:rsidR="00000000" w:rsidRDefault="00457650">
      <w:pPr>
        <w:widowControl/>
        <w:tabs>
          <w:tab w:val="left" w:pos="630"/>
        </w:tabs>
        <w:spacing w:after="240" w:line="360" w:lineRule="exact"/>
        <w:rPr>
          <w:rFonts w:hint="eastAsia"/>
        </w:rPr>
      </w:pPr>
      <w:r>
        <w:rPr>
          <w:spacing w:val="2"/>
        </w:rPr>
        <w:t>1065</w:t>
      </w:r>
      <w:r>
        <w:rPr>
          <w:rFonts w:hint="eastAsia"/>
          <w:spacing w:val="2"/>
        </w:rPr>
        <w:t>.</w:t>
      </w:r>
      <w:r>
        <w:rPr>
          <w:rFonts w:hint="eastAsia"/>
          <w:spacing w:val="2"/>
        </w:rPr>
        <w:tab/>
      </w:r>
      <w:r>
        <w:rPr>
          <w:rFonts w:hint="eastAsia"/>
          <w:spacing w:val="2"/>
        </w:rPr>
        <w:t>怀孕、分娩和产后相关的死亡——这一类中包括与任何形式堕胎相关的死亡——并没有出现在导致墨西哥妇女死亡的</w:t>
      </w:r>
      <w:r>
        <w:rPr>
          <w:spacing w:val="2"/>
        </w:rPr>
        <w:t>20</w:t>
      </w:r>
      <w:r>
        <w:rPr>
          <w:rFonts w:hint="eastAsia"/>
          <w:spacing w:val="2"/>
        </w:rPr>
        <w:t>个主要原因中。另外，他们没有出现在育龄</w:t>
      </w:r>
      <w:r>
        <w:rPr>
          <w:rFonts w:hint="eastAsia"/>
          <w:spacing w:val="2"/>
        </w:rPr>
        <w:t>（</w:t>
      </w:r>
      <w:r>
        <w:rPr>
          <w:spacing w:val="2"/>
        </w:rPr>
        <w:t>15</w:t>
      </w:r>
      <w:r>
        <w:rPr>
          <w:rFonts w:hint="eastAsia"/>
          <w:spacing w:val="2"/>
        </w:rPr>
        <w:t>－</w:t>
      </w:r>
      <w:r>
        <w:rPr>
          <w:spacing w:val="2"/>
        </w:rPr>
        <w:t>64</w:t>
      </w:r>
      <w:r>
        <w:rPr>
          <w:rFonts w:hint="eastAsia"/>
          <w:spacing w:val="2"/>
        </w:rPr>
        <w:t>岁）妇女死亡的</w:t>
      </w:r>
      <w:r>
        <w:rPr>
          <w:spacing w:val="2"/>
        </w:rPr>
        <w:t>10</w:t>
      </w:r>
      <w:r>
        <w:rPr>
          <w:rFonts w:hint="eastAsia"/>
          <w:spacing w:val="2"/>
        </w:rPr>
        <w:t>个主要原因中；导致该年龄组妇女死亡的</w:t>
      </w:r>
      <w:r>
        <w:rPr>
          <w:spacing w:val="2"/>
        </w:rPr>
        <w:t>5</w:t>
      </w:r>
      <w:r>
        <w:rPr>
          <w:rFonts w:hint="eastAsia"/>
          <w:spacing w:val="2"/>
        </w:rPr>
        <w:t>个主要原因为糖尿病、心肌疾病、恶性肿瘤、脑动脉疾病和慢性阻塞性肺部疾病。</w:t>
      </w:r>
    </w:p>
    <w:p w:rsidR="00000000" w:rsidRDefault="00457650">
      <w:pPr>
        <w:widowControl/>
        <w:tabs>
          <w:tab w:val="left" w:pos="630"/>
        </w:tabs>
        <w:spacing w:after="240" w:line="360" w:lineRule="exact"/>
        <w:rPr>
          <w:rFonts w:hint="eastAsia"/>
        </w:rPr>
      </w:pPr>
      <w:r>
        <w:t>1066</w:t>
      </w:r>
      <w:r>
        <w:rPr>
          <w:rFonts w:hint="eastAsia"/>
        </w:rPr>
        <w:t>.</w:t>
      </w:r>
      <w:r>
        <w:rPr>
          <w:rFonts w:hint="eastAsia"/>
        </w:rPr>
        <w:tab/>
      </w:r>
      <w:r>
        <w:rPr>
          <w:rFonts w:hint="eastAsia"/>
        </w:rPr>
        <w:t>关于墨西哥的产妇死亡率，排在第四位的原因是堕胎引起的综合症；这一类别中不仅包括人工流产，还有其他各种流产，包括自然流产。要计算非法流产的准确数字是不可能的，因为这些行为没有登记。</w:t>
      </w:r>
    </w:p>
    <w:p w:rsidR="00000000" w:rsidRDefault="00457650">
      <w:pPr>
        <w:widowControl/>
        <w:tabs>
          <w:tab w:val="left" w:pos="630"/>
        </w:tabs>
        <w:spacing w:after="240" w:line="360" w:lineRule="exact"/>
        <w:rPr>
          <w:rFonts w:hint="eastAsia"/>
        </w:rPr>
      </w:pPr>
      <w:r>
        <w:t>1067</w:t>
      </w:r>
      <w:r>
        <w:rPr>
          <w:rFonts w:hint="eastAsia"/>
        </w:rPr>
        <w:t>.</w:t>
      </w:r>
      <w:r>
        <w:rPr>
          <w:rFonts w:hint="eastAsia"/>
        </w:rPr>
        <w:tab/>
      </w:r>
      <w:r>
        <w:rPr>
          <w:rFonts w:hint="eastAsia"/>
        </w:rPr>
        <w:t>以在墨西哥境内阻止流产为目的的卫生计划和活动侧重预防计划外怀孕，对年轻人进行广泛的性教育，开展宣传教育运动，宣传进行负责的、明智的和自主的计划生育好处，最主要的是为公</w:t>
      </w:r>
      <w:r>
        <w:rPr>
          <w:rFonts w:hint="eastAsia"/>
        </w:rPr>
        <w:t>民提供计划生育服务、产前护理服务，以及分娩时的专业护理服务，以尽早发现风险和并发症。</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hint="eastAsia"/>
          <w:b/>
        </w:rPr>
        <w:t>30.</w:t>
      </w:r>
      <w:r>
        <w:rPr>
          <w:rFonts w:ascii="KaiTi_GB2312" w:eastAsia="KaiTi_GB2312" w:hint="eastAsia"/>
          <w:b/>
        </w:rPr>
        <w:tab/>
      </w:r>
      <w:r>
        <w:rPr>
          <w:rFonts w:ascii="KaiTi_GB2312" w:eastAsia="KaiTi_GB2312" w:hint="eastAsia"/>
          <w:b/>
        </w:rPr>
        <w:t>委员会建议缔约国确定一些标准，以便于监测在消除贫穷方面所取得的进展。委员会希望缔约国在其第四次报告中评估在使墨西哥人民进一步享有经济、社会和文化权利方面所取得的进展，评估可利用确定的标准作为参照点，并以统计资料作为补充。</w:t>
      </w:r>
    </w:p>
    <w:p w:rsidR="00000000" w:rsidRDefault="00457650">
      <w:pPr>
        <w:widowControl/>
        <w:tabs>
          <w:tab w:val="left" w:pos="630"/>
        </w:tabs>
        <w:spacing w:after="240" w:line="360" w:lineRule="exact"/>
        <w:rPr>
          <w:rFonts w:hint="eastAsia"/>
        </w:rPr>
      </w:pPr>
      <w:r>
        <w:t>1068</w:t>
      </w:r>
      <w:r>
        <w:rPr>
          <w:rFonts w:hint="eastAsia"/>
        </w:rPr>
        <w:t>.</w:t>
      </w:r>
      <w:r>
        <w:rPr>
          <w:rFonts w:hint="eastAsia"/>
        </w:rPr>
        <w:tab/>
      </w:r>
      <w:r>
        <w:rPr>
          <w:rFonts w:hint="eastAsia"/>
        </w:rPr>
        <w:t>墨西哥政府已将消除贫穷和导致贫穷的结构性原因视为其所面临的主要挑战之一。战胜贫穷战略的一项核心内容就是要认识到，这是一个超越了单纯物质概念、具有高度多样性的多元化现象。由于这一原因，战</w:t>
      </w:r>
      <w:r>
        <w:rPr>
          <w:rFonts w:hint="eastAsia"/>
        </w:rPr>
        <w:t>胜贫穷就不能仅靠经济的增长。经济的持续发展和稳定的环境是必不可少的，另外还有财富的更加合理的分配；所有这些都是提高人民生活水平的必要条件，这些因素合在一起有助于创造真正的就业机遇，并为那些收入最低的人们带来更好的收入。</w:t>
      </w:r>
    </w:p>
    <w:p w:rsidR="00000000" w:rsidRDefault="00457650">
      <w:pPr>
        <w:widowControl/>
        <w:tabs>
          <w:tab w:val="left" w:pos="630"/>
        </w:tabs>
        <w:spacing w:after="240" w:line="360" w:lineRule="exact"/>
        <w:rPr>
          <w:rFonts w:hint="eastAsia"/>
        </w:rPr>
      </w:pPr>
      <w:r>
        <w:t>1069</w:t>
      </w:r>
      <w:r>
        <w:rPr>
          <w:rFonts w:hint="eastAsia"/>
        </w:rPr>
        <w:t>.</w:t>
      </w:r>
      <w:r>
        <w:rPr>
          <w:rFonts w:hint="eastAsia"/>
        </w:rPr>
        <w:tab/>
      </w:r>
      <w:r>
        <w:rPr>
          <w:rFonts w:hint="eastAsia"/>
        </w:rPr>
        <w:t>从这一目的出发，墨西哥已将下列任务确定为自己的首要目标：确保全体人民过上比较体面的生活，创造条件使每一个墨西哥人都能在机会均等的情况下充分参与国家的生产和社会活动。因此，公共政策是围绕个人制定的，并以个人为目标，这类政策的目的是通过实施全面发展，提高居民的生活水平并消除世代贫穷的</w:t>
      </w:r>
      <w:r>
        <w:rPr>
          <w:rFonts w:hint="eastAsia"/>
        </w:rPr>
        <w:t>根源。</w:t>
      </w:r>
    </w:p>
    <w:p w:rsidR="00000000" w:rsidRDefault="00457650">
      <w:pPr>
        <w:widowControl/>
        <w:tabs>
          <w:tab w:val="left" w:pos="630"/>
        </w:tabs>
        <w:spacing w:after="240" w:line="360" w:lineRule="exact"/>
        <w:rPr>
          <w:rFonts w:hint="eastAsia"/>
        </w:rPr>
      </w:pPr>
      <w:r>
        <w:t>1070</w:t>
      </w:r>
      <w:r>
        <w:rPr>
          <w:rFonts w:hint="eastAsia"/>
        </w:rPr>
        <w:t>.</w:t>
      </w:r>
      <w:r>
        <w:rPr>
          <w:rFonts w:hint="eastAsia"/>
        </w:rPr>
        <w:tab/>
      </w:r>
      <w:r>
        <w:rPr>
          <w:rFonts w:hint="eastAsia"/>
        </w:rPr>
        <w:t>除了在全国范围内所做的工作，社会发展部一直力求对贫穷进行正式的衡量，这可以作为一个参照点指导社会政策的规划、方案的制定，以及这些政策和方案的效果评估。</w:t>
      </w:r>
    </w:p>
    <w:p w:rsidR="00000000" w:rsidRDefault="00457650">
      <w:pPr>
        <w:widowControl/>
        <w:tabs>
          <w:tab w:val="left" w:pos="630"/>
        </w:tabs>
        <w:spacing w:after="240" w:line="360" w:lineRule="exact"/>
        <w:rPr>
          <w:rFonts w:hint="eastAsia"/>
        </w:rPr>
      </w:pPr>
      <w:r>
        <w:t>1071</w:t>
      </w:r>
      <w:r>
        <w:rPr>
          <w:rFonts w:hint="eastAsia"/>
        </w:rPr>
        <w:t>.</w:t>
      </w:r>
      <w:r>
        <w:rPr>
          <w:rFonts w:hint="eastAsia"/>
        </w:rPr>
        <w:tab/>
      </w:r>
      <w:r>
        <w:rPr>
          <w:rFonts w:hint="eastAsia"/>
        </w:rPr>
        <w:t>由于墨西哥没有一个广为接受的正式定义，</w:t>
      </w:r>
      <w:r>
        <w:t>2001</w:t>
      </w:r>
      <w:r>
        <w:rPr>
          <w:rFonts w:hint="eastAsia"/>
        </w:rPr>
        <w:t>年社会发展部召集一些公认的且国内独立专家，组成了墨西哥衡量贫穷技术委员会的一部分。</w:t>
      </w:r>
    </w:p>
    <w:p w:rsidR="00000000" w:rsidRDefault="00457650">
      <w:pPr>
        <w:widowControl/>
        <w:tabs>
          <w:tab w:val="left" w:pos="630"/>
        </w:tabs>
        <w:spacing w:after="240" w:line="380" w:lineRule="exact"/>
        <w:rPr>
          <w:rFonts w:hint="eastAsia"/>
        </w:rPr>
      </w:pPr>
      <w:r>
        <w:t>1072</w:t>
      </w:r>
      <w:r>
        <w:rPr>
          <w:rFonts w:hint="eastAsia"/>
        </w:rPr>
        <w:t>.</w:t>
      </w:r>
      <w:r>
        <w:rPr>
          <w:rFonts w:hint="eastAsia"/>
        </w:rPr>
        <w:tab/>
      </w:r>
      <w:r>
        <w:rPr>
          <w:rFonts w:hint="eastAsia"/>
        </w:rPr>
        <w:t>委员会建议，将国家统计、地理和信息技术研究所筹备的全国家庭收入和支出调查作为主要信息来源，根据议定的方法进行贫穷估计。委员会还利用这些调查中揭示的个人收入（扣税后）作为福利的一种衡量尺度</w:t>
      </w:r>
      <w:r>
        <w:rPr>
          <w:rFonts w:hint="eastAsia"/>
        </w:rPr>
        <w:t>。</w:t>
      </w:r>
    </w:p>
    <w:p w:rsidR="00000000" w:rsidRDefault="00457650">
      <w:pPr>
        <w:widowControl/>
        <w:tabs>
          <w:tab w:val="left" w:pos="630"/>
        </w:tabs>
        <w:spacing w:after="240" w:line="380" w:lineRule="exact"/>
        <w:rPr>
          <w:rFonts w:hint="eastAsia"/>
        </w:rPr>
      </w:pPr>
      <w:r>
        <w:rPr>
          <w:rFonts w:hint="eastAsia"/>
        </w:rPr>
        <w:t>1073.</w:t>
      </w:r>
      <w:r>
        <w:rPr>
          <w:rFonts w:hint="eastAsia"/>
        </w:rPr>
        <w:tab/>
      </w:r>
      <w:r>
        <w:rPr>
          <w:rFonts w:hint="eastAsia"/>
        </w:rPr>
        <w:t>社会发展部采纳了委员会建议的方法，在这方面，它根据委员会的标准，并利用</w:t>
      </w:r>
      <w:r>
        <w:t>ENIG</w:t>
      </w:r>
      <w:r>
        <w:rPr>
          <w:rFonts w:hint="eastAsia"/>
        </w:rPr>
        <w:t xml:space="preserve"> </w:t>
      </w:r>
      <w:r>
        <w:t>2000</w:t>
      </w:r>
      <w:r>
        <w:rPr>
          <w:rFonts w:hint="eastAsia"/>
        </w:rPr>
        <w:t>确定了按收入水平划分人口的三项基准：</w:t>
      </w:r>
    </w:p>
    <w:p w:rsidR="00000000" w:rsidRDefault="00457650" w:rsidP="00457650">
      <w:pPr>
        <w:widowControl/>
        <w:tabs>
          <w:tab w:val="left" w:pos="630"/>
        </w:tabs>
        <w:spacing w:after="240" w:line="380" w:lineRule="exact"/>
        <w:ind w:leftChars="300" w:left="31680" w:hangingChars="200" w:firstLine="31680"/>
        <w:rPr>
          <w:rFonts w:hint="eastAsia"/>
        </w:rPr>
      </w:pPr>
      <w:r>
        <w:rPr>
          <w:rFonts w:eastAsia="KaiTi_GB2312" w:hint="eastAsia"/>
        </w:rPr>
        <w:t>1.</w:t>
      </w:r>
      <w:r>
        <w:rPr>
          <w:rFonts w:eastAsia="KaiTi_GB2312" w:hint="eastAsia"/>
        </w:rPr>
        <w:tab/>
      </w:r>
      <w:r>
        <w:rPr>
          <w:rFonts w:ascii="KaiTi_GB2312" w:eastAsia="KaiTi_GB2312" w:hint="eastAsia"/>
        </w:rPr>
        <w:t>营养上的贫穷底线</w:t>
      </w:r>
      <w:r>
        <w:rPr>
          <w:rFonts w:hint="eastAsia"/>
        </w:rPr>
        <w:t>，个人收入低于满足必要营养需求底线的家庭被归入低于这一底线的类别；</w:t>
      </w:r>
    </w:p>
    <w:p w:rsidR="00000000" w:rsidRDefault="00457650" w:rsidP="00457650">
      <w:pPr>
        <w:widowControl/>
        <w:tabs>
          <w:tab w:val="left" w:pos="630"/>
        </w:tabs>
        <w:spacing w:after="240" w:line="380" w:lineRule="exact"/>
        <w:ind w:leftChars="300" w:left="31680" w:hangingChars="200" w:firstLine="31680"/>
        <w:rPr>
          <w:rFonts w:hint="eastAsia"/>
        </w:rPr>
      </w:pPr>
      <w:r>
        <w:rPr>
          <w:rFonts w:eastAsia="KaiTi_GB2312" w:hint="eastAsia"/>
        </w:rPr>
        <w:t>2.</w:t>
      </w:r>
      <w:r>
        <w:rPr>
          <w:rFonts w:eastAsia="KaiTi_GB2312" w:hint="eastAsia"/>
        </w:rPr>
        <w:tab/>
      </w:r>
      <w:r>
        <w:rPr>
          <w:rFonts w:ascii="KaiTi_GB2312" w:eastAsia="KaiTi_GB2312" w:hint="eastAsia"/>
        </w:rPr>
        <w:t>能力发展底线</w:t>
      </w:r>
      <w:r>
        <w:rPr>
          <w:rFonts w:hint="eastAsia"/>
        </w:rPr>
        <w:t>，可用于对个人收入低于满足必要营养需求底线（定义方式与上一条相同）而且不足以负担教育和健康支出的家庭进行分类。</w:t>
      </w:r>
    </w:p>
    <w:p w:rsidR="00000000" w:rsidRDefault="00457650" w:rsidP="00457650">
      <w:pPr>
        <w:widowControl/>
        <w:tabs>
          <w:tab w:val="left" w:pos="630"/>
        </w:tabs>
        <w:spacing w:after="240" w:line="380" w:lineRule="exact"/>
        <w:ind w:leftChars="300" w:left="31680" w:hangingChars="200" w:firstLine="31680"/>
        <w:rPr>
          <w:rFonts w:hint="eastAsia"/>
        </w:rPr>
      </w:pPr>
      <w:r>
        <w:rPr>
          <w:rFonts w:eastAsia="KaiTi_GB2312" w:hint="eastAsia"/>
        </w:rPr>
        <w:t>3.</w:t>
      </w:r>
      <w:r>
        <w:rPr>
          <w:rFonts w:eastAsia="KaiTi_GB2312" w:hint="eastAsia"/>
        </w:rPr>
        <w:tab/>
      </w:r>
      <w:r>
        <w:rPr>
          <w:rFonts w:ascii="KaiTi_GB2312" w:eastAsia="KaiTi_GB2312" w:hint="eastAsia"/>
        </w:rPr>
        <w:t>资产增长底线</w:t>
      </w:r>
      <w:r>
        <w:rPr>
          <w:rFonts w:hint="eastAsia"/>
        </w:rPr>
        <w:t>，用于对个人收入低于满足必要营养需求及卫生、教育、穿衣、鞋类、住房和公共交通等方面基本消费底线的家庭进行分类。</w:t>
      </w:r>
    </w:p>
    <w:p w:rsidR="00000000" w:rsidRDefault="00457650">
      <w:pPr>
        <w:widowControl/>
        <w:tabs>
          <w:tab w:val="left" w:pos="630"/>
        </w:tabs>
        <w:spacing w:after="240" w:line="380" w:lineRule="exact"/>
        <w:rPr>
          <w:rFonts w:hint="eastAsia"/>
        </w:rPr>
      </w:pPr>
      <w:r>
        <w:t>1074</w:t>
      </w:r>
      <w:r>
        <w:rPr>
          <w:rFonts w:hint="eastAsia"/>
        </w:rPr>
        <w:t>.</w:t>
      </w:r>
      <w:r>
        <w:rPr>
          <w:rFonts w:hint="eastAsia"/>
        </w:rPr>
        <w:tab/>
      </w:r>
      <w:r>
        <w:rPr>
          <w:rFonts w:hint="eastAsia"/>
        </w:rPr>
        <w:t>下表列出</w:t>
      </w:r>
      <w:r>
        <w:rPr>
          <w:rFonts w:hint="eastAsia"/>
        </w:rPr>
        <w:t>了三个贫穷底线，最初是按</w:t>
      </w:r>
      <w:r>
        <w:t>2000</w:t>
      </w:r>
      <w:r>
        <w:rPr>
          <w:rFonts w:hint="eastAsia"/>
        </w:rPr>
        <w:t>年全国家庭收入和支出普查数据进行估算，并在</w:t>
      </w:r>
      <w:r>
        <w:t>2002</w:t>
      </w:r>
      <w:r>
        <w:rPr>
          <w:rFonts w:hint="eastAsia"/>
        </w:rPr>
        <w:t>年全国家庭收入和支出普查的基础上进行了更新。</w:t>
      </w:r>
    </w:p>
    <w:p w:rsidR="00000000" w:rsidRDefault="00457650">
      <w:pPr>
        <w:widowControl/>
        <w:tabs>
          <w:tab w:val="left" w:pos="630"/>
        </w:tabs>
        <w:spacing w:after="240" w:line="360" w:lineRule="exact"/>
        <w:jc w:val="center"/>
        <w:rPr>
          <w:rFonts w:ascii="SimHei" w:eastAsia="SimHei" w:hint="eastAsia"/>
          <w:bCs/>
        </w:rPr>
      </w:pPr>
      <w:r>
        <w:rPr>
          <w:rFonts w:ascii="SimHei" w:eastAsia="SimHei"/>
          <w:bCs/>
        </w:rPr>
        <w:br w:type="page"/>
        <w:t>2000</w:t>
      </w:r>
      <w:r>
        <w:rPr>
          <w:rFonts w:ascii="SimHei" w:eastAsia="SimHei" w:hint="eastAsia"/>
          <w:bCs/>
        </w:rPr>
        <w:t>-</w:t>
      </w:r>
      <w:r>
        <w:rPr>
          <w:rFonts w:ascii="SimHei" w:eastAsia="SimHei"/>
          <w:bCs/>
        </w:rPr>
        <w:t>2002</w:t>
      </w:r>
      <w:r>
        <w:rPr>
          <w:rFonts w:ascii="SimHei" w:eastAsia="SimHei" w:hint="eastAsia"/>
          <w:bCs/>
        </w:rPr>
        <w:t>年贫穷底线</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8"/>
        <w:gridCol w:w="1677"/>
        <w:gridCol w:w="1677"/>
        <w:gridCol w:w="1679"/>
        <w:gridCol w:w="1677"/>
        <w:gridCol w:w="1563"/>
      </w:tblGrid>
      <w:tr w:rsidR="00000000">
        <w:tblPrEx>
          <w:tblCellMar>
            <w:top w:w="0" w:type="dxa"/>
            <w:bottom w:w="0" w:type="dxa"/>
          </w:tblCellMar>
        </w:tblPrEx>
        <w:trPr>
          <w:cantSplit/>
        </w:trPr>
        <w:tc>
          <w:tcPr>
            <w:tcW w:w="797" w:type="pct"/>
            <w:vMerge w:val="restart"/>
            <w:vAlign w:val="center"/>
          </w:tcPr>
          <w:p w:rsidR="00000000" w:rsidRDefault="00457650">
            <w:pPr>
              <w:widowControl/>
              <w:tabs>
                <w:tab w:val="left" w:pos="630"/>
              </w:tabs>
              <w:spacing w:before="40" w:after="40" w:line="340" w:lineRule="exact"/>
              <w:jc w:val="center"/>
              <w:rPr>
                <w:rFonts w:ascii="KaiTi_GB2312" w:eastAsia="KaiTi_GB2312" w:hint="eastAsia"/>
                <w:sz w:val="18"/>
              </w:rPr>
            </w:pPr>
            <w:r>
              <w:rPr>
                <w:rFonts w:ascii="KaiTi_GB2312" w:eastAsia="KaiTi_GB2312" w:hint="eastAsia"/>
                <w:sz w:val="18"/>
              </w:rPr>
              <w:t>贫穷类型</w:t>
            </w:r>
          </w:p>
        </w:tc>
        <w:tc>
          <w:tcPr>
            <w:tcW w:w="852" w:type="pct"/>
            <w:vMerge w:val="restart"/>
            <w:vAlign w:val="center"/>
          </w:tcPr>
          <w:p w:rsidR="00000000" w:rsidRDefault="00457650">
            <w:pPr>
              <w:widowControl/>
              <w:tabs>
                <w:tab w:val="left" w:pos="630"/>
              </w:tabs>
              <w:spacing w:before="40" w:after="40" w:line="340" w:lineRule="exact"/>
              <w:jc w:val="center"/>
              <w:rPr>
                <w:rFonts w:ascii="KaiTi_GB2312" w:eastAsia="KaiTi_GB2312" w:hint="eastAsia"/>
                <w:sz w:val="18"/>
              </w:rPr>
            </w:pPr>
            <w:r>
              <w:rPr>
                <w:rFonts w:ascii="KaiTi_GB2312" w:eastAsia="KaiTi_GB2312" w:hint="eastAsia"/>
                <w:sz w:val="18"/>
              </w:rPr>
              <w:t>分布</w:t>
            </w:r>
          </w:p>
        </w:tc>
        <w:tc>
          <w:tcPr>
            <w:tcW w:w="852" w:type="pct"/>
            <w:vAlign w:val="center"/>
          </w:tcPr>
          <w:p w:rsidR="00000000" w:rsidRDefault="00457650">
            <w:pPr>
              <w:widowControl/>
              <w:tabs>
                <w:tab w:val="left" w:pos="630"/>
              </w:tabs>
              <w:spacing w:before="40" w:after="40" w:line="340" w:lineRule="exact"/>
              <w:jc w:val="center"/>
              <w:rPr>
                <w:rFonts w:ascii="KaiTi_GB2312" w:eastAsia="KaiTi_GB2312" w:hint="eastAsia"/>
                <w:sz w:val="18"/>
              </w:rPr>
            </w:pPr>
            <w:r>
              <w:rPr>
                <w:rFonts w:ascii="KaiTi_GB2312" w:eastAsia="KaiTi_GB2312"/>
                <w:sz w:val="18"/>
              </w:rPr>
              <w:t>2000</w:t>
            </w:r>
            <w:r>
              <w:rPr>
                <w:rFonts w:ascii="KaiTi_GB2312" w:eastAsia="KaiTi_GB2312" w:hint="eastAsia"/>
                <w:sz w:val="18"/>
              </w:rPr>
              <w:t>年</w:t>
            </w:r>
          </w:p>
        </w:tc>
        <w:tc>
          <w:tcPr>
            <w:tcW w:w="853" w:type="pct"/>
            <w:vAlign w:val="center"/>
          </w:tcPr>
          <w:p w:rsidR="00000000" w:rsidRDefault="00457650">
            <w:pPr>
              <w:widowControl/>
              <w:tabs>
                <w:tab w:val="left" w:pos="630"/>
              </w:tabs>
              <w:spacing w:before="40" w:after="40" w:line="340" w:lineRule="exact"/>
              <w:jc w:val="center"/>
              <w:rPr>
                <w:rFonts w:ascii="KaiTi_GB2312" w:eastAsia="KaiTi_GB2312" w:hint="eastAsia"/>
                <w:sz w:val="18"/>
              </w:rPr>
            </w:pPr>
            <w:r>
              <w:rPr>
                <w:rFonts w:ascii="KaiTi_GB2312" w:eastAsia="KaiTi_GB2312"/>
                <w:sz w:val="18"/>
              </w:rPr>
              <w:t>2002</w:t>
            </w:r>
            <w:r>
              <w:rPr>
                <w:rFonts w:ascii="KaiTi_GB2312" w:eastAsia="KaiTi_GB2312" w:hint="eastAsia"/>
                <w:sz w:val="18"/>
              </w:rPr>
              <w:t>年</w:t>
            </w:r>
          </w:p>
        </w:tc>
        <w:tc>
          <w:tcPr>
            <w:tcW w:w="852" w:type="pct"/>
            <w:vAlign w:val="center"/>
          </w:tcPr>
          <w:p w:rsidR="00000000" w:rsidRDefault="00457650">
            <w:pPr>
              <w:widowControl/>
              <w:tabs>
                <w:tab w:val="left" w:pos="630"/>
              </w:tabs>
              <w:spacing w:before="40" w:after="40" w:line="340" w:lineRule="exact"/>
              <w:jc w:val="center"/>
              <w:rPr>
                <w:rFonts w:ascii="KaiTi_GB2312" w:eastAsia="KaiTi_GB2312" w:hint="eastAsia"/>
                <w:sz w:val="18"/>
              </w:rPr>
            </w:pPr>
            <w:r>
              <w:rPr>
                <w:rFonts w:ascii="KaiTi_GB2312" w:eastAsia="KaiTi_GB2312"/>
                <w:sz w:val="18"/>
              </w:rPr>
              <w:t>2000</w:t>
            </w:r>
            <w:r>
              <w:rPr>
                <w:rFonts w:ascii="KaiTi_GB2312" w:eastAsia="KaiTi_GB2312" w:hint="eastAsia"/>
                <w:sz w:val="18"/>
              </w:rPr>
              <w:t>年</w:t>
            </w:r>
            <w:r>
              <w:rPr>
                <w:rFonts w:ascii="KaiTi_GB2312" w:eastAsia="KaiTi_GB2312" w:hint="eastAsia"/>
                <w:sz w:val="18"/>
                <w:vertAlign w:val="superscript"/>
              </w:rPr>
              <w:t>﹡</w:t>
            </w:r>
          </w:p>
        </w:tc>
        <w:tc>
          <w:tcPr>
            <w:tcW w:w="794" w:type="pct"/>
            <w:vAlign w:val="center"/>
          </w:tcPr>
          <w:p w:rsidR="00000000" w:rsidRDefault="00457650">
            <w:pPr>
              <w:widowControl/>
              <w:tabs>
                <w:tab w:val="left" w:pos="630"/>
              </w:tabs>
              <w:spacing w:before="40" w:after="40" w:line="340" w:lineRule="exact"/>
              <w:jc w:val="center"/>
              <w:rPr>
                <w:rFonts w:ascii="KaiTi_GB2312" w:eastAsia="KaiTi_GB2312" w:hint="eastAsia"/>
                <w:sz w:val="18"/>
              </w:rPr>
            </w:pPr>
            <w:r>
              <w:rPr>
                <w:rFonts w:ascii="KaiTi_GB2312" w:eastAsia="KaiTi_GB2312"/>
                <w:sz w:val="18"/>
              </w:rPr>
              <w:t>2002</w:t>
            </w:r>
            <w:r>
              <w:rPr>
                <w:rFonts w:ascii="KaiTi_GB2312" w:eastAsia="KaiTi_GB2312" w:hint="eastAsia"/>
                <w:sz w:val="18"/>
              </w:rPr>
              <w:t>年</w:t>
            </w:r>
            <w:r>
              <w:rPr>
                <w:rFonts w:ascii="KaiTi_GB2312" w:eastAsia="KaiTi_GB2312" w:hint="eastAsia"/>
                <w:sz w:val="18"/>
                <w:vertAlign w:val="superscript"/>
              </w:rPr>
              <w:t>﹡﹡</w:t>
            </w:r>
          </w:p>
        </w:tc>
      </w:tr>
      <w:tr w:rsidR="00000000">
        <w:tblPrEx>
          <w:tblCellMar>
            <w:top w:w="0" w:type="dxa"/>
            <w:bottom w:w="0" w:type="dxa"/>
          </w:tblCellMar>
        </w:tblPrEx>
        <w:trPr>
          <w:cantSplit/>
        </w:trPr>
        <w:tc>
          <w:tcPr>
            <w:tcW w:w="797" w:type="pct"/>
            <w:vMerge/>
            <w:vAlign w:val="center"/>
          </w:tcPr>
          <w:p w:rsidR="00000000" w:rsidRDefault="00457650">
            <w:pPr>
              <w:widowControl/>
              <w:tabs>
                <w:tab w:val="left" w:pos="630"/>
              </w:tabs>
              <w:spacing w:before="40" w:after="40" w:line="340" w:lineRule="exact"/>
              <w:jc w:val="center"/>
              <w:rPr>
                <w:rFonts w:ascii="KaiTi_GB2312" w:eastAsia="KaiTi_GB2312" w:hint="eastAsia"/>
                <w:sz w:val="18"/>
              </w:rPr>
            </w:pPr>
          </w:p>
        </w:tc>
        <w:tc>
          <w:tcPr>
            <w:tcW w:w="852" w:type="pct"/>
            <w:vMerge/>
            <w:vAlign w:val="center"/>
          </w:tcPr>
          <w:p w:rsidR="00000000" w:rsidRDefault="00457650">
            <w:pPr>
              <w:widowControl/>
              <w:tabs>
                <w:tab w:val="left" w:pos="630"/>
              </w:tabs>
              <w:spacing w:before="40" w:after="40" w:line="340" w:lineRule="exact"/>
              <w:jc w:val="center"/>
              <w:rPr>
                <w:rFonts w:ascii="KaiTi_GB2312" w:eastAsia="KaiTi_GB2312" w:hint="eastAsia"/>
                <w:sz w:val="18"/>
              </w:rPr>
            </w:pPr>
          </w:p>
        </w:tc>
        <w:tc>
          <w:tcPr>
            <w:tcW w:w="1705" w:type="pct"/>
            <w:gridSpan w:val="2"/>
            <w:vAlign w:val="center"/>
          </w:tcPr>
          <w:p w:rsidR="00000000" w:rsidRDefault="00457650">
            <w:pPr>
              <w:widowControl/>
              <w:tabs>
                <w:tab w:val="left" w:pos="630"/>
              </w:tabs>
              <w:spacing w:before="40" w:after="40" w:line="340" w:lineRule="exact"/>
              <w:jc w:val="center"/>
              <w:rPr>
                <w:rFonts w:ascii="KaiTi_GB2312" w:eastAsia="KaiTi_GB2312" w:hint="eastAsia"/>
                <w:sz w:val="18"/>
              </w:rPr>
            </w:pPr>
            <w:r>
              <w:rPr>
                <w:rFonts w:ascii="KaiTi_GB2312" w:eastAsia="KaiTi_GB2312" w:hint="eastAsia"/>
                <w:sz w:val="18"/>
              </w:rPr>
              <w:t>（每月）</w:t>
            </w:r>
          </w:p>
        </w:tc>
        <w:tc>
          <w:tcPr>
            <w:tcW w:w="1646" w:type="pct"/>
            <w:gridSpan w:val="2"/>
            <w:vAlign w:val="center"/>
          </w:tcPr>
          <w:p w:rsidR="00000000" w:rsidRDefault="00457650">
            <w:pPr>
              <w:widowControl/>
              <w:tabs>
                <w:tab w:val="left" w:pos="630"/>
              </w:tabs>
              <w:spacing w:before="40" w:after="40" w:line="340" w:lineRule="exact"/>
              <w:jc w:val="center"/>
              <w:rPr>
                <w:rFonts w:ascii="KaiTi_GB2312" w:eastAsia="KaiTi_GB2312" w:hint="eastAsia"/>
                <w:sz w:val="18"/>
              </w:rPr>
            </w:pPr>
            <w:r>
              <w:rPr>
                <w:rFonts w:ascii="KaiTi_GB2312" w:eastAsia="KaiTi_GB2312" w:hint="eastAsia"/>
                <w:sz w:val="18"/>
              </w:rPr>
              <w:t>（每天）</w:t>
            </w:r>
          </w:p>
        </w:tc>
      </w:tr>
      <w:tr w:rsidR="00000000">
        <w:tblPrEx>
          <w:tblCellMar>
            <w:top w:w="0" w:type="dxa"/>
            <w:bottom w:w="0" w:type="dxa"/>
          </w:tblCellMar>
        </w:tblPrEx>
        <w:trPr>
          <w:cantSplit/>
        </w:trPr>
        <w:tc>
          <w:tcPr>
            <w:tcW w:w="797" w:type="pct"/>
            <w:vMerge w:val="restart"/>
            <w:vAlign w:val="center"/>
          </w:tcPr>
          <w:p w:rsidR="00000000" w:rsidRDefault="00457650">
            <w:pPr>
              <w:pStyle w:val="a3"/>
              <w:widowControl/>
              <w:tabs>
                <w:tab w:val="left" w:pos="630"/>
              </w:tabs>
              <w:adjustRightInd w:val="0"/>
              <w:spacing w:before="40" w:after="40" w:line="360" w:lineRule="exact"/>
              <w:textAlignment w:val="baseline"/>
              <w:rPr>
                <w:rFonts w:hint="eastAsia"/>
                <w:kern w:val="0"/>
                <w:szCs w:val="20"/>
              </w:rPr>
            </w:pPr>
            <w:r>
              <w:rPr>
                <w:rFonts w:hint="eastAsia"/>
                <w:kern w:val="0"/>
                <w:szCs w:val="20"/>
              </w:rPr>
              <w:t>营养</w:t>
            </w:r>
          </w:p>
        </w:tc>
        <w:tc>
          <w:tcPr>
            <w:tcW w:w="852" w:type="pct"/>
          </w:tcPr>
          <w:p w:rsidR="00000000" w:rsidRDefault="00457650">
            <w:pPr>
              <w:pStyle w:val="a3"/>
              <w:widowControl/>
              <w:tabs>
                <w:tab w:val="left" w:pos="630"/>
              </w:tabs>
              <w:adjustRightInd w:val="0"/>
              <w:spacing w:before="40" w:after="40" w:line="360" w:lineRule="exact"/>
              <w:textAlignment w:val="baseline"/>
              <w:rPr>
                <w:rFonts w:hint="eastAsia"/>
                <w:kern w:val="0"/>
                <w:szCs w:val="20"/>
              </w:rPr>
            </w:pPr>
            <w:r>
              <w:rPr>
                <w:rFonts w:hint="eastAsia"/>
                <w:kern w:val="0"/>
                <w:szCs w:val="20"/>
              </w:rPr>
              <w:t>城市</w:t>
            </w:r>
          </w:p>
        </w:tc>
        <w:tc>
          <w:tcPr>
            <w:tcW w:w="852"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626.00</w:t>
            </w:r>
          </w:p>
        </w:tc>
        <w:tc>
          <w:tcPr>
            <w:tcW w:w="853"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672.25</w:t>
            </w:r>
          </w:p>
        </w:tc>
        <w:tc>
          <w:tcPr>
            <w:tcW w:w="852"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20.87</w:t>
            </w:r>
          </w:p>
        </w:tc>
        <w:tc>
          <w:tcPr>
            <w:tcW w:w="794"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22.41</w:t>
            </w:r>
          </w:p>
        </w:tc>
      </w:tr>
      <w:tr w:rsidR="00000000">
        <w:tblPrEx>
          <w:tblCellMar>
            <w:top w:w="0" w:type="dxa"/>
            <w:bottom w:w="0" w:type="dxa"/>
          </w:tblCellMar>
        </w:tblPrEx>
        <w:trPr>
          <w:cantSplit/>
        </w:trPr>
        <w:tc>
          <w:tcPr>
            <w:tcW w:w="797" w:type="pct"/>
            <w:vMerge/>
            <w:vAlign w:val="center"/>
          </w:tcPr>
          <w:p w:rsidR="00000000" w:rsidRDefault="00457650">
            <w:pPr>
              <w:widowControl/>
              <w:tabs>
                <w:tab w:val="left" w:pos="630"/>
              </w:tabs>
              <w:spacing w:before="40" w:after="40" w:line="360" w:lineRule="exact"/>
              <w:rPr>
                <w:rFonts w:hint="eastAsia"/>
                <w:sz w:val="18"/>
              </w:rPr>
            </w:pPr>
          </w:p>
        </w:tc>
        <w:tc>
          <w:tcPr>
            <w:tcW w:w="852" w:type="pct"/>
          </w:tcPr>
          <w:p w:rsidR="00000000" w:rsidRDefault="00457650">
            <w:pPr>
              <w:widowControl/>
              <w:tabs>
                <w:tab w:val="left" w:pos="630"/>
              </w:tabs>
              <w:spacing w:before="40" w:after="40" w:line="360" w:lineRule="exact"/>
              <w:rPr>
                <w:rFonts w:hint="eastAsia"/>
                <w:sz w:val="18"/>
              </w:rPr>
            </w:pPr>
            <w:r>
              <w:rPr>
                <w:rFonts w:hint="eastAsia"/>
                <w:sz w:val="18"/>
              </w:rPr>
              <w:t>乡村</w:t>
            </w:r>
          </w:p>
        </w:tc>
        <w:tc>
          <w:tcPr>
            <w:tcW w:w="852"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462.96</w:t>
            </w:r>
          </w:p>
        </w:tc>
        <w:tc>
          <w:tcPr>
            <w:tcW w:w="853"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494.77</w:t>
            </w:r>
          </w:p>
        </w:tc>
        <w:tc>
          <w:tcPr>
            <w:tcW w:w="852"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15.43</w:t>
            </w:r>
          </w:p>
        </w:tc>
        <w:tc>
          <w:tcPr>
            <w:tcW w:w="794"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16.49</w:t>
            </w:r>
          </w:p>
        </w:tc>
      </w:tr>
      <w:tr w:rsidR="00000000">
        <w:tblPrEx>
          <w:tblCellMar>
            <w:top w:w="0" w:type="dxa"/>
            <w:bottom w:w="0" w:type="dxa"/>
          </w:tblCellMar>
        </w:tblPrEx>
        <w:trPr>
          <w:cantSplit/>
        </w:trPr>
        <w:tc>
          <w:tcPr>
            <w:tcW w:w="797" w:type="pct"/>
            <w:vMerge w:val="restart"/>
            <w:vAlign w:val="center"/>
          </w:tcPr>
          <w:p w:rsidR="00000000" w:rsidRDefault="00457650">
            <w:pPr>
              <w:widowControl/>
              <w:tabs>
                <w:tab w:val="left" w:pos="630"/>
              </w:tabs>
              <w:spacing w:before="40" w:after="40" w:line="360" w:lineRule="exact"/>
              <w:rPr>
                <w:rFonts w:hint="eastAsia"/>
                <w:sz w:val="18"/>
              </w:rPr>
            </w:pPr>
            <w:r>
              <w:rPr>
                <w:rFonts w:hint="eastAsia"/>
                <w:sz w:val="18"/>
              </w:rPr>
              <w:t>能力</w:t>
            </w:r>
          </w:p>
        </w:tc>
        <w:tc>
          <w:tcPr>
            <w:tcW w:w="852" w:type="pct"/>
          </w:tcPr>
          <w:p w:rsidR="00000000" w:rsidRDefault="00457650">
            <w:pPr>
              <w:widowControl/>
              <w:tabs>
                <w:tab w:val="left" w:pos="630"/>
              </w:tabs>
              <w:spacing w:before="40" w:after="40" w:line="360" w:lineRule="exact"/>
              <w:rPr>
                <w:rFonts w:hint="eastAsia"/>
                <w:sz w:val="18"/>
              </w:rPr>
            </w:pPr>
            <w:r>
              <w:rPr>
                <w:rFonts w:hint="eastAsia"/>
                <w:sz w:val="18"/>
              </w:rPr>
              <w:t>城市</w:t>
            </w:r>
          </w:p>
        </w:tc>
        <w:tc>
          <w:tcPr>
            <w:tcW w:w="852"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768.10</w:t>
            </w:r>
          </w:p>
        </w:tc>
        <w:tc>
          <w:tcPr>
            <w:tcW w:w="853"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792.29</w:t>
            </w:r>
          </w:p>
        </w:tc>
        <w:tc>
          <w:tcPr>
            <w:tcW w:w="852"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25.60</w:t>
            </w:r>
          </w:p>
        </w:tc>
        <w:tc>
          <w:tcPr>
            <w:tcW w:w="794"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26.41</w:t>
            </w:r>
          </w:p>
        </w:tc>
      </w:tr>
      <w:tr w:rsidR="00000000">
        <w:tblPrEx>
          <w:tblCellMar>
            <w:top w:w="0" w:type="dxa"/>
            <w:bottom w:w="0" w:type="dxa"/>
          </w:tblCellMar>
        </w:tblPrEx>
        <w:trPr>
          <w:cantSplit/>
        </w:trPr>
        <w:tc>
          <w:tcPr>
            <w:tcW w:w="797" w:type="pct"/>
            <w:vMerge/>
            <w:vAlign w:val="center"/>
          </w:tcPr>
          <w:p w:rsidR="00000000" w:rsidRDefault="00457650">
            <w:pPr>
              <w:widowControl/>
              <w:tabs>
                <w:tab w:val="left" w:pos="630"/>
              </w:tabs>
              <w:spacing w:before="40" w:after="40" w:line="360" w:lineRule="exact"/>
              <w:rPr>
                <w:rFonts w:hint="eastAsia"/>
                <w:sz w:val="18"/>
              </w:rPr>
            </w:pPr>
          </w:p>
        </w:tc>
        <w:tc>
          <w:tcPr>
            <w:tcW w:w="852" w:type="pct"/>
          </w:tcPr>
          <w:p w:rsidR="00000000" w:rsidRDefault="00457650">
            <w:pPr>
              <w:widowControl/>
              <w:tabs>
                <w:tab w:val="left" w:pos="630"/>
              </w:tabs>
              <w:spacing w:before="40" w:after="40" w:line="360" w:lineRule="exact"/>
              <w:rPr>
                <w:rFonts w:hint="eastAsia"/>
                <w:sz w:val="18"/>
              </w:rPr>
            </w:pPr>
            <w:r>
              <w:rPr>
                <w:rFonts w:hint="eastAsia"/>
                <w:sz w:val="18"/>
              </w:rPr>
              <w:t>乡村</w:t>
            </w:r>
          </w:p>
        </w:tc>
        <w:tc>
          <w:tcPr>
            <w:tcW w:w="852"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548.53</w:t>
            </w:r>
          </w:p>
        </w:tc>
        <w:tc>
          <w:tcPr>
            <w:tcW w:w="853"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587.57</w:t>
            </w:r>
          </w:p>
        </w:tc>
        <w:tc>
          <w:tcPr>
            <w:tcW w:w="852"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18.28</w:t>
            </w:r>
          </w:p>
        </w:tc>
        <w:tc>
          <w:tcPr>
            <w:tcW w:w="794"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19.59</w:t>
            </w:r>
          </w:p>
        </w:tc>
      </w:tr>
      <w:tr w:rsidR="00000000">
        <w:tblPrEx>
          <w:tblCellMar>
            <w:top w:w="0" w:type="dxa"/>
            <w:bottom w:w="0" w:type="dxa"/>
          </w:tblCellMar>
        </w:tblPrEx>
        <w:trPr>
          <w:cantSplit/>
        </w:trPr>
        <w:tc>
          <w:tcPr>
            <w:tcW w:w="797" w:type="pct"/>
            <w:vMerge w:val="restart"/>
            <w:vAlign w:val="center"/>
          </w:tcPr>
          <w:p w:rsidR="00000000" w:rsidRDefault="00457650">
            <w:pPr>
              <w:widowControl/>
              <w:tabs>
                <w:tab w:val="left" w:pos="630"/>
              </w:tabs>
              <w:spacing w:before="40" w:after="40" w:line="360" w:lineRule="exact"/>
              <w:rPr>
                <w:rFonts w:hint="eastAsia"/>
                <w:sz w:val="18"/>
              </w:rPr>
            </w:pPr>
            <w:r>
              <w:rPr>
                <w:rFonts w:hint="eastAsia"/>
                <w:sz w:val="18"/>
              </w:rPr>
              <w:t>资产</w:t>
            </w:r>
          </w:p>
        </w:tc>
        <w:tc>
          <w:tcPr>
            <w:tcW w:w="852" w:type="pct"/>
          </w:tcPr>
          <w:p w:rsidR="00000000" w:rsidRDefault="00457650">
            <w:pPr>
              <w:widowControl/>
              <w:tabs>
                <w:tab w:val="left" w:pos="630"/>
              </w:tabs>
              <w:spacing w:before="40" w:after="40" w:line="360" w:lineRule="exact"/>
              <w:rPr>
                <w:rFonts w:hint="eastAsia"/>
                <w:sz w:val="18"/>
              </w:rPr>
            </w:pPr>
            <w:r>
              <w:rPr>
                <w:rFonts w:hint="eastAsia"/>
                <w:sz w:val="18"/>
              </w:rPr>
              <w:t>城市</w:t>
            </w:r>
          </w:p>
        </w:tc>
        <w:tc>
          <w:tcPr>
            <w:tcW w:w="852"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1.254.51</w:t>
            </w:r>
          </w:p>
        </w:tc>
        <w:tc>
          <w:tcPr>
            <w:tcW w:w="853"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1.366.85</w:t>
            </w:r>
          </w:p>
        </w:tc>
        <w:tc>
          <w:tcPr>
            <w:tcW w:w="852"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41.82</w:t>
            </w:r>
          </w:p>
        </w:tc>
        <w:tc>
          <w:tcPr>
            <w:tcW w:w="794"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45.56</w:t>
            </w:r>
          </w:p>
        </w:tc>
      </w:tr>
      <w:tr w:rsidR="00000000">
        <w:tblPrEx>
          <w:tblCellMar>
            <w:top w:w="0" w:type="dxa"/>
            <w:bottom w:w="0" w:type="dxa"/>
          </w:tblCellMar>
        </w:tblPrEx>
        <w:trPr>
          <w:cantSplit/>
        </w:trPr>
        <w:tc>
          <w:tcPr>
            <w:tcW w:w="797" w:type="pct"/>
            <w:vMerge/>
          </w:tcPr>
          <w:p w:rsidR="00000000" w:rsidRDefault="00457650">
            <w:pPr>
              <w:widowControl/>
              <w:tabs>
                <w:tab w:val="left" w:pos="630"/>
              </w:tabs>
              <w:spacing w:before="40" w:after="40" w:line="360" w:lineRule="exact"/>
              <w:rPr>
                <w:rFonts w:hint="eastAsia"/>
                <w:sz w:val="18"/>
              </w:rPr>
            </w:pPr>
          </w:p>
        </w:tc>
        <w:tc>
          <w:tcPr>
            <w:tcW w:w="852" w:type="pct"/>
          </w:tcPr>
          <w:p w:rsidR="00000000" w:rsidRDefault="00457650">
            <w:pPr>
              <w:widowControl/>
              <w:tabs>
                <w:tab w:val="left" w:pos="630"/>
              </w:tabs>
              <w:spacing w:before="40" w:after="40" w:line="360" w:lineRule="exact"/>
              <w:rPr>
                <w:rFonts w:hint="eastAsia"/>
                <w:sz w:val="18"/>
              </w:rPr>
            </w:pPr>
            <w:r>
              <w:rPr>
                <w:rFonts w:hint="eastAsia"/>
                <w:sz w:val="18"/>
              </w:rPr>
              <w:t>乡村</w:t>
            </w:r>
          </w:p>
        </w:tc>
        <w:tc>
          <w:tcPr>
            <w:tcW w:w="852"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843.28</w:t>
            </w:r>
          </w:p>
        </w:tc>
        <w:tc>
          <w:tcPr>
            <w:tcW w:w="853"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946.94</w:t>
            </w:r>
          </w:p>
        </w:tc>
        <w:tc>
          <w:tcPr>
            <w:tcW w:w="852"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28.11</w:t>
            </w:r>
          </w:p>
        </w:tc>
        <w:tc>
          <w:tcPr>
            <w:tcW w:w="794" w:type="pct"/>
            <w:vAlign w:val="bottom"/>
          </w:tcPr>
          <w:p w:rsidR="00000000" w:rsidRDefault="00457650">
            <w:pPr>
              <w:widowControl/>
              <w:tabs>
                <w:tab w:val="left" w:pos="630"/>
              </w:tabs>
              <w:spacing w:before="40" w:after="40" w:line="360" w:lineRule="exact"/>
              <w:jc w:val="center"/>
              <w:rPr>
                <w:bCs/>
                <w:sz w:val="18"/>
                <w:szCs w:val="22"/>
              </w:rPr>
            </w:pPr>
            <w:r>
              <w:rPr>
                <w:bCs/>
                <w:sz w:val="18"/>
                <w:szCs w:val="22"/>
              </w:rPr>
              <w:t>31.56</w:t>
            </w:r>
          </w:p>
        </w:tc>
      </w:tr>
    </w:tbl>
    <w:p w:rsidR="00000000" w:rsidRDefault="00457650">
      <w:pPr>
        <w:widowControl/>
        <w:tabs>
          <w:tab w:val="left" w:pos="630"/>
        </w:tabs>
        <w:spacing w:line="360" w:lineRule="exact"/>
        <w:rPr>
          <w:rFonts w:hint="eastAsia"/>
          <w:sz w:val="18"/>
        </w:rPr>
      </w:pPr>
      <w:r>
        <w:rPr>
          <w:rFonts w:eastAsia="KaiTi_GB2312" w:hint="eastAsia"/>
          <w:sz w:val="18"/>
        </w:rPr>
        <w:t>资料来源</w:t>
      </w:r>
      <w:r>
        <w:rPr>
          <w:rFonts w:hint="eastAsia"/>
          <w:sz w:val="18"/>
        </w:rPr>
        <w:t>：</w:t>
      </w:r>
      <w:r>
        <w:rPr>
          <w:sz w:val="18"/>
        </w:rPr>
        <w:t xml:space="preserve"> 2000</w:t>
      </w:r>
      <w:r>
        <w:rPr>
          <w:rFonts w:hint="eastAsia"/>
          <w:sz w:val="18"/>
        </w:rPr>
        <w:t>年和</w:t>
      </w:r>
      <w:r>
        <w:rPr>
          <w:sz w:val="18"/>
        </w:rPr>
        <w:t>2002</w:t>
      </w:r>
      <w:r>
        <w:rPr>
          <w:rFonts w:hint="eastAsia"/>
          <w:sz w:val="18"/>
        </w:rPr>
        <w:t>年全国家庭收入和支出普查。</w:t>
      </w:r>
    </w:p>
    <w:p w:rsidR="00000000" w:rsidRDefault="00457650">
      <w:pPr>
        <w:widowControl/>
        <w:tabs>
          <w:tab w:val="left" w:pos="630"/>
        </w:tabs>
        <w:spacing w:line="360" w:lineRule="exact"/>
        <w:rPr>
          <w:rFonts w:hint="eastAsia"/>
          <w:sz w:val="18"/>
        </w:rPr>
      </w:pPr>
      <w:r>
        <w:rPr>
          <w:rFonts w:hint="eastAsia"/>
          <w:sz w:val="18"/>
          <w:vertAlign w:val="superscript"/>
        </w:rPr>
        <w:t xml:space="preserve">* </w:t>
      </w:r>
      <w:r>
        <w:rPr>
          <w:rFonts w:hint="eastAsia"/>
          <w:sz w:val="18"/>
        </w:rPr>
        <w:t xml:space="preserve">  </w:t>
      </w:r>
      <w:r>
        <w:rPr>
          <w:sz w:val="18"/>
        </w:rPr>
        <w:t>2000</w:t>
      </w:r>
      <w:r>
        <w:rPr>
          <w:rFonts w:hint="eastAsia"/>
          <w:sz w:val="18"/>
        </w:rPr>
        <w:t>年</w:t>
      </w:r>
      <w:r>
        <w:rPr>
          <w:sz w:val="18"/>
        </w:rPr>
        <w:t>8</w:t>
      </w:r>
      <w:r>
        <w:rPr>
          <w:rFonts w:hint="eastAsia"/>
          <w:sz w:val="18"/>
        </w:rPr>
        <w:t>月价格。</w:t>
      </w:r>
    </w:p>
    <w:p w:rsidR="00000000" w:rsidRDefault="00457650">
      <w:pPr>
        <w:widowControl/>
        <w:tabs>
          <w:tab w:val="left" w:pos="630"/>
        </w:tabs>
        <w:spacing w:after="240" w:line="360" w:lineRule="exact"/>
        <w:rPr>
          <w:rFonts w:hint="eastAsia"/>
          <w:sz w:val="18"/>
        </w:rPr>
      </w:pPr>
      <w:r>
        <w:rPr>
          <w:rFonts w:hint="eastAsia"/>
          <w:sz w:val="18"/>
          <w:vertAlign w:val="superscript"/>
        </w:rPr>
        <w:t>**</w:t>
      </w:r>
      <w:r>
        <w:rPr>
          <w:rFonts w:hint="eastAsia"/>
          <w:sz w:val="18"/>
        </w:rPr>
        <w:t xml:space="preserve">  </w:t>
      </w:r>
      <w:r>
        <w:rPr>
          <w:sz w:val="18"/>
        </w:rPr>
        <w:t>2002</w:t>
      </w:r>
      <w:r>
        <w:rPr>
          <w:rFonts w:hint="eastAsia"/>
          <w:sz w:val="18"/>
        </w:rPr>
        <w:t>年</w:t>
      </w:r>
      <w:r>
        <w:rPr>
          <w:sz w:val="18"/>
        </w:rPr>
        <w:t>8</w:t>
      </w:r>
      <w:r>
        <w:rPr>
          <w:rFonts w:hint="eastAsia"/>
          <w:sz w:val="18"/>
        </w:rPr>
        <w:t>月价格。</w:t>
      </w:r>
    </w:p>
    <w:p w:rsidR="00000000" w:rsidRDefault="00457650">
      <w:pPr>
        <w:widowControl/>
        <w:tabs>
          <w:tab w:val="left" w:pos="630"/>
        </w:tabs>
        <w:spacing w:after="240" w:line="380" w:lineRule="exact"/>
        <w:rPr>
          <w:rFonts w:hint="eastAsia"/>
        </w:rPr>
      </w:pPr>
      <w:r>
        <w:t>1075</w:t>
      </w:r>
      <w:r>
        <w:rPr>
          <w:rFonts w:hint="eastAsia"/>
        </w:rPr>
        <w:t>.</w:t>
      </w:r>
      <w:r>
        <w:rPr>
          <w:rFonts w:hint="eastAsia"/>
        </w:rPr>
        <w:tab/>
      </w:r>
      <w:r>
        <w:rPr>
          <w:rFonts w:hint="eastAsia"/>
        </w:rPr>
        <w:t>从一贯的情况看，行政管理机构时常将所采取的措施与所取得的结果混为一谈，报告的内容历来包括所采取的措施。不过，这个衡量系统现在第一次提供了一个比较的基准，我们据此对实际结果进行衡量。</w:t>
      </w:r>
    </w:p>
    <w:p w:rsidR="00000000" w:rsidRDefault="00457650">
      <w:pPr>
        <w:widowControl/>
        <w:tabs>
          <w:tab w:val="left" w:pos="630"/>
        </w:tabs>
        <w:spacing w:after="240" w:line="380" w:lineRule="exact"/>
        <w:rPr>
          <w:rFonts w:hint="eastAsia"/>
        </w:rPr>
      </w:pPr>
      <w:r>
        <w:t>1076</w:t>
      </w:r>
      <w:r>
        <w:rPr>
          <w:rFonts w:hint="eastAsia"/>
        </w:rPr>
        <w:t>.</w:t>
      </w:r>
      <w:r>
        <w:rPr>
          <w:rFonts w:hint="eastAsia"/>
        </w:rPr>
        <w:tab/>
      </w:r>
      <w:r>
        <w:rPr>
          <w:rFonts w:hint="eastAsia"/>
        </w:rPr>
        <w:t>鉴于</w:t>
      </w:r>
      <w:r>
        <w:t>2000</w:t>
      </w:r>
      <w:r>
        <w:rPr>
          <w:rFonts w:hint="eastAsia"/>
        </w:rPr>
        <w:t>年和</w:t>
      </w:r>
      <w:r>
        <w:t>2002</w:t>
      </w:r>
      <w:r>
        <w:rPr>
          <w:rFonts w:hint="eastAsia"/>
        </w:rPr>
        <w:t>年全国家庭收入和支出普查</w:t>
      </w:r>
      <w:r>
        <w:rPr>
          <w:rFonts w:hint="eastAsia"/>
        </w:rPr>
        <w:t>的可比性，现在有可能对低于所有三个参考底线的人口比例趋势进行衡量。为了进行这一比较，对贫穷衡量技术委员会建议的正式方法做了更新，并用于分析从</w:t>
      </w:r>
      <w:r>
        <w:t>2002</w:t>
      </w:r>
      <w:r>
        <w:rPr>
          <w:rFonts w:hint="eastAsia"/>
        </w:rPr>
        <w:t>年全国家庭收入和支出普查中获得的数据。</w:t>
      </w:r>
    </w:p>
    <w:p w:rsidR="00000000" w:rsidRDefault="00457650">
      <w:pPr>
        <w:widowControl/>
        <w:tabs>
          <w:tab w:val="left" w:pos="630"/>
        </w:tabs>
        <w:spacing w:after="240" w:line="360" w:lineRule="exact"/>
        <w:jc w:val="center"/>
        <w:rPr>
          <w:rFonts w:ascii="SimHei" w:eastAsia="SimHei" w:hint="eastAsia"/>
          <w:bCs/>
        </w:rPr>
      </w:pPr>
      <w:r>
        <w:rPr>
          <w:rFonts w:ascii="SimHei" w:eastAsia="SimHei"/>
          <w:bCs/>
        </w:rPr>
        <w:t>2002</w:t>
      </w:r>
      <w:r>
        <w:rPr>
          <w:rFonts w:ascii="SimHei" w:eastAsia="SimHei" w:hint="eastAsia"/>
          <w:bCs/>
        </w:rPr>
        <w:t>年贫穷家庭和个人百分比</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9"/>
        <w:gridCol w:w="1418"/>
        <w:gridCol w:w="1199"/>
        <w:gridCol w:w="1199"/>
        <w:gridCol w:w="1199"/>
        <w:gridCol w:w="1199"/>
        <w:gridCol w:w="1199"/>
        <w:gridCol w:w="1199"/>
      </w:tblGrid>
      <w:tr w:rsidR="00000000">
        <w:tblPrEx>
          <w:tblCellMar>
            <w:top w:w="0" w:type="dxa"/>
            <w:bottom w:w="0" w:type="dxa"/>
          </w:tblCellMar>
        </w:tblPrEx>
        <w:trPr>
          <w:cantSplit/>
        </w:trPr>
        <w:tc>
          <w:tcPr>
            <w:tcW w:w="625" w:type="pct"/>
            <w:vMerge w:val="restart"/>
            <w:vAlign w:val="center"/>
          </w:tcPr>
          <w:p w:rsidR="00000000" w:rsidRDefault="00457650">
            <w:pPr>
              <w:widowControl/>
              <w:tabs>
                <w:tab w:val="left" w:pos="630"/>
              </w:tabs>
              <w:spacing w:before="40" w:after="40" w:line="280" w:lineRule="exact"/>
              <w:jc w:val="center"/>
              <w:rPr>
                <w:rFonts w:ascii="KaiTi_GB2312" w:eastAsia="KaiTi_GB2312" w:hint="eastAsia"/>
                <w:sz w:val="18"/>
              </w:rPr>
            </w:pPr>
            <w:r>
              <w:rPr>
                <w:rFonts w:ascii="KaiTi_GB2312" w:eastAsia="KaiTi_GB2312" w:hint="eastAsia"/>
                <w:sz w:val="18"/>
              </w:rPr>
              <w:t>贫穷类型</w:t>
            </w:r>
          </w:p>
        </w:tc>
        <w:tc>
          <w:tcPr>
            <w:tcW w:w="721" w:type="pct"/>
            <w:vMerge w:val="restart"/>
            <w:vAlign w:val="center"/>
          </w:tcPr>
          <w:p w:rsidR="00000000" w:rsidRDefault="00457650">
            <w:pPr>
              <w:pStyle w:val="Header"/>
              <w:widowControl/>
              <w:pBdr>
                <w:bottom w:val="none" w:sz="0" w:space="0" w:color="auto"/>
              </w:pBdr>
              <w:tabs>
                <w:tab w:val="clear" w:pos="4320"/>
                <w:tab w:val="clear" w:pos="8640"/>
                <w:tab w:val="left" w:pos="630"/>
              </w:tabs>
              <w:spacing w:before="40" w:after="40" w:line="280" w:lineRule="exact"/>
              <w:rPr>
                <w:rFonts w:ascii="KaiTi_GB2312" w:eastAsia="KaiTi_GB2312" w:hint="eastAsia"/>
              </w:rPr>
            </w:pPr>
          </w:p>
        </w:tc>
        <w:tc>
          <w:tcPr>
            <w:tcW w:w="1217" w:type="pct"/>
            <w:gridSpan w:val="2"/>
            <w:vAlign w:val="center"/>
          </w:tcPr>
          <w:p w:rsidR="00000000" w:rsidRDefault="00457650">
            <w:pPr>
              <w:widowControl/>
              <w:tabs>
                <w:tab w:val="left" w:pos="630"/>
              </w:tabs>
              <w:spacing w:before="40" w:after="40" w:line="280" w:lineRule="exact"/>
              <w:jc w:val="center"/>
              <w:rPr>
                <w:rFonts w:ascii="KaiTi_GB2312" w:eastAsia="KaiTi_GB2312" w:hint="eastAsia"/>
                <w:sz w:val="18"/>
              </w:rPr>
            </w:pPr>
            <w:r>
              <w:rPr>
                <w:rFonts w:ascii="KaiTi_GB2312" w:eastAsia="KaiTi_GB2312" w:hint="eastAsia"/>
                <w:sz w:val="18"/>
              </w:rPr>
              <w:t>城市</w:t>
            </w:r>
          </w:p>
        </w:tc>
        <w:tc>
          <w:tcPr>
            <w:tcW w:w="1218" w:type="pct"/>
            <w:gridSpan w:val="2"/>
            <w:vAlign w:val="center"/>
          </w:tcPr>
          <w:p w:rsidR="00000000" w:rsidRDefault="00457650">
            <w:pPr>
              <w:widowControl/>
              <w:tabs>
                <w:tab w:val="left" w:pos="630"/>
              </w:tabs>
              <w:spacing w:before="40" w:after="40" w:line="280" w:lineRule="exact"/>
              <w:jc w:val="center"/>
              <w:rPr>
                <w:rFonts w:ascii="KaiTi_GB2312" w:eastAsia="KaiTi_GB2312" w:hint="eastAsia"/>
                <w:sz w:val="18"/>
              </w:rPr>
            </w:pPr>
            <w:r>
              <w:rPr>
                <w:rFonts w:ascii="KaiTi_GB2312" w:eastAsia="KaiTi_GB2312" w:hint="eastAsia"/>
                <w:sz w:val="18"/>
              </w:rPr>
              <w:t>乡村</w:t>
            </w:r>
          </w:p>
        </w:tc>
        <w:tc>
          <w:tcPr>
            <w:tcW w:w="1218" w:type="pct"/>
            <w:gridSpan w:val="2"/>
            <w:vAlign w:val="center"/>
          </w:tcPr>
          <w:p w:rsidR="00000000" w:rsidRDefault="00457650">
            <w:pPr>
              <w:widowControl/>
              <w:tabs>
                <w:tab w:val="left" w:pos="630"/>
              </w:tabs>
              <w:spacing w:before="40" w:after="40" w:line="280" w:lineRule="exact"/>
              <w:jc w:val="center"/>
              <w:rPr>
                <w:rFonts w:ascii="KaiTi_GB2312" w:eastAsia="KaiTi_GB2312" w:hint="eastAsia"/>
                <w:sz w:val="18"/>
              </w:rPr>
            </w:pPr>
            <w:r>
              <w:rPr>
                <w:rFonts w:ascii="KaiTi_GB2312" w:eastAsia="KaiTi_GB2312" w:hint="eastAsia"/>
                <w:sz w:val="18"/>
              </w:rPr>
              <w:t>全国</w:t>
            </w:r>
          </w:p>
        </w:tc>
      </w:tr>
      <w:tr w:rsidR="00000000">
        <w:tblPrEx>
          <w:tblCellMar>
            <w:top w:w="0" w:type="dxa"/>
            <w:bottom w:w="0" w:type="dxa"/>
          </w:tblCellMar>
        </w:tblPrEx>
        <w:trPr>
          <w:cantSplit/>
        </w:trPr>
        <w:tc>
          <w:tcPr>
            <w:tcW w:w="625" w:type="pct"/>
            <w:vMerge/>
            <w:vAlign w:val="center"/>
          </w:tcPr>
          <w:p w:rsidR="00000000" w:rsidRDefault="00457650">
            <w:pPr>
              <w:widowControl/>
              <w:tabs>
                <w:tab w:val="left" w:pos="630"/>
              </w:tabs>
              <w:spacing w:before="40" w:after="40" w:line="280" w:lineRule="exact"/>
              <w:jc w:val="center"/>
              <w:rPr>
                <w:rFonts w:ascii="KaiTi_GB2312" w:eastAsia="KaiTi_GB2312" w:hint="eastAsia"/>
                <w:sz w:val="18"/>
              </w:rPr>
            </w:pPr>
          </w:p>
        </w:tc>
        <w:tc>
          <w:tcPr>
            <w:tcW w:w="721" w:type="pct"/>
            <w:vMerge/>
            <w:vAlign w:val="center"/>
          </w:tcPr>
          <w:p w:rsidR="00000000" w:rsidRDefault="00457650">
            <w:pPr>
              <w:widowControl/>
              <w:tabs>
                <w:tab w:val="left" w:pos="630"/>
              </w:tabs>
              <w:spacing w:before="40" w:after="40" w:line="280" w:lineRule="exact"/>
              <w:jc w:val="center"/>
              <w:rPr>
                <w:rFonts w:ascii="KaiTi_GB2312" w:eastAsia="KaiTi_GB2312" w:hint="eastAsia"/>
                <w:sz w:val="18"/>
              </w:rPr>
            </w:pPr>
          </w:p>
        </w:tc>
        <w:tc>
          <w:tcPr>
            <w:tcW w:w="609" w:type="pct"/>
            <w:vAlign w:val="center"/>
          </w:tcPr>
          <w:p w:rsidR="00000000" w:rsidRDefault="00457650">
            <w:pPr>
              <w:widowControl/>
              <w:tabs>
                <w:tab w:val="left" w:pos="630"/>
              </w:tabs>
              <w:spacing w:before="40" w:after="40" w:line="280" w:lineRule="exact"/>
              <w:jc w:val="center"/>
              <w:rPr>
                <w:rFonts w:ascii="KaiTi_GB2312" w:eastAsia="KaiTi_GB2312" w:hint="eastAsia"/>
                <w:sz w:val="18"/>
              </w:rPr>
            </w:pPr>
            <w:r>
              <w:rPr>
                <w:rFonts w:ascii="KaiTi_GB2312" w:eastAsia="KaiTi_GB2312"/>
                <w:sz w:val="18"/>
              </w:rPr>
              <w:t>2000</w:t>
            </w:r>
            <w:r>
              <w:rPr>
                <w:rFonts w:ascii="KaiTi_GB2312" w:eastAsia="KaiTi_GB2312" w:hint="eastAsia"/>
                <w:sz w:val="18"/>
              </w:rPr>
              <w:t>年</w:t>
            </w:r>
          </w:p>
        </w:tc>
        <w:tc>
          <w:tcPr>
            <w:tcW w:w="609" w:type="pct"/>
            <w:vAlign w:val="center"/>
          </w:tcPr>
          <w:p w:rsidR="00000000" w:rsidRDefault="00457650">
            <w:pPr>
              <w:widowControl/>
              <w:tabs>
                <w:tab w:val="left" w:pos="630"/>
              </w:tabs>
              <w:spacing w:before="40" w:after="40" w:line="280" w:lineRule="exact"/>
              <w:jc w:val="center"/>
              <w:rPr>
                <w:rFonts w:ascii="KaiTi_GB2312" w:eastAsia="KaiTi_GB2312" w:hint="eastAsia"/>
                <w:sz w:val="18"/>
              </w:rPr>
            </w:pPr>
            <w:r>
              <w:rPr>
                <w:rFonts w:ascii="KaiTi_GB2312" w:eastAsia="KaiTi_GB2312"/>
                <w:sz w:val="18"/>
              </w:rPr>
              <w:t>2002</w:t>
            </w:r>
            <w:r>
              <w:rPr>
                <w:rFonts w:ascii="KaiTi_GB2312" w:eastAsia="KaiTi_GB2312" w:hint="eastAsia"/>
                <w:sz w:val="18"/>
              </w:rPr>
              <w:t>年</w:t>
            </w:r>
          </w:p>
        </w:tc>
        <w:tc>
          <w:tcPr>
            <w:tcW w:w="609" w:type="pct"/>
            <w:vAlign w:val="center"/>
          </w:tcPr>
          <w:p w:rsidR="00000000" w:rsidRDefault="00457650">
            <w:pPr>
              <w:widowControl/>
              <w:tabs>
                <w:tab w:val="left" w:pos="630"/>
              </w:tabs>
              <w:spacing w:before="40" w:after="40" w:line="280" w:lineRule="exact"/>
              <w:jc w:val="center"/>
              <w:rPr>
                <w:rFonts w:ascii="KaiTi_GB2312" w:eastAsia="KaiTi_GB2312" w:hint="eastAsia"/>
                <w:sz w:val="18"/>
              </w:rPr>
            </w:pPr>
            <w:r>
              <w:rPr>
                <w:rFonts w:ascii="KaiTi_GB2312" w:eastAsia="KaiTi_GB2312"/>
                <w:sz w:val="18"/>
              </w:rPr>
              <w:t>2000</w:t>
            </w:r>
            <w:r>
              <w:rPr>
                <w:rFonts w:ascii="KaiTi_GB2312" w:eastAsia="KaiTi_GB2312" w:hint="eastAsia"/>
                <w:sz w:val="18"/>
              </w:rPr>
              <w:t>年</w:t>
            </w:r>
          </w:p>
        </w:tc>
        <w:tc>
          <w:tcPr>
            <w:tcW w:w="609" w:type="pct"/>
            <w:vAlign w:val="center"/>
          </w:tcPr>
          <w:p w:rsidR="00000000" w:rsidRDefault="00457650">
            <w:pPr>
              <w:widowControl/>
              <w:tabs>
                <w:tab w:val="left" w:pos="630"/>
              </w:tabs>
              <w:spacing w:before="40" w:after="40" w:line="280" w:lineRule="exact"/>
              <w:jc w:val="center"/>
              <w:rPr>
                <w:rFonts w:ascii="KaiTi_GB2312" w:eastAsia="KaiTi_GB2312" w:hint="eastAsia"/>
                <w:sz w:val="18"/>
              </w:rPr>
            </w:pPr>
            <w:r>
              <w:rPr>
                <w:rFonts w:ascii="KaiTi_GB2312" w:eastAsia="KaiTi_GB2312"/>
                <w:sz w:val="18"/>
              </w:rPr>
              <w:t>2002</w:t>
            </w:r>
            <w:r>
              <w:rPr>
                <w:rFonts w:ascii="KaiTi_GB2312" w:eastAsia="KaiTi_GB2312" w:hint="eastAsia"/>
                <w:sz w:val="18"/>
              </w:rPr>
              <w:t>年</w:t>
            </w:r>
          </w:p>
        </w:tc>
        <w:tc>
          <w:tcPr>
            <w:tcW w:w="609" w:type="pct"/>
            <w:vAlign w:val="center"/>
          </w:tcPr>
          <w:p w:rsidR="00000000" w:rsidRDefault="00457650">
            <w:pPr>
              <w:widowControl/>
              <w:tabs>
                <w:tab w:val="left" w:pos="630"/>
              </w:tabs>
              <w:spacing w:before="40" w:after="40" w:line="280" w:lineRule="exact"/>
              <w:jc w:val="center"/>
              <w:rPr>
                <w:rFonts w:ascii="KaiTi_GB2312" w:eastAsia="KaiTi_GB2312" w:hint="eastAsia"/>
                <w:sz w:val="18"/>
              </w:rPr>
            </w:pPr>
            <w:r>
              <w:rPr>
                <w:rFonts w:ascii="KaiTi_GB2312" w:eastAsia="KaiTi_GB2312"/>
                <w:sz w:val="18"/>
              </w:rPr>
              <w:t>2000</w:t>
            </w:r>
            <w:r>
              <w:rPr>
                <w:rFonts w:ascii="KaiTi_GB2312" w:eastAsia="KaiTi_GB2312" w:hint="eastAsia"/>
                <w:sz w:val="18"/>
              </w:rPr>
              <w:t>年</w:t>
            </w:r>
          </w:p>
        </w:tc>
        <w:tc>
          <w:tcPr>
            <w:tcW w:w="609" w:type="pct"/>
            <w:vAlign w:val="center"/>
          </w:tcPr>
          <w:p w:rsidR="00000000" w:rsidRDefault="00457650">
            <w:pPr>
              <w:widowControl/>
              <w:tabs>
                <w:tab w:val="left" w:pos="630"/>
              </w:tabs>
              <w:spacing w:before="40" w:after="40" w:line="280" w:lineRule="exact"/>
              <w:jc w:val="center"/>
              <w:rPr>
                <w:rFonts w:ascii="KaiTi_GB2312" w:eastAsia="KaiTi_GB2312" w:hint="eastAsia"/>
                <w:sz w:val="18"/>
              </w:rPr>
            </w:pPr>
            <w:r>
              <w:rPr>
                <w:rFonts w:ascii="KaiTi_GB2312" w:eastAsia="KaiTi_GB2312"/>
                <w:sz w:val="18"/>
              </w:rPr>
              <w:t>2002</w:t>
            </w:r>
            <w:r>
              <w:rPr>
                <w:rFonts w:ascii="KaiTi_GB2312" w:eastAsia="KaiTi_GB2312" w:hint="eastAsia"/>
                <w:sz w:val="18"/>
              </w:rPr>
              <w:t>年</w:t>
            </w:r>
          </w:p>
        </w:tc>
      </w:tr>
      <w:tr w:rsidR="00000000">
        <w:tblPrEx>
          <w:tblCellMar>
            <w:top w:w="0" w:type="dxa"/>
            <w:bottom w:w="0" w:type="dxa"/>
          </w:tblCellMar>
        </w:tblPrEx>
        <w:trPr>
          <w:cantSplit/>
        </w:trPr>
        <w:tc>
          <w:tcPr>
            <w:tcW w:w="625" w:type="pct"/>
            <w:vMerge w:val="restart"/>
            <w:vAlign w:val="center"/>
          </w:tcPr>
          <w:p w:rsidR="00000000" w:rsidRDefault="00457650">
            <w:pPr>
              <w:pStyle w:val="Date"/>
              <w:widowControl/>
              <w:tabs>
                <w:tab w:val="left" w:pos="630"/>
              </w:tabs>
              <w:spacing w:before="40" w:after="40" w:line="280" w:lineRule="exact"/>
              <w:jc w:val="center"/>
              <w:rPr>
                <w:rFonts w:hint="eastAsia"/>
                <w:sz w:val="18"/>
              </w:rPr>
            </w:pPr>
            <w:r>
              <w:rPr>
                <w:rFonts w:hint="eastAsia"/>
                <w:sz w:val="18"/>
              </w:rPr>
              <w:t>营养</w:t>
            </w:r>
          </w:p>
        </w:tc>
        <w:tc>
          <w:tcPr>
            <w:tcW w:w="721" w:type="pct"/>
          </w:tcPr>
          <w:p w:rsidR="00000000" w:rsidRDefault="00457650">
            <w:pPr>
              <w:widowControl/>
              <w:tabs>
                <w:tab w:val="left" w:pos="630"/>
              </w:tabs>
              <w:spacing w:before="40" w:after="40" w:line="280" w:lineRule="exact"/>
              <w:rPr>
                <w:rFonts w:hint="eastAsia"/>
                <w:sz w:val="18"/>
              </w:rPr>
            </w:pPr>
            <w:r>
              <w:rPr>
                <w:rFonts w:hint="eastAsia"/>
                <w:sz w:val="18"/>
              </w:rPr>
              <w:t>家庭</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9.8</w:t>
            </w:r>
          </w:p>
        </w:tc>
        <w:tc>
          <w:tcPr>
            <w:tcW w:w="609" w:type="pct"/>
            <w:vAlign w:val="bottom"/>
          </w:tcPr>
          <w:p w:rsidR="00000000" w:rsidRDefault="00457650">
            <w:pPr>
              <w:widowControl/>
              <w:tabs>
                <w:tab w:val="left" w:pos="630"/>
              </w:tabs>
              <w:spacing w:before="40" w:after="40" w:line="280" w:lineRule="exact"/>
              <w:jc w:val="center"/>
              <w:rPr>
                <w:rFonts w:hint="eastAsia"/>
                <w:sz w:val="18"/>
                <w:szCs w:val="22"/>
              </w:rPr>
            </w:pPr>
            <w:r>
              <w:rPr>
                <w:sz w:val="18"/>
                <w:szCs w:val="22"/>
              </w:rPr>
              <w:t>8.</w:t>
            </w:r>
            <w:r>
              <w:rPr>
                <w:rFonts w:hint="eastAsia"/>
                <w:sz w:val="18"/>
                <w:szCs w:val="22"/>
              </w:rPr>
              <w:t>5</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34.1</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28.5</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18.6</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15.8</w:t>
            </w:r>
          </w:p>
        </w:tc>
      </w:tr>
      <w:tr w:rsidR="00000000">
        <w:tblPrEx>
          <w:tblCellMar>
            <w:top w:w="0" w:type="dxa"/>
            <w:bottom w:w="0" w:type="dxa"/>
          </w:tblCellMar>
        </w:tblPrEx>
        <w:trPr>
          <w:cantSplit/>
        </w:trPr>
        <w:tc>
          <w:tcPr>
            <w:tcW w:w="625" w:type="pct"/>
            <w:vMerge/>
            <w:vAlign w:val="center"/>
          </w:tcPr>
          <w:p w:rsidR="00000000" w:rsidRDefault="00457650">
            <w:pPr>
              <w:widowControl/>
              <w:tabs>
                <w:tab w:val="left" w:pos="630"/>
              </w:tabs>
              <w:spacing w:before="40" w:after="40" w:line="280" w:lineRule="exact"/>
              <w:jc w:val="center"/>
              <w:rPr>
                <w:rFonts w:hint="eastAsia"/>
                <w:sz w:val="18"/>
              </w:rPr>
            </w:pPr>
          </w:p>
        </w:tc>
        <w:tc>
          <w:tcPr>
            <w:tcW w:w="721" w:type="pct"/>
          </w:tcPr>
          <w:p w:rsidR="00000000" w:rsidRDefault="00457650">
            <w:pPr>
              <w:widowControl/>
              <w:tabs>
                <w:tab w:val="left" w:pos="630"/>
              </w:tabs>
              <w:spacing w:before="40" w:after="40" w:line="280" w:lineRule="exact"/>
              <w:rPr>
                <w:rFonts w:hint="eastAsia"/>
                <w:sz w:val="18"/>
              </w:rPr>
            </w:pPr>
            <w:r>
              <w:rPr>
                <w:rFonts w:hint="eastAsia"/>
                <w:sz w:val="18"/>
              </w:rPr>
              <w:t>个人</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12.6</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11.4</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42.4</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34.8</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24.2</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20.3</w:t>
            </w:r>
          </w:p>
        </w:tc>
      </w:tr>
      <w:tr w:rsidR="00000000">
        <w:tblPrEx>
          <w:tblCellMar>
            <w:top w:w="0" w:type="dxa"/>
            <w:bottom w:w="0" w:type="dxa"/>
          </w:tblCellMar>
        </w:tblPrEx>
        <w:trPr>
          <w:cantSplit/>
        </w:trPr>
        <w:tc>
          <w:tcPr>
            <w:tcW w:w="625" w:type="pct"/>
            <w:vMerge w:val="restart"/>
            <w:vAlign w:val="center"/>
          </w:tcPr>
          <w:p w:rsidR="00000000" w:rsidRDefault="00457650">
            <w:pPr>
              <w:widowControl/>
              <w:tabs>
                <w:tab w:val="left" w:pos="630"/>
              </w:tabs>
              <w:spacing w:before="40" w:after="40" w:line="280" w:lineRule="exact"/>
              <w:jc w:val="center"/>
              <w:rPr>
                <w:rFonts w:hint="eastAsia"/>
                <w:sz w:val="18"/>
              </w:rPr>
            </w:pPr>
            <w:r>
              <w:rPr>
                <w:rFonts w:hint="eastAsia"/>
                <w:sz w:val="18"/>
              </w:rPr>
              <w:t>能力</w:t>
            </w:r>
          </w:p>
        </w:tc>
        <w:tc>
          <w:tcPr>
            <w:tcW w:w="721" w:type="pct"/>
          </w:tcPr>
          <w:p w:rsidR="00000000" w:rsidRDefault="00457650">
            <w:pPr>
              <w:widowControl/>
              <w:tabs>
                <w:tab w:val="left" w:pos="630"/>
              </w:tabs>
              <w:spacing w:before="40" w:after="40" w:line="280" w:lineRule="exact"/>
              <w:rPr>
                <w:rFonts w:hint="eastAsia"/>
                <w:sz w:val="18"/>
              </w:rPr>
            </w:pPr>
            <w:r>
              <w:rPr>
                <w:rFonts w:hint="eastAsia"/>
                <w:sz w:val="18"/>
              </w:rPr>
              <w:t>家庭</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16.2</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12.2</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41.4</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36.5</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25.3</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21.1</w:t>
            </w:r>
          </w:p>
        </w:tc>
      </w:tr>
      <w:tr w:rsidR="00000000">
        <w:tblPrEx>
          <w:tblCellMar>
            <w:top w:w="0" w:type="dxa"/>
            <w:bottom w:w="0" w:type="dxa"/>
          </w:tblCellMar>
        </w:tblPrEx>
        <w:trPr>
          <w:cantSplit/>
        </w:trPr>
        <w:tc>
          <w:tcPr>
            <w:tcW w:w="625" w:type="pct"/>
            <w:vMerge/>
            <w:vAlign w:val="center"/>
          </w:tcPr>
          <w:p w:rsidR="00000000" w:rsidRDefault="00457650">
            <w:pPr>
              <w:widowControl/>
              <w:tabs>
                <w:tab w:val="left" w:pos="630"/>
              </w:tabs>
              <w:spacing w:before="40" w:after="40" w:line="280" w:lineRule="exact"/>
              <w:jc w:val="center"/>
              <w:rPr>
                <w:rFonts w:hint="eastAsia"/>
                <w:sz w:val="18"/>
              </w:rPr>
            </w:pPr>
          </w:p>
        </w:tc>
        <w:tc>
          <w:tcPr>
            <w:tcW w:w="721" w:type="pct"/>
          </w:tcPr>
          <w:p w:rsidR="00000000" w:rsidRDefault="00457650">
            <w:pPr>
              <w:widowControl/>
              <w:tabs>
                <w:tab w:val="left" w:pos="630"/>
              </w:tabs>
              <w:spacing w:before="40" w:after="40" w:line="280" w:lineRule="exact"/>
              <w:rPr>
                <w:rFonts w:hint="eastAsia"/>
                <w:sz w:val="18"/>
              </w:rPr>
            </w:pPr>
            <w:r>
              <w:rPr>
                <w:rFonts w:hint="eastAsia"/>
                <w:sz w:val="18"/>
              </w:rPr>
              <w:t>个人</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20.2</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16.0</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50.0</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43.8</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31.9</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26.5</w:t>
            </w:r>
          </w:p>
        </w:tc>
      </w:tr>
      <w:tr w:rsidR="00000000">
        <w:tblPrEx>
          <w:tblCellMar>
            <w:top w:w="0" w:type="dxa"/>
            <w:bottom w:w="0" w:type="dxa"/>
          </w:tblCellMar>
        </w:tblPrEx>
        <w:trPr>
          <w:cantSplit/>
        </w:trPr>
        <w:tc>
          <w:tcPr>
            <w:tcW w:w="625" w:type="pct"/>
            <w:vMerge w:val="restart"/>
            <w:vAlign w:val="center"/>
          </w:tcPr>
          <w:p w:rsidR="00000000" w:rsidRDefault="00457650">
            <w:pPr>
              <w:widowControl/>
              <w:tabs>
                <w:tab w:val="left" w:pos="630"/>
              </w:tabs>
              <w:spacing w:before="40" w:after="40" w:line="280" w:lineRule="exact"/>
              <w:jc w:val="center"/>
              <w:rPr>
                <w:rFonts w:hint="eastAsia"/>
                <w:sz w:val="18"/>
              </w:rPr>
            </w:pPr>
            <w:r>
              <w:rPr>
                <w:sz w:val="18"/>
              </w:rPr>
              <w:t>资产</w:t>
            </w:r>
          </w:p>
        </w:tc>
        <w:tc>
          <w:tcPr>
            <w:tcW w:w="721" w:type="pct"/>
          </w:tcPr>
          <w:p w:rsidR="00000000" w:rsidRDefault="00457650">
            <w:pPr>
              <w:widowControl/>
              <w:tabs>
                <w:tab w:val="left" w:pos="630"/>
              </w:tabs>
              <w:spacing w:before="40" w:after="40" w:line="280" w:lineRule="exact"/>
              <w:rPr>
                <w:rFonts w:hint="eastAsia"/>
                <w:sz w:val="18"/>
              </w:rPr>
            </w:pPr>
            <w:r>
              <w:rPr>
                <w:rFonts w:hint="eastAsia"/>
                <w:sz w:val="18"/>
              </w:rPr>
              <w:t>家庭</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37.4</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35.4</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60.7</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59.4</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45.9</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44.1</w:t>
            </w:r>
          </w:p>
        </w:tc>
      </w:tr>
      <w:tr w:rsidR="00000000">
        <w:tblPrEx>
          <w:tblCellMar>
            <w:top w:w="0" w:type="dxa"/>
            <w:bottom w:w="0" w:type="dxa"/>
          </w:tblCellMar>
        </w:tblPrEx>
        <w:trPr>
          <w:cantSplit/>
        </w:trPr>
        <w:tc>
          <w:tcPr>
            <w:tcW w:w="625" w:type="pct"/>
            <w:vMerge/>
          </w:tcPr>
          <w:p w:rsidR="00000000" w:rsidRDefault="00457650">
            <w:pPr>
              <w:widowControl/>
              <w:tabs>
                <w:tab w:val="left" w:pos="630"/>
              </w:tabs>
              <w:spacing w:before="40" w:after="40" w:line="280" w:lineRule="exact"/>
              <w:rPr>
                <w:rFonts w:hint="eastAsia"/>
                <w:sz w:val="18"/>
              </w:rPr>
            </w:pPr>
          </w:p>
        </w:tc>
        <w:tc>
          <w:tcPr>
            <w:tcW w:w="721" w:type="pct"/>
          </w:tcPr>
          <w:p w:rsidR="00000000" w:rsidRDefault="00457650">
            <w:pPr>
              <w:widowControl/>
              <w:tabs>
                <w:tab w:val="left" w:pos="630"/>
              </w:tabs>
              <w:spacing w:before="40" w:after="40" w:line="280" w:lineRule="exact"/>
              <w:rPr>
                <w:rFonts w:hint="eastAsia"/>
                <w:sz w:val="18"/>
              </w:rPr>
            </w:pPr>
            <w:r>
              <w:rPr>
                <w:rFonts w:hint="eastAsia"/>
                <w:sz w:val="18"/>
              </w:rPr>
              <w:t>个人</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43.8</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42.0</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69.3</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67.5</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53.7</w:t>
            </w:r>
          </w:p>
        </w:tc>
        <w:tc>
          <w:tcPr>
            <w:tcW w:w="609" w:type="pct"/>
            <w:vAlign w:val="bottom"/>
          </w:tcPr>
          <w:p w:rsidR="00000000" w:rsidRDefault="00457650">
            <w:pPr>
              <w:widowControl/>
              <w:tabs>
                <w:tab w:val="left" w:pos="630"/>
              </w:tabs>
              <w:spacing w:before="40" w:after="40" w:line="280" w:lineRule="exact"/>
              <w:jc w:val="center"/>
              <w:rPr>
                <w:sz w:val="18"/>
                <w:szCs w:val="22"/>
              </w:rPr>
            </w:pPr>
            <w:r>
              <w:rPr>
                <w:sz w:val="18"/>
                <w:szCs w:val="22"/>
              </w:rPr>
              <w:t>51.7</w:t>
            </w:r>
          </w:p>
        </w:tc>
      </w:tr>
    </w:tbl>
    <w:p w:rsidR="00000000" w:rsidRDefault="00457650">
      <w:pPr>
        <w:widowControl/>
        <w:tabs>
          <w:tab w:val="left" w:pos="630"/>
        </w:tabs>
        <w:spacing w:after="240" w:line="360" w:lineRule="exact"/>
        <w:rPr>
          <w:rFonts w:hint="eastAsia"/>
          <w:sz w:val="18"/>
        </w:rPr>
      </w:pPr>
      <w:r>
        <w:rPr>
          <w:rFonts w:eastAsia="KaiTi_GB2312" w:hint="eastAsia"/>
          <w:sz w:val="18"/>
        </w:rPr>
        <w:t>资料来源</w:t>
      </w:r>
      <w:r>
        <w:rPr>
          <w:rFonts w:hint="eastAsia"/>
          <w:sz w:val="18"/>
        </w:rPr>
        <w:t>：</w:t>
      </w:r>
      <w:r>
        <w:rPr>
          <w:sz w:val="18"/>
        </w:rPr>
        <w:t xml:space="preserve"> 2000</w:t>
      </w:r>
      <w:r>
        <w:rPr>
          <w:rFonts w:hint="eastAsia"/>
          <w:sz w:val="18"/>
        </w:rPr>
        <w:t>年和</w:t>
      </w:r>
      <w:r>
        <w:rPr>
          <w:sz w:val="18"/>
        </w:rPr>
        <w:t>2002</w:t>
      </w:r>
      <w:r>
        <w:rPr>
          <w:rFonts w:hint="eastAsia"/>
          <w:sz w:val="18"/>
        </w:rPr>
        <w:t>年全国家庭收入和支出普查。</w:t>
      </w:r>
    </w:p>
    <w:p w:rsidR="00000000" w:rsidRDefault="00457650">
      <w:pPr>
        <w:keepNext/>
        <w:widowControl/>
        <w:tabs>
          <w:tab w:val="left" w:pos="630"/>
        </w:tabs>
        <w:spacing w:after="240" w:line="380" w:lineRule="exact"/>
        <w:rPr>
          <w:rFonts w:hint="eastAsia"/>
        </w:rPr>
      </w:pPr>
      <w:r>
        <w:rPr>
          <w:rFonts w:hint="eastAsia"/>
        </w:rPr>
        <w:t>1077.</w:t>
      </w:r>
      <w:r>
        <w:rPr>
          <w:rFonts w:hint="eastAsia"/>
        </w:rPr>
        <w:tab/>
      </w:r>
      <w:r>
        <w:rPr>
          <w:rFonts w:hint="eastAsia"/>
        </w:rPr>
        <w:t>结果显示：</w:t>
      </w:r>
    </w:p>
    <w:p w:rsidR="00000000" w:rsidRDefault="00457650" w:rsidP="00457650">
      <w:pPr>
        <w:keepNext/>
        <w:widowControl/>
        <w:numPr>
          <w:ilvl w:val="0"/>
          <w:numId w:val="1972"/>
        </w:numPr>
        <w:tabs>
          <w:tab w:val="clear" w:pos="900"/>
          <w:tab w:val="left" w:pos="1050"/>
        </w:tabs>
        <w:spacing w:after="240" w:line="380" w:lineRule="exact"/>
        <w:ind w:leftChars="300" w:left="31680"/>
        <w:rPr>
          <w:rFonts w:hint="eastAsia"/>
        </w:rPr>
      </w:pPr>
      <w:r>
        <w:rPr>
          <w:rFonts w:hint="eastAsia"/>
        </w:rPr>
        <w:t>2000</w:t>
      </w:r>
      <w:r>
        <w:rPr>
          <w:rFonts w:hint="eastAsia"/>
        </w:rPr>
        <w:t>年至</w:t>
      </w:r>
      <w:r>
        <w:rPr>
          <w:rFonts w:hint="eastAsia"/>
        </w:rPr>
        <w:t>2002</w:t>
      </w:r>
      <w:r>
        <w:rPr>
          <w:rFonts w:hint="eastAsia"/>
        </w:rPr>
        <w:t>年全国营养方面贫穷人口的比率从</w:t>
      </w:r>
      <w:r>
        <w:t>24.2%</w:t>
      </w:r>
      <w:r>
        <w:rPr>
          <w:rFonts w:hint="eastAsia"/>
        </w:rPr>
        <w:t>降到了</w:t>
      </w:r>
      <w:r>
        <w:t>20.3%</w:t>
      </w:r>
      <w:r>
        <w:rPr>
          <w:rFonts w:hint="eastAsia"/>
        </w:rPr>
        <w:t>；</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t>2000</w:t>
      </w:r>
      <w:r>
        <w:rPr>
          <w:rFonts w:hint="eastAsia"/>
        </w:rPr>
        <w:t>年至</w:t>
      </w:r>
      <w:r>
        <w:t>2002</w:t>
      </w:r>
      <w:r>
        <w:rPr>
          <w:rFonts w:hint="eastAsia"/>
        </w:rPr>
        <w:t>年低于能力发展底线的人口比率从</w:t>
      </w:r>
      <w:r>
        <w:t>31.9%</w:t>
      </w:r>
      <w:r>
        <w:rPr>
          <w:rFonts w:hint="eastAsia"/>
        </w:rPr>
        <w:t>降到了</w:t>
      </w:r>
      <w:r>
        <w:t>26.5%</w:t>
      </w:r>
      <w:r>
        <w:rPr>
          <w:rFonts w:hint="eastAsia"/>
        </w:rPr>
        <w:t>；</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t>2000</w:t>
      </w:r>
      <w:r>
        <w:rPr>
          <w:rFonts w:hint="eastAsia"/>
        </w:rPr>
        <w:t>年至</w:t>
      </w:r>
      <w:r>
        <w:t>2002</w:t>
      </w:r>
      <w:r>
        <w:rPr>
          <w:rFonts w:hint="eastAsia"/>
        </w:rPr>
        <w:t>年</w:t>
      </w:r>
      <w:r>
        <w:rPr>
          <w:rFonts w:hint="eastAsia"/>
        </w:rPr>
        <w:t>低于</w:t>
      </w:r>
      <w:r>
        <w:t>资产</w:t>
      </w:r>
      <w:r>
        <w:rPr>
          <w:rFonts w:hint="eastAsia"/>
        </w:rPr>
        <w:t>发展底线的人口比率从</w:t>
      </w:r>
      <w:r>
        <w:t>53.7%</w:t>
      </w:r>
      <w:r>
        <w:rPr>
          <w:rFonts w:hint="eastAsia"/>
        </w:rPr>
        <w:t>降到了</w:t>
      </w:r>
      <w:r>
        <w:t>51.7%</w:t>
      </w:r>
      <w:r>
        <w:rPr>
          <w:rFonts w:hint="eastAsia"/>
        </w:rPr>
        <w:t>。</w:t>
      </w:r>
    </w:p>
    <w:p w:rsidR="00000000" w:rsidRDefault="00457650">
      <w:pPr>
        <w:widowControl/>
        <w:tabs>
          <w:tab w:val="left" w:pos="630"/>
        </w:tabs>
        <w:spacing w:after="240" w:line="380" w:lineRule="exact"/>
        <w:rPr>
          <w:rFonts w:hint="eastAsia"/>
        </w:rPr>
      </w:pPr>
      <w:r>
        <w:t>1078.</w:t>
      </w:r>
      <w:r>
        <w:tab/>
      </w:r>
      <w:r>
        <w:rPr>
          <w:rFonts w:hint="eastAsia"/>
        </w:rPr>
        <w:t>上述情况表明已有</w:t>
      </w:r>
      <w:r>
        <w:t>320</w:t>
      </w:r>
      <w:r>
        <w:rPr>
          <w:rFonts w:hint="eastAsia"/>
        </w:rPr>
        <w:t>万人超过了营养方面贫穷底线，例如，</w:t>
      </w:r>
      <w:r>
        <w:t>2000</w:t>
      </w:r>
      <w:r>
        <w:rPr>
          <w:rFonts w:hint="eastAsia"/>
        </w:rPr>
        <w:t>年至</w:t>
      </w:r>
      <w:r>
        <w:t>2002</w:t>
      </w:r>
      <w:r>
        <w:rPr>
          <w:rFonts w:hint="eastAsia"/>
        </w:rPr>
        <w:t>年期间，他们已能够逐步满足自身的营养需要，而且还在教育和保健方面进行了适度的投资。</w:t>
      </w:r>
    </w:p>
    <w:p w:rsidR="00000000" w:rsidRDefault="00457650">
      <w:pPr>
        <w:widowControl/>
        <w:tabs>
          <w:tab w:val="left" w:pos="630"/>
        </w:tabs>
        <w:spacing w:after="240" w:line="380" w:lineRule="exact"/>
        <w:rPr>
          <w:rFonts w:hint="eastAsia"/>
        </w:rPr>
      </w:pPr>
      <w:r>
        <w:t>1079</w:t>
      </w:r>
      <w:r>
        <w:rPr>
          <w:rFonts w:hint="eastAsia"/>
        </w:rPr>
        <w:t>.</w:t>
      </w:r>
      <w:r>
        <w:rPr>
          <w:rFonts w:hint="eastAsia"/>
        </w:rPr>
        <w:tab/>
      </w:r>
      <w:r>
        <w:rPr>
          <w:rFonts w:hint="eastAsia"/>
        </w:rPr>
        <w:t>如果这种有利的趋势得以继续，墨西哥将能提前实现千年发展目标。表</w:t>
      </w:r>
      <w:r>
        <w:t>1</w:t>
      </w:r>
      <w:r>
        <w:rPr>
          <w:rFonts w:hint="eastAsia"/>
        </w:rPr>
        <w:t>显示，</w:t>
      </w:r>
      <w:r>
        <w:t xml:space="preserve"> 2000</w:t>
      </w:r>
      <w:r>
        <w:rPr>
          <w:rFonts w:hint="eastAsia"/>
        </w:rPr>
        <w:t>－</w:t>
      </w:r>
      <w:r>
        <w:t>2002</w:t>
      </w:r>
      <w:r>
        <w:rPr>
          <w:rFonts w:hint="eastAsia"/>
        </w:rPr>
        <w:t>年，营养方面贫穷人口的比例下降了大约</w:t>
      </w:r>
      <w:r>
        <w:t>16%</w:t>
      </w:r>
      <w:r>
        <w:rPr>
          <w:rFonts w:hint="eastAsia"/>
        </w:rPr>
        <w:t>，达到</w:t>
      </w:r>
      <w:r>
        <w:t>20.3%</w:t>
      </w:r>
      <w:r>
        <w:rPr>
          <w:rFonts w:hint="eastAsia"/>
        </w:rPr>
        <w:t>的水平。</w:t>
      </w:r>
    </w:p>
    <w:p w:rsidR="00000000" w:rsidRDefault="00457650">
      <w:pPr>
        <w:widowControl/>
        <w:tabs>
          <w:tab w:val="left" w:pos="630"/>
        </w:tabs>
        <w:spacing w:after="240" w:line="360" w:lineRule="exact"/>
        <w:jc w:val="center"/>
        <w:rPr>
          <w:rFonts w:eastAsia="SimHei" w:hint="eastAsia"/>
        </w:rPr>
      </w:pPr>
      <w:r>
        <w:rPr>
          <w:rFonts w:eastAsia="SimHei" w:hint="eastAsia"/>
        </w:rPr>
        <w:t>墨西哥最近的贫穷趋势</w:t>
      </w:r>
    </w:p>
    <w:p w:rsidR="00000000" w:rsidRDefault="00457650">
      <w:pPr>
        <w:widowControl/>
        <w:tabs>
          <w:tab w:val="left" w:pos="630"/>
        </w:tabs>
        <w:spacing w:after="240" w:line="240" w:lineRule="auto"/>
        <w:jc w:val="center"/>
        <w:rPr>
          <w:rFonts w:eastAsia="SimHei" w:hint="eastAsia"/>
        </w:rPr>
      </w:pPr>
      <w:r>
        <w:object w:dxaOrig="9075" w:dyaOrig="5070">
          <v:shape id="_x0000_i1029" type="#_x0000_t75" style="width:453.75pt;height:253.5pt" o:ole="">
            <v:imagedata r:id="rId169" o:title=""/>
          </v:shape>
          <o:OLEObject Type="Embed" ProgID="Excel.Chart.8" ShapeID="_x0000_i1029" DrawAspect="Content" ObjectID="_1394895082" r:id="rId170">
            <o:FieldCodes>\s</o:FieldCodes>
          </o:OLEObject>
        </w:object>
      </w:r>
    </w:p>
    <w:p w:rsidR="00000000" w:rsidRDefault="00457650">
      <w:pPr>
        <w:widowControl/>
        <w:tabs>
          <w:tab w:val="left" w:pos="630"/>
        </w:tabs>
        <w:spacing w:after="240" w:line="360" w:lineRule="exact"/>
        <w:rPr>
          <w:rFonts w:hint="eastAsia"/>
          <w:sz w:val="18"/>
        </w:rPr>
      </w:pPr>
      <w:r>
        <w:rPr>
          <w:rFonts w:eastAsia="KaiTi_GB2312" w:hint="eastAsia"/>
          <w:sz w:val="18"/>
        </w:rPr>
        <w:t>资料来源</w:t>
      </w:r>
      <w:r>
        <w:rPr>
          <w:rFonts w:hint="eastAsia"/>
          <w:sz w:val="18"/>
        </w:rPr>
        <w:t>：社会发展部在国家统计、</w:t>
      </w:r>
      <w:r>
        <w:rPr>
          <w:rFonts w:hint="eastAsia"/>
          <w:sz w:val="18"/>
        </w:rPr>
        <w:t>地理和信息技术研究所家庭收入和支出普查（</w:t>
      </w:r>
      <w:r>
        <w:rPr>
          <w:sz w:val="18"/>
        </w:rPr>
        <w:t>1992</w:t>
      </w:r>
      <w:r>
        <w:rPr>
          <w:rFonts w:hint="eastAsia"/>
          <w:sz w:val="18"/>
        </w:rPr>
        <w:t>－</w:t>
      </w:r>
      <w:r>
        <w:rPr>
          <w:sz w:val="18"/>
        </w:rPr>
        <w:t>2002</w:t>
      </w:r>
      <w:r>
        <w:rPr>
          <w:rFonts w:hint="eastAsia"/>
          <w:sz w:val="18"/>
        </w:rPr>
        <w:t>年）的基础上估算的数据。</w:t>
      </w:r>
    </w:p>
    <w:p w:rsidR="00000000" w:rsidRDefault="00457650">
      <w:pPr>
        <w:widowControl/>
        <w:tabs>
          <w:tab w:val="left" w:pos="630"/>
        </w:tabs>
        <w:spacing w:after="240" w:line="360" w:lineRule="exact"/>
        <w:rPr>
          <w:rFonts w:hint="eastAsia"/>
        </w:rPr>
      </w:pPr>
      <w:r>
        <w:t>1080</w:t>
      </w:r>
      <w:r>
        <w:rPr>
          <w:rFonts w:hint="eastAsia"/>
        </w:rPr>
        <w:t>.</w:t>
      </w:r>
      <w:r>
        <w:rPr>
          <w:rFonts w:hint="eastAsia"/>
        </w:rPr>
        <w:tab/>
      </w:r>
      <w:r>
        <w:rPr>
          <w:rFonts w:hint="eastAsia"/>
        </w:rPr>
        <w:t>尽管低于每一个底线的人口比例在</w:t>
      </w:r>
      <w:r>
        <w:t>2000</w:t>
      </w:r>
      <w:r>
        <w:rPr>
          <w:rFonts w:hint="eastAsia"/>
        </w:rPr>
        <w:t>－</w:t>
      </w:r>
      <w:r>
        <w:t>2002</w:t>
      </w:r>
      <w:r>
        <w:rPr>
          <w:rFonts w:hint="eastAsia"/>
        </w:rPr>
        <w:t>年都有所下降，但必须认识到，从墨西哥的发展水平和财富数量来看，这些持续性的比例仍然很高。不过，在参照期内记录的进展可以说是一个积极的趋势，如果保持下去，可以大大改善最贫穷人口的福利状况。</w:t>
      </w:r>
    </w:p>
    <w:p w:rsidR="00000000" w:rsidRDefault="00457650">
      <w:pPr>
        <w:widowControl/>
        <w:tabs>
          <w:tab w:val="left" w:pos="630"/>
        </w:tabs>
        <w:spacing w:after="240" w:line="360" w:lineRule="exact"/>
        <w:rPr>
          <w:rFonts w:hint="eastAsia"/>
        </w:rPr>
      </w:pPr>
      <w:r>
        <w:t>1081</w:t>
      </w:r>
      <w:r>
        <w:rPr>
          <w:rFonts w:hint="eastAsia"/>
        </w:rPr>
        <w:t>.</w:t>
      </w:r>
      <w:r>
        <w:rPr>
          <w:rFonts w:hint="eastAsia"/>
        </w:rPr>
        <w:tab/>
      </w:r>
      <w:r>
        <w:rPr>
          <w:rFonts w:hint="eastAsia"/>
        </w:rPr>
        <w:t>除了在消除贫穷方面取得的进展外，墨西哥在实现一系列社会指标方面也取得了重大进展，这些指标表明政府十分重视提高人民的生活和福利水平。</w:t>
      </w:r>
    </w:p>
    <w:p w:rsidR="00000000" w:rsidRDefault="00457650">
      <w:pPr>
        <w:widowControl/>
        <w:tabs>
          <w:tab w:val="left" w:pos="630"/>
        </w:tabs>
        <w:spacing w:after="240" w:line="360" w:lineRule="exact"/>
        <w:rPr>
          <w:rFonts w:hint="eastAsia"/>
        </w:rPr>
      </w:pPr>
      <w:r>
        <w:t>1082</w:t>
      </w:r>
      <w:r>
        <w:rPr>
          <w:rFonts w:hint="eastAsia"/>
        </w:rPr>
        <w:t>.</w:t>
      </w:r>
      <w:r>
        <w:rPr>
          <w:rFonts w:hint="eastAsia"/>
        </w:rPr>
        <w:tab/>
      </w:r>
      <w:r>
        <w:rPr>
          <w:rFonts w:hint="eastAsia"/>
        </w:rPr>
        <w:t>现在，人口出生时的平均预</w:t>
      </w:r>
      <w:r>
        <w:rPr>
          <w:rFonts w:hint="eastAsia"/>
        </w:rPr>
        <w:t>期寿命为</w:t>
      </w:r>
      <w:r>
        <w:t>74.9</w:t>
      </w:r>
      <w:r>
        <w:rPr>
          <w:rFonts w:hint="eastAsia"/>
        </w:rPr>
        <w:t>岁，而在拉丁美洲这一指数为</w:t>
      </w:r>
      <w:r>
        <w:t>70</w:t>
      </w:r>
      <w:r>
        <w:rPr>
          <w:rFonts w:hint="eastAsia"/>
        </w:rPr>
        <w:t>岁。成年文盲率仅为</w:t>
      </w:r>
      <w:r>
        <w:t>8.5%,</w:t>
      </w:r>
      <w:r>
        <w:rPr>
          <w:rFonts w:hint="eastAsia"/>
        </w:rPr>
        <w:t>相关年龄组的初等教育入学率近</w:t>
      </w:r>
      <w:r>
        <w:t>100%</w:t>
      </w:r>
      <w:r>
        <w:rPr>
          <w:rFonts w:hint="eastAsia"/>
        </w:rPr>
        <w:t>。另外，</w:t>
      </w:r>
      <w:r>
        <w:t>89.2%</w:t>
      </w:r>
      <w:r>
        <w:rPr>
          <w:rFonts w:hint="eastAsia"/>
        </w:rPr>
        <w:t>的人口能够获得饮用水，</w:t>
      </w:r>
      <w:r>
        <w:t>76.9%</w:t>
      </w:r>
      <w:r>
        <w:rPr>
          <w:rFonts w:hint="eastAsia"/>
        </w:rPr>
        <w:t>有污水处理装置。</w:t>
      </w:r>
    </w:p>
    <w:p w:rsidR="00000000" w:rsidRDefault="00457650">
      <w:pPr>
        <w:widowControl/>
        <w:tabs>
          <w:tab w:val="left" w:pos="630"/>
        </w:tabs>
        <w:spacing w:after="240" w:line="360" w:lineRule="exact"/>
        <w:rPr>
          <w:rFonts w:hint="eastAsia"/>
        </w:rPr>
      </w:pPr>
      <w:r>
        <w:t>1083</w:t>
      </w:r>
      <w:r>
        <w:rPr>
          <w:rFonts w:hint="eastAsia"/>
        </w:rPr>
        <w:t>.</w:t>
      </w:r>
      <w:r>
        <w:rPr>
          <w:rFonts w:hint="eastAsia"/>
        </w:rPr>
        <w:tab/>
      </w:r>
      <w:r>
        <w:rPr>
          <w:rFonts w:hint="eastAsia"/>
        </w:rPr>
        <w:t>另外，</w:t>
      </w:r>
      <w:r>
        <w:t>1990</w:t>
      </w:r>
      <w:r>
        <w:rPr>
          <w:rFonts w:hint="eastAsia"/>
        </w:rPr>
        <w:t>年彻底消灭了小儿麻痹症，</w:t>
      </w:r>
      <w:r>
        <w:t>1991</w:t>
      </w:r>
      <w:r>
        <w:rPr>
          <w:rFonts w:hint="eastAsia"/>
        </w:rPr>
        <w:t>年消灭了白喉，而且麻疹、百日咳和破伤风等流行病已在控制之中。墨西哥还拥有拉丁美洲最全面的疫苗接种服务系统。</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hint="eastAsia"/>
          <w:b/>
        </w:rPr>
        <w:t>31.</w:t>
      </w:r>
      <w:r>
        <w:rPr>
          <w:rFonts w:ascii="KaiTi_GB2312" w:eastAsia="KaiTi_GB2312" w:hint="eastAsia"/>
          <w:b/>
        </w:rPr>
        <w:tab/>
      </w:r>
      <w:r>
        <w:rPr>
          <w:rFonts w:ascii="KaiTi_GB2312" w:eastAsia="KaiTi_GB2312" w:hint="eastAsia"/>
          <w:b/>
        </w:rPr>
        <w:t>委员会敦促缔约国墨西哥国解决导致国内贫穷的结构性原因，并相应地调整社会方案。另外，委员会还请墨西哥让整个民间社会，特别是目标群体进一步参与这些方案的制定、执行和</w:t>
      </w:r>
      <w:r>
        <w:rPr>
          <w:rFonts w:ascii="KaiTi_GB2312" w:eastAsia="KaiTi_GB2312" w:hint="eastAsia"/>
          <w:b/>
        </w:rPr>
        <w:t>评估。</w:t>
      </w:r>
    </w:p>
    <w:p w:rsidR="00000000" w:rsidRDefault="00457650">
      <w:pPr>
        <w:widowControl/>
        <w:tabs>
          <w:tab w:val="left" w:pos="630"/>
        </w:tabs>
        <w:spacing w:after="240" w:line="360" w:lineRule="exact"/>
        <w:rPr>
          <w:rFonts w:hint="eastAsia"/>
        </w:rPr>
      </w:pPr>
      <w:r>
        <w:t>1084</w:t>
      </w:r>
      <w:r>
        <w:rPr>
          <w:rFonts w:hint="eastAsia"/>
        </w:rPr>
        <w:t>.</w:t>
      </w:r>
      <w:r>
        <w:rPr>
          <w:rFonts w:hint="eastAsia"/>
        </w:rPr>
        <w:tab/>
      </w:r>
      <w:r>
        <w:rPr>
          <w:rFonts w:hint="eastAsia"/>
        </w:rPr>
        <w:t>墨西哥政府努力满足每位墨西哥人的基本需要，改善其福利，并且提高他们的个人能力。为了实现这一目标，联邦政府中负责提供教育、卫生、社会保障、职业培训和住房等基本社会服务的不同协会和机构都在进行结构改革，以提高绩效，为人民提供更有效的服务，并有效且一步到位地完成自己的任务。</w:t>
      </w:r>
    </w:p>
    <w:p w:rsidR="00000000" w:rsidRDefault="00457650">
      <w:pPr>
        <w:widowControl/>
        <w:tabs>
          <w:tab w:val="left" w:pos="630"/>
        </w:tabs>
        <w:spacing w:after="240" w:line="380" w:lineRule="exact"/>
        <w:rPr>
          <w:rFonts w:hint="eastAsia"/>
        </w:rPr>
      </w:pPr>
      <w:r>
        <w:t>1085</w:t>
      </w:r>
      <w:r>
        <w:rPr>
          <w:rFonts w:hint="eastAsia"/>
        </w:rPr>
        <w:t>.</w:t>
      </w:r>
      <w:r>
        <w:rPr>
          <w:rFonts w:hint="eastAsia"/>
        </w:rPr>
        <w:tab/>
      </w:r>
      <w:r>
        <w:rPr>
          <w:rFonts w:hint="eastAsia"/>
        </w:rPr>
        <w:t>为此，应在本届政府采取的全国减贫措施框架内，特别提及称为“</w:t>
      </w:r>
      <w:r>
        <w:t>Contigo</w:t>
      </w:r>
      <w:r>
        <w:rPr>
          <w:rFonts w:hint="eastAsia"/>
        </w:rPr>
        <w:t>”的社会政策战略，该战略谋求为所有墨西哥人提供基本福利，利用自然杠杆促进人类发展，并为经济发展提供动力。</w:t>
      </w:r>
    </w:p>
    <w:p w:rsidR="00000000" w:rsidRDefault="00457650">
      <w:pPr>
        <w:widowControl/>
        <w:tabs>
          <w:tab w:val="left" w:pos="630"/>
        </w:tabs>
        <w:spacing w:after="240" w:line="380" w:lineRule="exact"/>
        <w:rPr>
          <w:rFonts w:hint="eastAsia"/>
        </w:rPr>
      </w:pPr>
      <w:r>
        <w:t>1086</w:t>
      </w:r>
      <w:r>
        <w:rPr>
          <w:rFonts w:hint="eastAsia"/>
        </w:rPr>
        <w:t>.</w:t>
      </w:r>
      <w:r>
        <w:rPr>
          <w:rFonts w:hint="eastAsia"/>
        </w:rPr>
        <w:tab/>
      </w:r>
      <w:r>
        <w:rPr>
          <w:rFonts w:hint="eastAsia"/>
        </w:rPr>
        <w:t>这一战略促进了联邦、</w:t>
      </w:r>
      <w:r>
        <w:rPr>
          <w:rFonts w:hint="eastAsia"/>
        </w:rPr>
        <w:t>州和市政三级政府间的进一步协调，并加强了政府和公民之间的新型关系，以便在社会政策领域更有效地开展公共和私营部门的活动。该战略力求加强社会不同群体间的联合，扩大各种机制，促进社会团体和组织为消除贫穷和边缘化所采取的主动行动。</w:t>
      </w:r>
    </w:p>
    <w:p w:rsidR="00000000" w:rsidRDefault="00457650">
      <w:pPr>
        <w:widowControl/>
        <w:tabs>
          <w:tab w:val="left" w:pos="630"/>
        </w:tabs>
        <w:spacing w:after="240" w:line="380" w:lineRule="exact"/>
        <w:rPr>
          <w:rFonts w:hint="eastAsia"/>
        </w:rPr>
      </w:pPr>
      <w:r>
        <w:t>1087</w:t>
      </w:r>
      <w:r>
        <w:rPr>
          <w:rFonts w:hint="eastAsia"/>
        </w:rPr>
        <w:t>.</w:t>
      </w:r>
      <w:r>
        <w:rPr>
          <w:rFonts w:hint="eastAsia"/>
        </w:rPr>
        <w:tab/>
      </w:r>
      <w:r>
        <w:rPr>
          <w:rFonts w:hint="eastAsia"/>
        </w:rPr>
        <w:t>确保所有墨西哥人参与的努力基于对这样一个事实的认知，即政府的行动本身并不能充分促进社会发展，必须在共同承担社会责任的基础上采取联合行动。这种做法旨在确保每个墨西哥人都能从经济增长中获得益处。</w:t>
      </w:r>
      <w:r>
        <w:t>Contigo</w:t>
      </w:r>
      <w:r>
        <w:rPr>
          <w:rFonts w:hint="eastAsia"/>
        </w:rPr>
        <w:t>由四个互相关联的方面构成，形成了一个消除贫穷、确保全体人民生活水平不断提</w:t>
      </w:r>
      <w:r>
        <w:rPr>
          <w:rFonts w:hint="eastAsia"/>
        </w:rPr>
        <w:t>高的全方位的社会政策：</w:t>
      </w:r>
    </w:p>
    <w:p w:rsidR="00000000" w:rsidRDefault="00457650" w:rsidP="00457650">
      <w:pPr>
        <w:widowControl/>
        <w:tabs>
          <w:tab w:val="left" w:pos="630"/>
        </w:tabs>
        <w:spacing w:after="240" w:line="380" w:lineRule="exact"/>
        <w:ind w:leftChars="300" w:left="31680" w:hangingChars="200" w:firstLine="31680"/>
        <w:rPr>
          <w:rFonts w:hint="eastAsia"/>
        </w:rPr>
      </w:pPr>
      <w:r>
        <w:rPr>
          <w:rFonts w:hint="eastAsia"/>
        </w:rPr>
        <w:t>1.</w:t>
      </w:r>
      <w:r>
        <w:rPr>
          <w:rFonts w:hint="eastAsia"/>
        </w:rPr>
        <w:tab/>
      </w:r>
      <w:r>
        <w:rPr>
          <w:rFonts w:hint="eastAsia"/>
        </w:rPr>
        <w:t>扩大能力范围，让每个墨西哥人都有机会接受优质教育、适当的保健服务和营养水平，以使他们能够完全地融入社会。</w:t>
      </w:r>
    </w:p>
    <w:p w:rsidR="00000000" w:rsidRDefault="00457650" w:rsidP="00457650">
      <w:pPr>
        <w:widowControl/>
        <w:tabs>
          <w:tab w:val="left" w:pos="630"/>
        </w:tabs>
        <w:spacing w:after="240" w:line="380" w:lineRule="exact"/>
        <w:ind w:leftChars="300" w:left="31680" w:hangingChars="200" w:firstLine="31680"/>
        <w:rPr>
          <w:rFonts w:hint="eastAsia"/>
        </w:rPr>
      </w:pPr>
      <w:r>
        <w:rPr>
          <w:rFonts w:hint="eastAsia"/>
        </w:rPr>
        <w:t>2.</w:t>
      </w:r>
      <w:r>
        <w:rPr>
          <w:rFonts w:hint="eastAsia"/>
        </w:rPr>
        <w:tab/>
      </w:r>
      <w:r>
        <w:rPr>
          <w:rFonts w:hint="eastAsia"/>
        </w:rPr>
        <w:t>提供创收机会，使这些能力物质化。为缩减工作和启动生产项目提供便利，使这些能力具体体现在更高层次的福利和收入上，从而满足每个家庭的需要。</w:t>
      </w:r>
    </w:p>
    <w:p w:rsidR="00000000" w:rsidRDefault="00457650" w:rsidP="00457650">
      <w:pPr>
        <w:widowControl/>
        <w:tabs>
          <w:tab w:val="left" w:pos="630"/>
        </w:tabs>
        <w:spacing w:after="240" w:line="380" w:lineRule="exact"/>
        <w:ind w:leftChars="300" w:left="31680" w:hangingChars="200" w:firstLine="31680"/>
        <w:rPr>
          <w:rFonts w:hint="eastAsia"/>
        </w:rPr>
      </w:pPr>
      <w:r>
        <w:rPr>
          <w:rFonts w:hint="eastAsia"/>
        </w:rPr>
        <w:t>3.</w:t>
      </w:r>
      <w:r>
        <w:rPr>
          <w:rFonts w:hint="eastAsia"/>
        </w:rPr>
        <w:tab/>
      </w:r>
      <w:r>
        <w:rPr>
          <w:rFonts w:hint="eastAsia"/>
        </w:rPr>
        <w:t>以安全可靠的方式积累</w:t>
      </w:r>
      <w:r>
        <w:t>资产</w:t>
      </w:r>
      <w:r>
        <w:rPr>
          <w:rFonts w:hint="eastAsia"/>
        </w:rPr>
        <w:t>，鼓励成年人及其家庭逐步具备偿付能力，并发挥这种能力，利用各种机会创收，在短期的不利处境下努力减少风险，采取新的行动，促进子女的成长，并确保老年人过上体面的生活。</w:t>
      </w:r>
    </w:p>
    <w:p w:rsidR="00000000" w:rsidRDefault="00457650" w:rsidP="00457650">
      <w:pPr>
        <w:widowControl/>
        <w:tabs>
          <w:tab w:val="left" w:pos="630"/>
        </w:tabs>
        <w:spacing w:after="240" w:line="380" w:lineRule="exact"/>
        <w:ind w:leftChars="300" w:left="31680" w:hangingChars="200" w:firstLine="31680"/>
        <w:rPr>
          <w:rFonts w:hint="eastAsia"/>
        </w:rPr>
      </w:pPr>
      <w:r>
        <w:rPr>
          <w:rFonts w:hint="eastAsia"/>
        </w:rPr>
        <w:t>4.</w:t>
      </w:r>
      <w:r>
        <w:rPr>
          <w:rFonts w:hint="eastAsia"/>
        </w:rPr>
        <w:tab/>
      </w:r>
      <w:r>
        <w:rPr>
          <w:rFonts w:hint="eastAsia"/>
        </w:rPr>
        <w:t>为所有人提供保护，确保在发展创收能</w:t>
      </w:r>
      <w:r>
        <w:rPr>
          <w:rFonts w:hint="eastAsia"/>
        </w:rPr>
        <w:t>力和提供创收机会的同时，避免个人和集体遭遇各种风险。这将有助于家庭进行未来规划，并具备维持其生活水平的能力，以应付家庭内部发生意外和灾难性事件。</w:t>
      </w:r>
    </w:p>
    <w:p w:rsidR="00000000" w:rsidRDefault="00457650">
      <w:pPr>
        <w:widowControl/>
        <w:tabs>
          <w:tab w:val="left" w:pos="630"/>
        </w:tabs>
        <w:spacing w:after="240" w:line="380" w:lineRule="exact"/>
        <w:rPr>
          <w:rFonts w:hint="eastAsia"/>
        </w:rPr>
      </w:pPr>
      <w:r>
        <w:t>1088</w:t>
      </w:r>
      <w:r>
        <w:rPr>
          <w:rFonts w:hint="eastAsia"/>
        </w:rPr>
        <w:t>.</w:t>
      </w:r>
      <w:r>
        <w:rPr>
          <w:rFonts w:hint="eastAsia"/>
        </w:rPr>
        <w:tab/>
      </w:r>
      <w:r>
        <w:t>Contigo</w:t>
      </w:r>
      <w:r>
        <w:rPr>
          <w:rFonts w:hint="eastAsia"/>
        </w:rPr>
        <w:t>对这四个方面做了调整，以适应个人、家庭和社区的具体需要和特点，从而进一步实现公正和平等。</w:t>
      </w:r>
    </w:p>
    <w:p w:rsidR="00000000" w:rsidRDefault="00457650">
      <w:pPr>
        <w:widowControl/>
        <w:tabs>
          <w:tab w:val="left" w:pos="630"/>
        </w:tabs>
        <w:spacing w:after="240" w:line="360" w:lineRule="exact"/>
        <w:jc w:val="center"/>
        <w:rPr>
          <w:rFonts w:ascii="SimHei" w:eastAsia="SimHei" w:hint="eastAsia"/>
          <w:bCs/>
          <w:szCs w:val="21"/>
          <w:lang w:val="fr-CH"/>
        </w:rPr>
      </w:pPr>
      <w:r>
        <w:rPr>
          <w:rFonts w:ascii="SimHei" w:eastAsia="SimHei"/>
          <w:bCs/>
          <w:szCs w:val="21"/>
          <w:lang w:val="fr-CH"/>
        </w:rPr>
        <w:t>Contigo</w:t>
      </w:r>
      <w:r>
        <w:rPr>
          <w:rFonts w:ascii="SimHei" w:eastAsia="SimHei" w:hint="eastAsia"/>
          <w:bCs/>
          <w:szCs w:val="21"/>
        </w:rPr>
        <w:t>战略的构成部分</w:t>
      </w:r>
    </w:p>
    <w:tbl>
      <w:tblPr>
        <w:tblW w:w="0" w:type="auto"/>
        <w:tblInd w:w="1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0"/>
        <w:gridCol w:w="4080"/>
      </w:tblGrid>
      <w:tr w:rsidR="00000000">
        <w:tblPrEx>
          <w:tblCellMar>
            <w:top w:w="0" w:type="dxa"/>
            <w:bottom w:w="0" w:type="dxa"/>
          </w:tblCellMar>
        </w:tblPrEx>
        <w:tc>
          <w:tcPr>
            <w:tcW w:w="3600" w:type="dxa"/>
            <w:tcBorders>
              <w:bottom w:val="single" w:sz="4" w:space="0" w:color="auto"/>
              <w:right w:val="nil"/>
            </w:tcBorders>
          </w:tcPr>
          <w:p w:rsidR="00000000" w:rsidRDefault="00457650">
            <w:pPr>
              <w:widowControl/>
              <w:tabs>
                <w:tab w:val="left" w:pos="630"/>
              </w:tabs>
              <w:spacing w:after="120" w:line="360" w:lineRule="exact"/>
              <w:jc w:val="center"/>
              <w:rPr>
                <w:rFonts w:ascii="KaiTi_GB2312" w:eastAsia="KaiTi_GB2312" w:hint="eastAsia"/>
                <w:sz w:val="20"/>
              </w:rPr>
            </w:pPr>
            <w:r>
              <w:rPr>
                <w:rFonts w:ascii="KaiTi_GB2312" w:eastAsia="KaiTi_GB2312" w:hint="eastAsia"/>
                <w:sz w:val="20"/>
              </w:rPr>
              <w:t>构成部分</w:t>
            </w:r>
          </w:p>
        </w:tc>
        <w:tc>
          <w:tcPr>
            <w:tcW w:w="4080" w:type="dxa"/>
            <w:tcBorders>
              <w:left w:val="nil"/>
              <w:bottom w:val="single" w:sz="4" w:space="0" w:color="auto"/>
            </w:tcBorders>
          </w:tcPr>
          <w:p w:rsidR="00000000" w:rsidRDefault="00457650">
            <w:pPr>
              <w:widowControl/>
              <w:tabs>
                <w:tab w:val="left" w:pos="630"/>
              </w:tabs>
              <w:spacing w:after="120" w:line="360" w:lineRule="exact"/>
              <w:jc w:val="center"/>
              <w:rPr>
                <w:rFonts w:ascii="KaiTi_GB2312" w:eastAsia="KaiTi_GB2312" w:hint="eastAsia"/>
                <w:sz w:val="20"/>
              </w:rPr>
            </w:pPr>
            <w:r>
              <w:rPr>
                <w:rFonts w:ascii="KaiTi_GB2312" w:eastAsia="KaiTi_GB2312" w:hint="eastAsia"/>
                <w:sz w:val="20"/>
              </w:rPr>
              <w:t>行动领域</w:t>
            </w:r>
          </w:p>
        </w:tc>
      </w:tr>
      <w:tr w:rsidR="00000000">
        <w:tblPrEx>
          <w:tblCellMar>
            <w:top w:w="0" w:type="dxa"/>
            <w:bottom w:w="0" w:type="dxa"/>
          </w:tblCellMar>
        </w:tblPrEx>
        <w:tc>
          <w:tcPr>
            <w:tcW w:w="3600" w:type="dxa"/>
            <w:tcBorders>
              <w:bottom w:val="nil"/>
              <w:right w:val="nil"/>
            </w:tcBorders>
            <w:vAlign w:val="center"/>
          </w:tcPr>
          <w:p w:rsidR="00000000" w:rsidRDefault="00457650">
            <w:pPr>
              <w:widowControl/>
              <w:tabs>
                <w:tab w:val="left" w:pos="514"/>
              </w:tabs>
              <w:spacing w:line="360" w:lineRule="exact"/>
              <w:rPr>
                <w:rFonts w:ascii="SimHei" w:eastAsia="SimHei" w:hint="eastAsia"/>
                <w:sz w:val="20"/>
              </w:rPr>
            </w:pPr>
            <w:r>
              <w:rPr>
                <w:rFonts w:ascii="SimHei" w:eastAsia="SimHei" w:hint="eastAsia"/>
                <w:sz w:val="20"/>
              </w:rPr>
              <w:t>一</w:t>
            </w:r>
            <w:r>
              <w:rPr>
                <w:rFonts w:ascii="SimHei" w:eastAsia="SimHei" w:hint="eastAsia"/>
                <w:sz w:val="20"/>
              </w:rPr>
              <w:t>.</w:t>
            </w:r>
            <w:r>
              <w:rPr>
                <w:rFonts w:ascii="SimHei" w:eastAsia="SimHei"/>
                <w:sz w:val="20"/>
              </w:rPr>
              <w:tab/>
            </w:r>
            <w:r>
              <w:rPr>
                <w:rFonts w:ascii="SimHei" w:eastAsia="SimHei" w:hint="eastAsia"/>
                <w:sz w:val="20"/>
              </w:rPr>
              <w:t>扩大各种能力</w:t>
            </w:r>
          </w:p>
        </w:tc>
        <w:tc>
          <w:tcPr>
            <w:tcW w:w="4080" w:type="dxa"/>
            <w:tcBorders>
              <w:left w:val="nil"/>
              <w:bottom w:val="nil"/>
            </w:tcBorders>
          </w:tcPr>
          <w:p w:rsidR="00000000" w:rsidRDefault="00457650" w:rsidP="00457650">
            <w:pPr>
              <w:widowControl/>
              <w:tabs>
                <w:tab w:val="left" w:pos="852"/>
              </w:tabs>
              <w:spacing w:line="360" w:lineRule="exact"/>
              <w:ind w:leftChars="234" w:left="31680"/>
              <w:rPr>
                <w:rFonts w:ascii="SimHei" w:eastAsia="SimHei" w:hint="eastAsia"/>
                <w:sz w:val="20"/>
              </w:rPr>
            </w:pPr>
            <w:r>
              <w:rPr>
                <w:rFonts w:ascii="SimHei" w:eastAsia="SimHei"/>
                <w:noProof/>
                <w:sz w:val="20"/>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173" type="#_x0000_t87" style="position:absolute;left:0;text-align:left;margin-left:12.6pt;margin-top:7.4pt;width:6pt;height:41.6pt;z-index:22;mso-position-horizontal-relative:text;mso-position-vertical-relative:text"/>
              </w:pict>
            </w:r>
            <w:r>
              <w:rPr>
                <w:rFonts w:ascii="SimHei" w:eastAsia="SimHei"/>
                <w:sz w:val="20"/>
              </w:rPr>
              <w:t>1</w:t>
            </w:r>
            <w:r>
              <w:rPr>
                <w:rFonts w:ascii="SimHei" w:eastAsia="SimHei" w:hint="eastAsia"/>
                <w:sz w:val="20"/>
              </w:rPr>
              <w:t>.</w:t>
            </w:r>
            <w:r>
              <w:rPr>
                <w:rFonts w:ascii="SimHei" w:eastAsia="SimHei" w:hint="eastAsia"/>
                <w:sz w:val="20"/>
              </w:rPr>
              <w:tab/>
            </w:r>
            <w:r>
              <w:rPr>
                <w:rFonts w:ascii="SimHei" w:eastAsia="SimHei"/>
                <w:sz w:val="20"/>
              </w:rPr>
              <w:t xml:space="preserve"> </w:t>
            </w:r>
            <w:r>
              <w:rPr>
                <w:rFonts w:ascii="SimHei" w:eastAsia="SimHei" w:hint="eastAsia"/>
                <w:sz w:val="20"/>
              </w:rPr>
              <w:t>教育</w:t>
            </w:r>
          </w:p>
          <w:p w:rsidR="00000000" w:rsidRDefault="00457650" w:rsidP="00457650">
            <w:pPr>
              <w:widowControl/>
              <w:tabs>
                <w:tab w:val="left" w:pos="852"/>
              </w:tabs>
              <w:spacing w:line="360" w:lineRule="exact"/>
              <w:ind w:leftChars="234" w:left="31680"/>
              <w:rPr>
                <w:rFonts w:ascii="SimHei" w:eastAsia="SimHei" w:hint="eastAsia"/>
                <w:sz w:val="20"/>
              </w:rPr>
            </w:pPr>
            <w:r>
              <w:rPr>
                <w:rFonts w:ascii="SimHei" w:eastAsia="SimHei"/>
                <w:sz w:val="20"/>
              </w:rPr>
              <w:t>2</w:t>
            </w:r>
            <w:r>
              <w:rPr>
                <w:rFonts w:ascii="SimHei" w:eastAsia="SimHei" w:hint="eastAsia"/>
                <w:sz w:val="20"/>
              </w:rPr>
              <w:t>.</w:t>
            </w:r>
            <w:r>
              <w:rPr>
                <w:rFonts w:ascii="SimHei" w:eastAsia="SimHei" w:hint="eastAsia"/>
                <w:sz w:val="20"/>
              </w:rPr>
              <w:tab/>
            </w:r>
            <w:r>
              <w:rPr>
                <w:rFonts w:ascii="SimHei" w:eastAsia="SimHei"/>
                <w:sz w:val="20"/>
              </w:rPr>
              <w:t xml:space="preserve"> </w:t>
            </w:r>
            <w:r>
              <w:rPr>
                <w:rFonts w:ascii="SimHei" w:eastAsia="SimHei" w:hint="eastAsia"/>
                <w:sz w:val="20"/>
              </w:rPr>
              <w:t>卫生和营养服务</w:t>
            </w:r>
          </w:p>
          <w:p w:rsidR="00000000" w:rsidRDefault="00457650" w:rsidP="00457650">
            <w:pPr>
              <w:widowControl/>
              <w:tabs>
                <w:tab w:val="left" w:pos="852"/>
              </w:tabs>
              <w:spacing w:afterLines="50" w:after="120" w:line="360" w:lineRule="exact"/>
              <w:ind w:leftChars="234" w:left="31680"/>
              <w:rPr>
                <w:rFonts w:ascii="SimHei" w:eastAsia="SimHei" w:hint="eastAsia"/>
                <w:sz w:val="20"/>
              </w:rPr>
            </w:pPr>
            <w:r>
              <w:rPr>
                <w:rFonts w:ascii="SimHei" w:eastAsia="SimHei"/>
                <w:sz w:val="20"/>
              </w:rPr>
              <w:t>3</w:t>
            </w:r>
            <w:r>
              <w:rPr>
                <w:rFonts w:ascii="SimHei" w:eastAsia="SimHei" w:hint="eastAsia"/>
                <w:sz w:val="20"/>
              </w:rPr>
              <w:t>.</w:t>
            </w:r>
            <w:r>
              <w:rPr>
                <w:rFonts w:ascii="SimHei" w:eastAsia="SimHei" w:hint="eastAsia"/>
                <w:sz w:val="20"/>
              </w:rPr>
              <w:tab/>
            </w:r>
            <w:r>
              <w:rPr>
                <w:rFonts w:ascii="SimHei" w:eastAsia="SimHei"/>
                <w:sz w:val="20"/>
              </w:rPr>
              <w:t xml:space="preserve"> </w:t>
            </w:r>
            <w:r>
              <w:rPr>
                <w:rFonts w:ascii="SimHei" w:eastAsia="SimHei" w:hint="eastAsia"/>
                <w:sz w:val="20"/>
              </w:rPr>
              <w:t>培训</w:t>
            </w:r>
          </w:p>
        </w:tc>
      </w:tr>
      <w:tr w:rsidR="00000000">
        <w:tblPrEx>
          <w:tblCellMar>
            <w:top w:w="0" w:type="dxa"/>
            <w:bottom w:w="0" w:type="dxa"/>
          </w:tblCellMar>
        </w:tblPrEx>
        <w:tc>
          <w:tcPr>
            <w:tcW w:w="3600" w:type="dxa"/>
            <w:tcBorders>
              <w:top w:val="nil"/>
              <w:bottom w:val="nil"/>
              <w:right w:val="nil"/>
            </w:tcBorders>
            <w:vAlign w:val="center"/>
          </w:tcPr>
          <w:p w:rsidR="00000000" w:rsidRDefault="00457650">
            <w:pPr>
              <w:widowControl/>
              <w:tabs>
                <w:tab w:val="left" w:pos="514"/>
                <w:tab w:val="left" w:pos="630"/>
              </w:tabs>
              <w:spacing w:line="360" w:lineRule="exact"/>
              <w:rPr>
                <w:rFonts w:ascii="SimHei" w:eastAsia="SimHei" w:hint="eastAsia"/>
                <w:sz w:val="20"/>
              </w:rPr>
            </w:pPr>
            <w:r>
              <w:rPr>
                <w:rFonts w:ascii="SimHei" w:eastAsia="SimHei" w:hint="eastAsia"/>
                <w:sz w:val="20"/>
              </w:rPr>
              <w:t>二</w:t>
            </w:r>
            <w:r>
              <w:rPr>
                <w:rFonts w:ascii="SimHei" w:eastAsia="SimHei"/>
                <w:sz w:val="20"/>
              </w:rPr>
              <w:t xml:space="preserve">.  </w:t>
            </w:r>
            <w:r>
              <w:rPr>
                <w:rFonts w:ascii="SimHei" w:eastAsia="SimHei" w:hint="eastAsia"/>
                <w:sz w:val="20"/>
              </w:rPr>
              <w:t>提供创收机会</w:t>
            </w:r>
          </w:p>
        </w:tc>
        <w:tc>
          <w:tcPr>
            <w:tcW w:w="4080" w:type="dxa"/>
            <w:tcBorders>
              <w:top w:val="nil"/>
              <w:left w:val="nil"/>
              <w:bottom w:val="nil"/>
            </w:tcBorders>
          </w:tcPr>
          <w:p w:rsidR="00000000" w:rsidRDefault="00457650" w:rsidP="00457650">
            <w:pPr>
              <w:widowControl/>
              <w:tabs>
                <w:tab w:val="left" w:pos="852"/>
              </w:tabs>
              <w:spacing w:line="360" w:lineRule="exact"/>
              <w:ind w:leftChars="234" w:left="31680"/>
              <w:rPr>
                <w:rFonts w:ascii="SimHei" w:eastAsia="SimHei" w:hint="eastAsia"/>
                <w:sz w:val="20"/>
              </w:rPr>
            </w:pPr>
            <w:r>
              <w:rPr>
                <w:rFonts w:ascii="SimHei" w:eastAsia="SimHei"/>
                <w:noProof/>
                <w:sz w:val="20"/>
              </w:rPr>
              <w:pict>
                <v:shape id="_x0000_s1174" type="#_x0000_t87" style="position:absolute;left:0;text-align:left;margin-left:12.6pt;margin-top:7.6pt;width:6pt;height:26pt;z-index:23;mso-position-horizontal-relative:text;mso-position-vertical-relative:text"/>
              </w:pict>
            </w:r>
            <w:r>
              <w:rPr>
                <w:rFonts w:ascii="SimHei" w:eastAsia="SimHei"/>
                <w:sz w:val="20"/>
              </w:rPr>
              <w:t>4</w:t>
            </w:r>
            <w:r>
              <w:rPr>
                <w:rFonts w:ascii="SimHei" w:eastAsia="SimHei" w:hint="eastAsia"/>
                <w:sz w:val="20"/>
              </w:rPr>
              <w:t>.</w:t>
            </w:r>
            <w:r>
              <w:rPr>
                <w:rFonts w:ascii="SimHei" w:eastAsia="SimHei" w:hint="eastAsia"/>
                <w:sz w:val="20"/>
              </w:rPr>
              <w:tab/>
            </w:r>
            <w:r>
              <w:rPr>
                <w:rFonts w:ascii="SimHei" w:eastAsia="SimHei"/>
                <w:sz w:val="20"/>
              </w:rPr>
              <w:t xml:space="preserve"> </w:t>
            </w:r>
            <w:r>
              <w:rPr>
                <w:rFonts w:ascii="SimHei" w:eastAsia="SimHei" w:hint="eastAsia"/>
                <w:sz w:val="20"/>
              </w:rPr>
              <w:t>当地发展和获得信贷的途径</w:t>
            </w:r>
          </w:p>
          <w:p w:rsidR="00000000" w:rsidRDefault="00457650" w:rsidP="00457650">
            <w:pPr>
              <w:widowControl/>
              <w:tabs>
                <w:tab w:val="left" w:pos="852"/>
              </w:tabs>
              <w:spacing w:afterLines="50" w:after="120" w:line="360" w:lineRule="exact"/>
              <w:ind w:leftChars="234" w:left="31680"/>
              <w:rPr>
                <w:rFonts w:ascii="SimHei" w:eastAsia="SimHei" w:hint="eastAsia"/>
                <w:sz w:val="20"/>
              </w:rPr>
            </w:pPr>
            <w:r>
              <w:rPr>
                <w:rFonts w:ascii="SimHei" w:eastAsia="SimHei"/>
                <w:sz w:val="20"/>
              </w:rPr>
              <w:t>5</w:t>
            </w:r>
            <w:r>
              <w:rPr>
                <w:rFonts w:ascii="SimHei" w:eastAsia="SimHei" w:hint="eastAsia"/>
                <w:sz w:val="20"/>
              </w:rPr>
              <w:t>.</w:t>
            </w:r>
            <w:r>
              <w:rPr>
                <w:rFonts w:ascii="SimHei" w:eastAsia="SimHei" w:hint="eastAsia"/>
                <w:sz w:val="20"/>
              </w:rPr>
              <w:tab/>
            </w:r>
            <w:r>
              <w:rPr>
                <w:rFonts w:ascii="SimHei" w:eastAsia="SimHei"/>
                <w:sz w:val="20"/>
              </w:rPr>
              <w:t xml:space="preserve"> </w:t>
            </w:r>
            <w:r>
              <w:rPr>
                <w:rFonts w:ascii="SimHei" w:eastAsia="SimHei" w:hint="eastAsia"/>
                <w:sz w:val="20"/>
              </w:rPr>
              <w:t>创造就业</w:t>
            </w:r>
          </w:p>
        </w:tc>
      </w:tr>
      <w:tr w:rsidR="00000000">
        <w:tblPrEx>
          <w:tblCellMar>
            <w:top w:w="0" w:type="dxa"/>
            <w:bottom w:w="0" w:type="dxa"/>
          </w:tblCellMar>
        </w:tblPrEx>
        <w:tc>
          <w:tcPr>
            <w:tcW w:w="3600" w:type="dxa"/>
            <w:tcBorders>
              <w:top w:val="nil"/>
              <w:bottom w:val="nil"/>
              <w:right w:val="nil"/>
            </w:tcBorders>
            <w:vAlign w:val="center"/>
          </w:tcPr>
          <w:p w:rsidR="00000000" w:rsidRDefault="00457650">
            <w:pPr>
              <w:widowControl/>
              <w:tabs>
                <w:tab w:val="left" w:pos="514"/>
                <w:tab w:val="left" w:pos="630"/>
              </w:tabs>
              <w:spacing w:line="360" w:lineRule="exact"/>
              <w:rPr>
                <w:rFonts w:ascii="SimHei" w:eastAsia="SimHei" w:hint="eastAsia"/>
                <w:sz w:val="20"/>
              </w:rPr>
            </w:pPr>
            <w:r>
              <w:rPr>
                <w:rFonts w:ascii="SimHei" w:eastAsia="SimHei" w:hint="eastAsia"/>
                <w:sz w:val="20"/>
              </w:rPr>
              <w:t>三</w:t>
            </w:r>
            <w:r>
              <w:rPr>
                <w:rFonts w:eastAsia="SimHei"/>
                <w:sz w:val="20"/>
              </w:rPr>
              <w:t>.</w:t>
            </w:r>
            <w:r>
              <w:rPr>
                <w:rFonts w:ascii="SimHei" w:eastAsia="SimHei"/>
                <w:sz w:val="20"/>
              </w:rPr>
              <w:t xml:space="preserve">  </w:t>
            </w:r>
            <w:r>
              <w:rPr>
                <w:rFonts w:ascii="SimHei" w:eastAsia="SimHei" w:hint="eastAsia"/>
                <w:sz w:val="20"/>
              </w:rPr>
              <w:tab/>
            </w:r>
            <w:r>
              <w:rPr>
                <w:rFonts w:ascii="SimHei" w:eastAsia="SimHei" w:hint="eastAsia"/>
                <w:sz w:val="20"/>
              </w:rPr>
              <w:t>积累</w:t>
            </w:r>
            <w:r>
              <w:rPr>
                <w:rFonts w:ascii="SimHei" w:eastAsia="SimHei"/>
                <w:sz w:val="20"/>
              </w:rPr>
              <w:t>资产</w:t>
            </w:r>
          </w:p>
        </w:tc>
        <w:tc>
          <w:tcPr>
            <w:tcW w:w="4080" w:type="dxa"/>
            <w:tcBorders>
              <w:top w:val="nil"/>
              <w:left w:val="nil"/>
              <w:bottom w:val="nil"/>
            </w:tcBorders>
          </w:tcPr>
          <w:p w:rsidR="00000000" w:rsidRDefault="00457650" w:rsidP="00457650">
            <w:pPr>
              <w:widowControl/>
              <w:tabs>
                <w:tab w:val="left" w:pos="852"/>
              </w:tabs>
              <w:spacing w:line="360" w:lineRule="exact"/>
              <w:ind w:leftChars="234" w:left="31680"/>
              <w:rPr>
                <w:rFonts w:ascii="SimHei" w:eastAsia="SimHei" w:hint="eastAsia"/>
                <w:sz w:val="20"/>
              </w:rPr>
            </w:pPr>
            <w:r>
              <w:rPr>
                <w:rFonts w:ascii="SimHei" w:eastAsia="SimHei"/>
                <w:noProof/>
                <w:sz w:val="20"/>
              </w:rPr>
              <w:pict>
                <v:shape id="_x0000_s1175" type="#_x0000_t87" style="position:absolute;left:0;text-align:left;margin-left:12.6pt;margin-top:9.7pt;width:6pt;height:41.6pt;z-index:24;mso-position-horizontal-relative:text;mso-position-vertical-relative:text"/>
              </w:pict>
            </w:r>
            <w:r>
              <w:rPr>
                <w:rFonts w:ascii="SimHei" w:eastAsia="SimHei"/>
                <w:sz w:val="20"/>
              </w:rPr>
              <w:t>6</w:t>
            </w:r>
            <w:r>
              <w:rPr>
                <w:rFonts w:ascii="SimHei" w:eastAsia="SimHei" w:hint="eastAsia"/>
                <w:sz w:val="20"/>
              </w:rPr>
              <w:t>.</w:t>
            </w:r>
            <w:r>
              <w:rPr>
                <w:rFonts w:ascii="SimHei" w:eastAsia="SimHei" w:hint="eastAsia"/>
                <w:sz w:val="20"/>
              </w:rPr>
              <w:tab/>
            </w:r>
            <w:r>
              <w:rPr>
                <w:rFonts w:ascii="SimHei" w:eastAsia="SimHei"/>
                <w:sz w:val="20"/>
              </w:rPr>
              <w:t xml:space="preserve"> </w:t>
            </w:r>
            <w:r>
              <w:rPr>
                <w:rFonts w:ascii="SimHei" w:eastAsia="SimHei" w:hint="eastAsia"/>
                <w:sz w:val="20"/>
              </w:rPr>
              <w:t>住房</w:t>
            </w:r>
          </w:p>
          <w:p w:rsidR="00000000" w:rsidRDefault="00457650" w:rsidP="00457650">
            <w:pPr>
              <w:widowControl/>
              <w:tabs>
                <w:tab w:val="left" w:pos="852"/>
              </w:tabs>
              <w:spacing w:line="360" w:lineRule="exact"/>
              <w:ind w:leftChars="234" w:left="31680"/>
              <w:rPr>
                <w:rFonts w:ascii="SimHei" w:eastAsia="SimHei" w:hint="eastAsia"/>
                <w:sz w:val="20"/>
              </w:rPr>
            </w:pPr>
            <w:r>
              <w:rPr>
                <w:rFonts w:ascii="SimHei" w:eastAsia="SimHei"/>
                <w:sz w:val="20"/>
              </w:rPr>
              <w:t>7</w:t>
            </w:r>
            <w:r>
              <w:rPr>
                <w:rFonts w:ascii="SimHei" w:eastAsia="SimHei" w:hint="eastAsia"/>
                <w:sz w:val="20"/>
              </w:rPr>
              <w:t>.</w:t>
            </w:r>
            <w:r>
              <w:rPr>
                <w:rFonts w:ascii="SimHei" w:eastAsia="SimHei" w:hint="eastAsia"/>
                <w:sz w:val="20"/>
              </w:rPr>
              <w:tab/>
            </w:r>
            <w:r>
              <w:rPr>
                <w:rFonts w:ascii="SimHei" w:eastAsia="SimHei"/>
                <w:sz w:val="20"/>
              </w:rPr>
              <w:t xml:space="preserve"> </w:t>
            </w:r>
            <w:r>
              <w:rPr>
                <w:rFonts w:ascii="SimHei" w:eastAsia="SimHei" w:hint="eastAsia"/>
                <w:sz w:val="20"/>
              </w:rPr>
              <w:t>储蓄</w:t>
            </w:r>
          </w:p>
          <w:p w:rsidR="00000000" w:rsidRDefault="00457650" w:rsidP="00457650">
            <w:pPr>
              <w:widowControl/>
              <w:tabs>
                <w:tab w:val="left" w:pos="852"/>
              </w:tabs>
              <w:spacing w:afterLines="50" w:after="120" w:line="360" w:lineRule="exact"/>
              <w:ind w:leftChars="234" w:left="31680"/>
              <w:rPr>
                <w:rFonts w:ascii="SimHei" w:eastAsia="SimHei" w:hint="eastAsia"/>
                <w:sz w:val="20"/>
              </w:rPr>
            </w:pPr>
            <w:r>
              <w:rPr>
                <w:rFonts w:ascii="SimHei" w:eastAsia="SimHei"/>
                <w:sz w:val="20"/>
              </w:rPr>
              <w:t>8</w:t>
            </w:r>
            <w:r>
              <w:rPr>
                <w:rFonts w:ascii="SimHei" w:eastAsia="SimHei" w:hint="eastAsia"/>
                <w:sz w:val="20"/>
              </w:rPr>
              <w:t>.</w:t>
            </w:r>
            <w:r>
              <w:rPr>
                <w:rFonts w:ascii="SimHei" w:eastAsia="SimHei" w:hint="eastAsia"/>
                <w:sz w:val="20"/>
              </w:rPr>
              <w:tab/>
            </w:r>
            <w:r>
              <w:rPr>
                <w:rFonts w:ascii="SimHei" w:eastAsia="SimHei"/>
                <w:sz w:val="20"/>
              </w:rPr>
              <w:t xml:space="preserve"> </w:t>
            </w:r>
            <w:r>
              <w:rPr>
                <w:rFonts w:ascii="SimHei" w:eastAsia="SimHei" w:hint="eastAsia"/>
                <w:sz w:val="20"/>
              </w:rPr>
              <w:t>财产所有权</w:t>
            </w:r>
          </w:p>
        </w:tc>
      </w:tr>
      <w:tr w:rsidR="00000000">
        <w:tblPrEx>
          <w:tblCellMar>
            <w:top w:w="0" w:type="dxa"/>
            <w:bottom w:w="0" w:type="dxa"/>
          </w:tblCellMar>
        </w:tblPrEx>
        <w:tc>
          <w:tcPr>
            <w:tcW w:w="3600" w:type="dxa"/>
            <w:tcBorders>
              <w:top w:val="nil"/>
              <w:right w:val="nil"/>
            </w:tcBorders>
            <w:vAlign w:val="center"/>
          </w:tcPr>
          <w:p w:rsidR="00000000" w:rsidRDefault="00457650">
            <w:pPr>
              <w:widowControl/>
              <w:tabs>
                <w:tab w:val="left" w:pos="486"/>
                <w:tab w:val="left" w:pos="514"/>
              </w:tabs>
              <w:spacing w:line="360" w:lineRule="exact"/>
              <w:rPr>
                <w:rFonts w:ascii="SimHei" w:eastAsia="SimHei" w:hint="eastAsia"/>
                <w:sz w:val="20"/>
              </w:rPr>
            </w:pPr>
            <w:r>
              <w:rPr>
                <w:rFonts w:ascii="SimHei" w:eastAsia="SimHei" w:hint="eastAsia"/>
                <w:sz w:val="20"/>
              </w:rPr>
              <w:t>四</w:t>
            </w:r>
            <w:r>
              <w:rPr>
                <w:rFonts w:ascii="SimHei" w:eastAsia="SimHei"/>
                <w:sz w:val="20"/>
              </w:rPr>
              <w:t>.</w:t>
            </w:r>
            <w:r>
              <w:rPr>
                <w:rFonts w:ascii="SimHei" w:eastAsia="SimHei" w:hint="eastAsia"/>
                <w:sz w:val="20"/>
              </w:rPr>
              <w:tab/>
            </w:r>
            <w:r>
              <w:rPr>
                <w:rFonts w:ascii="SimHei" w:eastAsia="SimHei" w:hint="eastAsia"/>
                <w:sz w:val="20"/>
              </w:rPr>
              <w:t>提供社会保护</w:t>
            </w:r>
          </w:p>
        </w:tc>
        <w:tc>
          <w:tcPr>
            <w:tcW w:w="4080" w:type="dxa"/>
            <w:tcBorders>
              <w:top w:val="nil"/>
              <w:left w:val="nil"/>
            </w:tcBorders>
          </w:tcPr>
          <w:p w:rsidR="00000000" w:rsidRDefault="00457650" w:rsidP="00457650">
            <w:pPr>
              <w:widowControl/>
              <w:tabs>
                <w:tab w:val="left" w:pos="852"/>
              </w:tabs>
              <w:spacing w:line="360" w:lineRule="exact"/>
              <w:ind w:leftChars="234" w:left="31680"/>
              <w:rPr>
                <w:rFonts w:ascii="SimHei" w:eastAsia="SimHei" w:hint="eastAsia"/>
                <w:sz w:val="20"/>
              </w:rPr>
            </w:pPr>
            <w:r>
              <w:rPr>
                <w:rFonts w:ascii="SimHei" w:eastAsia="SimHei"/>
                <w:noProof/>
                <w:sz w:val="20"/>
              </w:rPr>
              <w:pict>
                <v:shape id="_x0000_s1176" type="#_x0000_t87" style="position:absolute;left:0;text-align:left;margin-left:13.5pt;margin-top:9.15pt;width:6pt;height:41.6pt;z-index:25;mso-position-horizontal-relative:text;mso-position-vertical-relative:text"/>
              </w:pict>
            </w:r>
            <w:r>
              <w:rPr>
                <w:rFonts w:ascii="SimHei" w:eastAsia="SimHei"/>
                <w:sz w:val="20"/>
              </w:rPr>
              <w:t>9</w:t>
            </w:r>
            <w:r>
              <w:rPr>
                <w:rFonts w:ascii="SimHei" w:eastAsia="SimHei" w:hint="eastAsia"/>
                <w:sz w:val="20"/>
              </w:rPr>
              <w:t>.</w:t>
            </w:r>
            <w:r>
              <w:rPr>
                <w:rFonts w:ascii="SimHei" w:eastAsia="SimHei" w:hint="eastAsia"/>
                <w:sz w:val="20"/>
              </w:rPr>
              <w:tab/>
            </w:r>
            <w:r>
              <w:rPr>
                <w:rFonts w:ascii="SimHei" w:eastAsia="SimHei"/>
                <w:sz w:val="20"/>
              </w:rPr>
              <w:t xml:space="preserve"> </w:t>
            </w:r>
            <w:r>
              <w:rPr>
                <w:rFonts w:ascii="SimHei" w:eastAsia="SimHei" w:hint="eastAsia"/>
                <w:sz w:val="20"/>
              </w:rPr>
              <w:t>保险</w:t>
            </w:r>
          </w:p>
          <w:p w:rsidR="00000000" w:rsidRDefault="00457650" w:rsidP="00457650">
            <w:pPr>
              <w:widowControl/>
              <w:tabs>
                <w:tab w:val="left" w:pos="852"/>
              </w:tabs>
              <w:spacing w:line="360" w:lineRule="exact"/>
              <w:ind w:leftChars="234" w:left="31680"/>
              <w:rPr>
                <w:rFonts w:ascii="SimHei" w:eastAsia="SimHei" w:hint="eastAsia"/>
                <w:sz w:val="20"/>
              </w:rPr>
            </w:pPr>
            <w:r>
              <w:rPr>
                <w:rFonts w:ascii="SimHei" w:eastAsia="SimHei"/>
                <w:sz w:val="20"/>
              </w:rPr>
              <w:t>10</w:t>
            </w:r>
            <w:r>
              <w:rPr>
                <w:rFonts w:ascii="SimHei" w:eastAsia="SimHei" w:hint="eastAsia"/>
                <w:sz w:val="20"/>
              </w:rPr>
              <w:t>.</w:t>
            </w:r>
            <w:r>
              <w:rPr>
                <w:rFonts w:ascii="SimHei" w:eastAsia="SimHei" w:hint="eastAsia"/>
                <w:sz w:val="20"/>
              </w:rPr>
              <w:tab/>
            </w:r>
            <w:r>
              <w:rPr>
                <w:rFonts w:ascii="SimHei" w:eastAsia="SimHei"/>
                <w:sz w:val="20"/>
              </w:rPr>
              <w:t xml:space="preserve"> </w:t>
            </w:r>
            <w:r>
              <w:rPr>
                <w:rFonts w:ascii="SimHei" w:eastAsia="SimHei" w:hint="eastAsia"/>
                <w:sz w:val="20"/>
              </w:rPr>
              <w:t>社会保障</w:t>
            </w:r>
          </w:p>
          <w:p w:rsidR="00000000" w:rsidRDefault="00457650" w:rsidP="00457650">
            <w:pPr>
              <w:widowControl/>
              <w:tabs>
                <w:tab w:val="left" w:pos="852"/>
              </w:tabs>
              <w:spacing w:afterLines="50" w:after="120" w:line="360" w:lineRule="exact"/>
              <w:ind w:leftChars="234" w:left="31680"/>
              <w:rPr>
                <w:rFonts w:ascii="SimHei" w:eastAsia="SimHei" w:hint="eastAsia"/>
                <w:sz w:val="20"/>
              </w:rPr>
            </w:pPr>
            <w:r>
              <w:rPr>
                <w:rFonts w:ascii="SimHei" w:eastAsia="SimHei"/>
                <w:sz w:val="20"/>
              </w:rPr>
              <w:t>11</w:t>
            </w:r>
            <w:r>
              <w:rPr>
                <w:rFonts w:ascii="SimHei" w:eastAsia="SimHei" w:hint="eastAsia"/>
                <w:sz w:val="20"/>
              </w:rPr>
              <w:t>.</w:t>
            </w:r>
            <w:r>
              <w:rPr>
                <w:rFonts w:ascii="SimHei" w:eastAsia="SimHei" w:hint="eastAsia"/>
                <w:sz w:val="20"/>
              </w:rPr>
              <w:tab/>
            </w:r>
            <w:r>
              <w:rPr>
                <w:rFonts w:ascii="SimHei" w:eastAsia="SimHei"/>
                <w:sz w:val="20"/>
              </w:rPr>
              <w:t xml:space="preserve"> </w:t>
            </w:r>
            <w:r>
              <w:rPr>
                <w:rFonts w:ascii="SimHei" w:eastAsia="SimHei" w:hint="eastAsia"/>
                <w:sz w:val="20"/>
              </w:rPr>
              <w:t>预防集体风险</w:t>
            </w:r>
          </w:p>
        </w:tc>
      </w:tr>
    </w:tbl>
    <w:p w:rsidR="00000000" w:rsidRDefault="00457650" w:rsidP="00457650">
      <w:pPr>
        <w:widowControl/>
        <w:tabs>
          <w:tab w:val="left" w:pos="630"/>
        </w:tabs>
        <w:spacing w:after="240" w:line="360" w:lineRule="exact"/>
        <w:ind w:firstLineChars="600" w:firstLine="31680"/>
        <w:rPr>
          <w:rFonts w:hint="eastAsia"/>
          <w:sz w:val="18"/>
        </w:rPr>
      </w:pPr>
      <w:r>
        <w:rPr>
          <w:rFonts w:eastAsia="KaiTi_GB2312" w:hint="eastAsia"/>
          <w:sz w:val="18"/>
        </w:rPr>
        <w:t>资料来源</w:t>
      </w:r>
      <w:r>
        <w:rPr>
          <w:rFonts w:hint="eastAsia"/>
          <w:sz w:val="18"/>
        </w:rPr>
        <w:t>：社会发展部。</w:t>
      </w:r>
    </w:p>
    <w:p w:rsidR="00000000" w:rsidRDefault="00457650">
      <w:pPr>
        <w:widowControl/>
        <w:tabs>
          <w:tab w:val="left" w:pos="630"/>
        </w:tabs>
        <w:spacing w:after="240" w:line="360" w:lineRule="exact"/>
        <w:rPr>
          <w:rFonts w:hint="eastAsia"/>
        </w:rPr>
      </w:pPr>
      <w:r>
        <w:t>1089</w:t>
      </w:r>
      <w:r>
        <w:rPr>
          <w:rFonts w:hint="eastAsia"/>
        </w:rPr>
        <w:t>.</w:t>
      </w:r>
      <w:r>
        <w:rPr>
          <w:rFonts w:hint="eastAsia"/>
        </w:rPr>
        <w:tab/>
      </w:r>
      <w:r>
        <w:t>Contigo</w:t>
      </w:r>
      <w:r>
        <w:rPr>
          <w:rFonts w:hint="eastAsia"/>
        </w:rPr>
        <w:t>方案的实施遵循共同责任、公正性和综合性的原则，将个人、家庭和生命进程作为行动的关注点。</w:t>
      </w:r>
    </w:p>
    <w:p w:rsidR="00000000" w:rsidRDefault="00457650">
      <w:pPr>
        <w:widowControl/>
        <w:tabs>
          <w:tab w:val="left" w:pos="630"/>
        </w:tabs>
        <w:spacing w:after="240" w:line="360" w:lineRule="exact"/>
        <w:rPr>
          <w:rFonts w:eastAsia="SimHei" w:hint="eastAsia"/>
          <w:bCs/>
        </w:rPr>
      </w:pPr>
      <w:r>
        <w:rPr>
          <w:rFonts w:eastAsia="SimHei" w:hint="eastAsia"/>
          <w:bCs/>
        </w:rPr>
        <w:tab/>
      </w:r>
      <w:r>
        <w:rPr>
          <w:rFonts w:eastAsia="SimHei" w:hint="eastAsia"/>
          <w:bCs/>
        </w:rPr>
        <w:t>方案</w:t>
      </w:r>
    </w:p>
    <w:p w:rsidR="00000000" w:rsidRDefault="00457650">
      <w:pPr>
        <w:widowControl/>
        <w:tabs>
          <w:tab w:val="left" w:pos="630"/>
        </w:tabs>
        <w:spacing w:after="240" w:line="360" w:lineRule="exact"/>
        <w:rPr>
          <w:rFonts w:hint="eastAsia"/>
        </w:rPr>
      </w:pPr>
      <w:r>
        <w:t>1090</w:t>
      </w:r>
      <w:r>
        <w:rPr>
          <w:rFonts w:hint="eastAsia"/>
        </w:rPr>
        <w:t>．</w:t>
      </w:r>
      <w:r>
        <w:t>Contigo</w:t>
      </w:r>
      <w:r>
        <w:rPr>
          <w:rFonts w:hint="eastAsia"/>
        </w:rPr>
        <w:t>战略协调联邦各部委和机构在社会领域的工作，在这方面，将所有战略整合在一起，并对现有的方案进行修改或强化，取消对该战略没有帮助的方案，并在尚未涉及的领域实施新的方案。社会方案的规模尽量扩大，以避免重复，并加强协作。</w:t>
      </w:r>
    </w:p>
    <w:p w:rsidR="00000000" w:rsidRDefault="00457650">
      <w:pPr>
        <w:widowControl/>
        <w:tabs>
          <w:tab w:val="left" w:pos="630"/>
        </w:tabs>
        <w:spacing w:after="240" w:line="360" w:lineRule="exact"/>
        <w:rPr>
          <w:rFonts w:hint="eastAsia"/>
        </w:rPr>
      </w:pPr>
      <w:r>
        <w:t>1091</w:t>
      </w:r>
      <w:r>
        <w:rPr>
          <w:rFonts w:hint="eastAsia"/>
        </w:rPr>
        <w:t>.</w:t>
      </w:r>
      <w:r>
        <w:rPr>
          <w:rFonts w:hint="eastAsia"/>
        </w:rPr>
        <w:tab/>
      </w:r>
      <w:r>
        <w:t>Con</w:t>
      </w:r>
      <w:r>
        <w:t>tigo</w:t>
      </w:r>
      <w:r>
        <w:rPr>
          <w:rFonts w:hint="eastAsia"/>
        </w:rPr>
        <w:t>由诸多方案组成，下面介绍构成</w:t>
      </w:r>
      <w:r>
        <w:t>Contigo</w:t>
      </w:r>
      <w:r>
        <w:rPr>
          <w:rFonts w:hint="eastAsia"/>
        </w:rPr>
        <w:t>战略一部分的社会发展部的一些方案，这些方案涉及并促进了民间社会的参与。</w:t>
      </w:r>
    </w:p>
    <w:p w:rsidR="00000000" w:rsidRDefault="00457650">
      <w:pPr>
        <w:keepNext/>
        <w:widowControl/>
        <w:tabs>
          <w:tab w:val="left" w:pos="630"/>
        </w:tabs>
        <w:spacing w:after="240" w:line="360" w:lineRule="exact"/>
        <w:rPr>
          <w:rFonts w:eastAsia="SimHei" w:hint="eastAsia"/>
          <w:bCs/>
        </w:rPr>
      </w:pPr>
      <w:r>
        <w:rPr>
          <w:rFonts w:eastAsia="SimHei" w:hint="eastAsia"/>
          <w:bCs/>
        </w:rPr>
        <w:tab/>
      </w:r>
      <w:r>
        <w:rPr>
          <w:rFonts w:eastAsia="SimHei" w:hint="eastAsia"/>
          <w:bCs/>
        </w:rPr>
        <w:t>机会</w:t>
      </w:r>
    </w:p>
    <w:p w:rsidR="00000000" w:rsidRDefault="00457650">
      <w:pPr>
        <w:keepNext/>
        <w:widowControl/>
        <w:tabs>
          <w:tab w:val="left" w:pos="630"/>
        </w:tabs>
        <w:spacing w:after="240" w:line="360" w:lineRule="exact"/>
        <w:rPr>
          <w:rFonts w:hint="eastAsia"/>
        </w:rPr>
      </w:pPr>
      <w:r>
        <w:t>1092</w:t>
      </w:r>
      <w:r>
        <w:rPr>
          <w:rFonts w:hint="eastAsia"/>
        </w:rPr>
        <w:t>.</w:t>
      </w:r>
      <w:r>
        <w:rPr>
          <w:rFonts w:hint="eastAsia"/>
        </w:rPr>
        <w:tab/>
      </w:r>
      <w:r>
        <w:rPr>
          <w:rFonts w:hint="eastAsia"/>
        </w:rPr>
        <w:t>根据</w:t>
      </w:r>
      <w:r>
        <w:t>Contigo</w:t>
      </w:r>
      <w:r>
        <w:rPr>
          <w:rFonts w:hint="eastAsia"/>
        </w:rPr>
        <w:t>战略，社会发展部调整了人力发展：与该战略两个方面有联系的机会方案：提高家庭的能力、增加可供选择的机会。机会方案的一般目标是为赤贫家庭提供援助，发展家庭成员的能力，扩大他们的机遇范围，使他们能通过提高教育、卫生和营养方面的选择来获得更好的福利，除此之外，还使他们了解能够改善他们社会经济状况和生活质量的新的服务和发展项目。</w:t>
      </w:r>
    </w:p>
    <w:p w:rsidR="00000000" w:rsidRDefault="00457650">
      <w:pPr>
        <w:widowControl/>
        <w:tabs>
          <w:tab w:val="left" w:pos="630"/>
        </w:tabs>
        <w:spacing w:after="240" w:line="360" w:lineRule="exact"/>
        <w:jc w:val="center"/>
        <w:rPr>
          <w:rFonts w:eastAsia="SimHei" w:hint="eastAsia"/>
        </w:rPr>
      </w:pPr>
      <w:r>
        <w:rPr>
          <w:rFonts w:eastAsia="SimHei" w:hint="eastAsia"/>
        </w:rPr>
        <w:t>综合性：生命进程和有关战略相融</w:t>
      </w:r>
      <w:r>
        <w:rPr>
          <w:rFonts w:eastAsia="SimHei" w:hint="eastAsia"/>
        </w:rPr>
        <w:t>合</w:t>
      </w:r>
    </w:p>
    <w:p w:rsidR="00000000" w:rsidRDefault="00457650">
      <w:pPr>
        <w:widowControl/>
        <w:tabs>
          <w:tab w:val="left" w:pos="630"/>
        </w:tabs>
        <w:spacing w:after="240" w:line="360" w:lineRule="exact"/>
        <w:jc w:val="center"/>
        <w:rPr>
          <w:rFonts w:eastAsia="SimHei" w:hint="eastAsia"/>
          <w:bCs/>
          <w:szCs w:val="21"/>
        </w:rPr>
      </w:pPr>
      <w:r>
        <w:rPr>
          <w:rFonts w:eastAsia="SimHei"/>
          <w:bCs/>
          <w:noProof/>
          <w:sz w:val="20"/>
          <w:szCs w:val="21"/>
        </w:rPr>
        <w:pict>
          <v:line id="_x0000_s1180" style="position:absolute;left:0;text-align:left;z-index:29" from="18pt,1.2pt" to="18pt,354.8pt"/>
        </w:pict>
      </w:r>
      <w:r>
        <w:rPr>
          <w:rFonts w:eastAsia="SimHei"/>
          <w:bCs/>
          <w:noProof/>
          <w:sz w:val="20"/>
          <w:szCs w:val="21"/>
        </w:rPr>
        <w:pict>
          <v:line id="_x0000_s1179" style="position:absolute;left:0;text-align:left;z-index:28" from="18pt,1.2pt" to="480pt,1.2pt"/>
        </w:pict>
      </w:r>
      <w:r>
        <w:rPr>
          <w:rFonts w:eastAsia="SimHei" w:hint="eastAsia"/>
          <w:bCs/>
          <w:szCs w:val="21"/>
        </w:rPr>
        <w:t>新的行动和计划安排</w:t>
      </w:r>
    </w:p>
    <w:p w:rsidR="00000000" w:rsidRDefault="00457650" w:rsidP="00457650">
      <w:pPr>
        <w:widowControl/>
        <w:tabs>
          <w:tab w:val="left" w:pos="630"/>
        </w:tabs>
        <w:spacing w:after="240" w:line="360" w:lineRule="exact"/>
        <w:ind w:rightChars="290" w:right="31680"/>
        <w:jc w:val="right"/>
        <w:rPr>
          <w:rFonts w:eastAsia="KaiTi_GB2312" w:hint="eastAsia"/>
          <w:b/>
          <w:bCs/>
          <w:sz w:val="18"/>
        </w:rPr>
      </w:pPr>
      <w:r>
        <w:rPr>
          <w:rFonts w:eastAsia="KaiTi_GB2312"/>
          <w:b/>
          <w:bCs/>
          <w:noProof/>
          <w:sz w:val="20"/>
        </w:rPr>
        <w:pict>
          <v:line id="_x0000_s1177" style="position:absolute;left:0;text-align:left;flip:y;z-index:26" from="48pt,2.25pt" to="461.85pt,2.4pt" strokecolor="gray" strokeweight="2.25pt">
            <v:stroke endarrow="block"/>
          </v:line>
        </w:pict>
      </w:r>
      <w:r>
        <w:rPr>
          <w:rFonts w:eastAsia="KaiTi_GB2312"/>
          <w:b/>
          <w:bCs/>
          <w:noProof/>
          <w:sz w:val="20"/>
        </w:rPr>
        <w:pict>
          <v:line id="_x0000_s1178" style="position:absolute;left:0;text-align:left;z-index:27" from="48pt,2.25pt" to="48pt,309.05pt" strokecolor="gray" strokeweight="2.25pt">
            <v:stroke endarrow="block"/>
          </v:line>
        </w:pict>
      </w:r>
      <w:r>
        <w:rPr>
          <w:rFonts w:eastAsia="KaiTi_GB2312" w:hint="eastAsia"/>
          <w:b/>
          <w:bCs/>
          <w:sz w:val="18"/>
        </w:rPr>
        <w:t>（累积性循环）</w:t>
      </w:r>
    </w:p>
    <w:tbl>
      <w:tblPr>
        <w:tblW w:w="0" w:type="auto"/>
        <w:tblInd w:w="1428" w:type="dxa"/>
        <w:tblLook w:val="0000" w:firstRow="0" w:lastRow="0" w:firstColumn="0" w:lastColumn="0" w:noHBand="0" w:noVBand="0"/>
      </w:tblPr>
      <w:tblGrid>
        <w:gridCol w:w="1800"/>
        <w:gridCol w:w="1080"/>
        <w:gridCol w:w="1080"/>
        <w:gridCol w:w="1080"/>
        <w:gridCol w:w="1080"/>
        <w:gridCol w:w="1080"/>
      </w:tblGrid>
      <w:tr w:rsidR="00000000">
        <w:tblPrEx>
          <w:tblCellMar>
            <w:top w:w="0" w:type="dxa"/>
            <w:bottom w:w="0" w:type="dxa"/>
          </w:tblCellMar>
        </w:tblPrEx>
        <w:tc>
          <w:tcPr>
            <w:tcW w:w="1800" w:type="dxa"/>
          </w:tcPr>
          <w:p w:rsidR="00000000" w:rsidRDefault="00457650">
            <w:pPr>
              <w:widowControl/>
              <w:spacing w:before="120" w:after="120" w:line="360" w:lineRule="exact"/>
              <w:rPr>
                <w:rFonts w:eastAsia="KaiTi_GB2312" w:hint="eastAsia"/>
                <w:sz w:val="18"/>
              </w:rPr>
            </w:pPr>
            <w:r>
              <w:rPr>
                <w:noProof/>
                <w:sz w:val="20"/>
              </w:rPr>
              <w:pict>
                <v:shape id="_x0000_s1187" type="#_x0000_t202" style="position:absolute;left:0;text-align:left;margin-left:77.85pt;margin-top:24.4pt;width:4in;height:244.4pt;z-index:-3" filled="f" stroked="f">
                  <v:textbox>
                    <w:txbxContent>
                      <w:p w:rsidR="00000000" w:rsidRDefault="00457650">
                        <w:pPr>
                          <w:rPr>
                            <w:rFonts w:hint="eastAsia"/>
                          </w:rPr>
                        </w:pPr>
                        <w:r>
                          <w:pict>
                            <v:shape id="_x0000_i1043" type="#_x0000_t75" style="width:268.5pt;height:240.75pt">
                              <v:imagedata r:id="rId171" o:title=""/>
                            </v:shape>
                          </w:pict>
                        </w:r>
                      </w:p>
                      <w:p w:rsidR="00000000" w:rsidRDefault="00457650">
                        <w:pPr>
                          <w:rPr>
                            <w:rFonts w:hint="eastAsia"/>
                          </w:rPr>
                        </w:pPr>
                      </w:p>
                    </w:txbxContent>
                  </v:textbox>
                </v:shape>
              </w:pict>
            </w:r>
            <w:r>
              <w:rPr>
                <w:rFonts w:eastAsia="KaiTi_GB2312" w:hint="eastAsia"/>
                <w:sz w:val="18"/>
              </w:rPr>
              <w:t>累积性循环</w:t>
            </w:r>
            <w:r>
              <w:rPr>
                <w:rFonts w:eastAsia="KaiTi_GB2312"/>
                <w:sz w:val="18"/>
              </w:rPr>
              <w:tab/>
            </w:r>
          </w:p>
        </w:tc>
        <w:tc>
          <w:tcPr>
            <w:tcW w:w="1080" w:type="dxa"/>
            <w:shd w:val="clear" w:color="auto" w:fill="B3B3B3"/>
          </w:tcPr>
          <w:p w:rsidR="00000000" w:rsidRDefault="00457650">
            <w:pPr>
              <w:pStyle w:val="Date"/>
              <w:widowControl/>
              <w:spacing w:before="120" w:after="120" w:line="360" w:lineRule="exact"/>
              <w:jc w:val="center"/>
              <w:rPr>
                <w:rFonts w:eastAsia="KaiTi_GB2312" w:hint="eastAsia"/>
                <w:sz w:val="18"/>
              </w:rPr>
            </w:pPr>
            <w:r>
              <w:rPr>
                <w:rFonts w:eastAsia="KaiTi_GB2312" w:hint="eastAsia"/>
                <w:sz w:val="18"/>
              </w:rPr>
              <w:t>保护</w:t>
            </w:r>
          </w:p>
        </w:tc>
        <w:tc>
          <w:tcPr>
            <w:tcW w:w="1080" w:type="dxa"/>
            <w:shd w:val="clear" w:color="auto" w:fill="D9D9D9"/>
          </w:tcPr>
          <w:p w:rsidR="00000000" w:rsidRDefault="00457650">
            <w:pPr>
              <w:widowControl/>
              <w:spacing w:before="120" w:after="120" w:line="360" w:lineRule="exact"/>
              <w:jc w:val="center"/>
              <w:rPr>
                <w:rFonts w:eastAsia="KaiTi_GB2312" w:hint="eastAsia"/>
                <w:sz w:val="18"/>
              </w:rPr>
            </w:pPr>
            <w:r>
              <w:rPr>
                <w:rFonts w:eastAsia="KaiTi_GB2312" w:hint="eastAsia"/>
                <w:sz w:val="18"/>
              </w:rPr>
              <w:t>能力</w:t>
            </w:r>
          </w:p>
        </w:tc>
        <w:tc>
          <w:tcPr>
            <w:tcW w:w="1080" w:type="dxa"/>
          </w:tcPr>
          <w:p w:rsidR="00000000" w:rsidRDefault="00457650">
            <w:pPr>
              <w:widowControl/>
              <w:spacing w:before="120" w:after="120" w:line="360" w:lineRule="exact"/>
              <w:jc w:val="center"/>
              <w:rPr>
                <w:rFonts w:eastAsia="KaiTi_GB2312" w:hint="eastAsia"/>
                <w:sz w:val="18"/>
              </w:rPr>
            </w:pPr>
            <w:r>
              <w:rPr>
                <w:rFonts w:eastAsia="KaiTi_GB2312" w:hint="eastAsia"/>
                <w:sz w:val="18"/>
              </w:rPr>
              <w:t>机会</w:t>
            </w:r>
          </w:p>
        </w:tc>
        <w:tc>
          <w:tcPr>
            <w:tcW w:w="1080" w:type="dxa"/>
            <w:shd w:val="clear" w:color="auto" w:fill="E6E6E6"/>
          </w:tcPr>
          <w:p w:rsidR="00000000" w:rsidRDefault="00457650">
            <w:pPr>
              <w:widowControl/>
              <w:spacing w:before="120" w:after="120" w:line="360" w:lineRule="exact"/>
              <w:jc w:val="center"/>
              <w:rPr>
                <w:rFonts w:eastAsia="KaiTi_GB2312" w:hint="eastAsia"/>
                <w:sz w:val="18"/>
              </w:rPr>
            </w:pPr>
            <w:r>
              <w:rPr>
                <w:rFonts w:eastAsia="KaiTi_GB2312"/>
                <w:sz w:val="18"/>
              </w:rPr>
              <w:t>资产</w:t>
            </w:r>
          </w:p>
        </w:tc>
        <w:tc>
          <w:tcPr>
            <w:tcW w:w="1080" w:type="dxa"/>
            <w:shd w:val="clear" w:color="auto" w:fill="B3B3B3"/>
          </w:tcPr>
          <w:p w:rsidR="00000000" w:rsidRDefault="00457650">
            <w:pPr>
              <w:widowControl/>
              <w:spacing w:before="120" w:after="120" w:line="360" w:lineRule="exact"/>
              <w:jc w:val="center"/>
              <w:rPr>
                <w:rFonts w:eastAsia="KaiTi_GB2312" w:hint="eastAsia"/>
                <w:sz w:val="18"/>
              </w:rPr>
            </w:pPr>
            <w:r>
              <w:rPr>
                <w:rFonts w:eastAsia="KaiTi_GB2312" w:hint="eastAsia"/>
                <w:sz w:val="18"/>
              </w:rPr>
              <w:t>保护</w:t>
            </w:r>
          </w:p>
        </w:tc>
      </w:tr>
      <w:tr w:rsidR="00000000">
        <w:tblPrEx>
          <w:tblCellMar>
            <w:top w:w="0" w:type="dxa"/>
            <w:bottom w:w="0" w:type="dxa"/>
          </w:tblCellMar>
        </w:tblPrEx>
        <w:tc>
          <w:tcPr>
            <w:tcW w:w="1800" w:type="dxa"/>
          </w:tcPr>
          <w:p w:rsidR="00000000" w:rsidRDefault="00457650">
            <w:pPr>
              <w:widowControl/>
              <w:spacing w:after="240" w:line="360" w:lineRule="exact"/>
              <w:rPr>
                <w:rFonts w:hint="eastAsia"/>
              </w:rPr>
            </w:pPr>
            <w:r>
              <w:rPr>
                <w:rFonts w:hint="eastAsia"/>
                <w:sz w:val="18"/>
              </w:rPr>
              <w:t>出生前</w:t>
            </w:r>
          </w:p>
        </w:tc>
        <w:tc>
          <w:tcPr>
            <w:tcW w:w="1080" w:type="dxa"/>
          </w:tcPr>
          <w:p w:rsidR="00000000" w:rsidRDefault="00457650">
            <w:pPr>
              <w:widowControl/>
              <w:spacing w:line="240" w:lineRule="exact"/>
              <w:jc w:val="center"/>
              <w:rPr>
                <w:rFonts w:hint="eastAsia"/>
                <w:sz w:val="18"/>
              </w:rPr>
            </w:pPr>
          </w:p>
          <w:p w:rsidR="00000000" w:rsidRDefault="00457650">
            <w:pPr>
              <w:pStyle w:val="Header"/>
              <w:widowControl/>
              <w:pBdr>
                <w:bottom w:val="none" w:sz="0" w:space="0" w:color="auto"/>
              </w:pBdr>
              <w:tabs>
                <w:tab w:val="clear" w:pos="4320"/>
                <w:tab w:val="clear" w:pos="8640"/>
              </w:tabs>
              <w:spacing w:line="240" w:lineRule="exact"/>
              <w:rPr>
                <w:rFonts w:hint="eastAsia"/>
              </w:rPr>
            </w:pPr>
            <w:r>
              <w:t>1</w:t>
            </w:r>
          </w:p>
          <w:p w:rsidR="00000000" w:rsidRDefault="00457650">
            <w:pPr>
              <w:widowControl/>
              <w:spacing w:line="240" w:lineRule="exact"/>
              <w:jc w:val="center"/>
              <w:rPr>
                <w:rFonts w:hint="eastAsia"/>
                <w:sz w:val="18"/>
              </w:rPr>
            </w:pPr>
            <w:r>
              <w:rPr>
                <w:rFonts w:hint="eastAsia"/>
                <w:sz w:val="18"/>
              </w:rPr>
              <w:t>安全分娩</w:t>
            </w:r>
          </w:p>
          <w:p w:rsidR="00000000" w:rsidRDefault="00457650">
            <w:pPr>
              <w:widowControl/>
              <w:spacing w:line="240" w:lineRule="exact"/>
              <w:jc w:val="center"/>
              <w:rPr>
                <w:rFonts w:hint="eastAsia"/>
              </w:rPr>
            </w:pPr>
          </w:p>
        </w:tc>
        <w:tc>
          <w:tcPr>
            <w:tcW w:w="1080" w:type="dxa"/>
          </w:tcPr>
          <w:p w:rsidR="00000000" w:rsidRDefault="00457650">
            <w:pPr>
              <w:widowControl/>
              <w:spacing w:line="240" w:lineRule="exact"/>
              <w:jc w:val="center"/>
              <w:rPr>
                <w:rFonts w:hint="eastAsia"/>
              </w:rPr>
            </w:pPr>
          </w:p>
        </w:tc>
        <w:tc>
          <w:tcPr>
            <w:tcW w:w="1080" w:type="dxa"/>
          </w:tcPr>
          <w:p w:rsidR="00000000" w:rsidRDefault="00457650">
            <w:pPr>
              <w:widowControl/>
              <w:spacing w:line="240" w:lineRule="exact"/>
              <w:jc w:val="center"/>
              <w:rPr>
                <w:rFonts w:hint="eastAsia"/>
              </w:rPr>
            </w:pPr>
          </w:p>
        </w:tc>
        <w:tc>
          <w:tcPr>
            <w:tcW w:w="1080" w:type="dxa"/>
          </w:tcPr>
          <w:p w:rsidR="00000000" w:rsidRDefault="00457650">
            <w:pPr>
              <w:widowControl/>
              <w:spacing w:line="240" w:lineRule="exact"/>
              <w:jc w:val="center"/>
              <w:rPr>
                <w:rFonts w:hint="eastAsia"/>
              </w:rPr>
            </w:pPr>
          </w:p>
        </w:tc>
        <w:tc>
          <w:tcPr>
            <w:tcW w:w="1080" w:type="dxa"/>
          </w:tcPr>
          <w:p w:rsidR="00000000" w:rsidRDefault="00457650">
            <w:pPr>
              <w:widowControl/>
              <w:spacing w:line="240" w:lineRule="exact"/>
              <w:jc w:val="center"/>
              <w:rPr>
                <w:rFonts w:hint="eastAsia"/>
              </w:rPr>
            </w:pPr>
          </w:p>
        </w:tc>
      </w:tr>
      <w:tr w:rsidR="00000000">
        <w:tblPrEx>
          <w:tblCellMar>
            <w:top w:w="0" w:type="dxa"/>
            <w:bottom w:w="0" w:type="dxa"/>
          </w:tblCellMar>
        </w:tblPrEx>
        <w:tc>
          <w:tcPr>
            <w:tcW w:w="1800" w:type="dxa"/>
          </w:tcPr>
          <w:p w:rsidR="00000000" w:rsidRDefault="00457650">
            <w:pPr>
              <w:widowControl/>
              <w:spacing w:after="240" w:line="360" w:lineRule="exact"/>
              <w:rPr>
                <w:rFonts w:hint="eastAsia"/>
                <w:sz w:val="18"/>
              </w:rPr>
            </w:pPr>
            <w:r>
              <w:rPr>
                <w:rFonts w:hint="eastAsia"/>
                <w:sz w:val="18"/>
              </w:rPr>
              <w:t>童年</w:t>
            </w:r>
          </w:p>
        </w:tc>
        <w:tc>
          <w:tcPr>
            <w:tcW w:w="1080" w:type="dxa"/>
          </w:tcPr>
          <w:p w:rsidR="00000000" w:rsidRDefault="00457650">
            <w:pPr>
              <w:widowControl/>
              <w:spacing w:line="240" w:lineRule="exact"/>
              <w:jc w:val="center"/>
              <w:rPr>
                <w:rFonts w:hint="eastAsia"/>
                <w:sz w:val="18"/>
              </w:rPr>
            </w:pPr>
            <w:r>
              <w:rPr>
                <w:sz w:val="18"/>
              </w:rPr>
              <w:t>2</w:t>
            </w:r>
          </w:p>
          <w:p w:rsidR="00000000" w:rsidRDefault="00457650">
            <w:pPr>
              <w:widowControl/>
              <w:spacing w:line="240" w:lineRule="exact"/>
              <w:jc w:val="center"/>
              <w:rPr>
                <w:rFonts w:hint="eastAsia"/>
                <w:sz w:val="18"/>
              </w:rPr>
            </w:pPr>
            <w:r>
              <w:rPr>
                <w:rFonts w:hint="eastAsia"/>
                <w:sz w:val="18"/>
              </w:rPr>
              <w:t>保护</w:t>
            </w:r>
          </w:p>
          <w:p w:rsidR="00000000" w:rsidRDefault="00457650">
            <w:pPr>
              <w:widowControl/>
              <w:spacing w:line="240" w:lineRule="exact"/>
              <w:jc w:val="center"/>
              <w:rPr>
                <w:rFonts w:hint="eastAsia"/>
                <w:sz w:val="18"/>
              </w:rPr>
            </w:pPr>
            <w:r>
              <w:rPr>
                <w:rFonts w:hint="eastAsia"/>
                <w:sz w:val="18"/>
              </w:rPr>
              <w:t>（儿童）</w:t>
            </w:r>
          </w:p>
          <w:p w:rsidR="00000000" w:rsidRDefault="00457650">
            <w:pPr>
              <w:widowControl/>
              <w:spacing w:line="240" w:lineRule="exact"/>
              <w:jc w:val="center"/>
              <w:rPr>
                <w:sz w:val="18"/>
              </w:rPr>
            </w:pPr>
          </w:p>
        </w:tc>
        <w:tc>
          <w:tcPr>
            <w:tcW w:w="1080" w:type="dxa"/>
          </w:tcPr>
          <w:p w:rsidR="00000000" w:rsidRDefault="00457650">
            <w:pPr>
              <w:widowControl/>
              <w:spacing w:line="240" w:lineRule="exact"/>
              <w:jc w:val="center"/>
              <w:rPr>
                <w:rFonts w:hint="eastAsia"/>
                <w:sz w:val="18"/>
              </w:rPr>
            </w:pPr>
            <w:r>
              <w:rPr>
                <w:sz w:val="18"/>
              </w:rPr>
              <w:t>6</w:t>
            </w:r>
          </w:p>
          <w:p w:rsidR="00000000" w:rsidRDefault="00457650">
            <w:pPr>
              <w:widowControl/>
              <w:spacing w:line="240" w:lineRule="exact"/>
              <w:jc w:val="center"/>
              <w:rPr>
                <w:rFonts w:hint="eastAsia"/>
                <w:sz w:val="18"/>
              </w:rPr>
            </w:pPr>
            <w:r>
              <w:rPr>
                <w:rFonts w:hint="eastAsia"/>
                <w:sz w:val="18"/>
              </w:rPr>
              <w:t>能力</w:t>
            </w:r>
          </w:p>
          <w:p w:rsidR="00000000" w:rsidRDefault="00457650">
            <w:pPr>
              <w:widowControl/>
              <w:spacing w:line="240" w:lineRule="exact"/>
              <w:jc w:val="center"/>
              <w:rPr>
                <w:rFonts w:hint="eastAsia"/>
              </w:rPr>
            </w:pPr>
            <w:r>
              <w:rPr>
                <w:rFonts w:hint="eastAsia"/>
                <w:sz w:val="18"/>
              </w:rPr>
              <w:t>（儿童）</w:t>
            </w:r>
          </w:p>
        </w:tc>
        <w:tc>
          <w:tcPr>
            <w:tcW w:w="1080" w:type="dxa"/>
          </w:tcPr>
          <w:p w:rsidR="00000000" w:rsidRDefault="00457650">
            <w:pPr>
              <w:widowControl/>
              <w:spacing w:line="240" w:lineRule="exact"/>
              <w:jc w:val="center"/>
              <w:rPr>
                <w:rFonts w:hint="eastAsia"/>
              </w:rPr>
            </w:pPr>
          </w:p>
        </w:tc>
        <w:tc>
          <w:tcPr>
            <w:tcW w:w="1080" w:type="dxa"/>
          </w:tcPr>
          <w:p w:rsidR="00000000" w:rsidRDefault="00457650">
            <w:pPr>
              <w:widowControl/>
              <w:spacing w:line="240" w:lineRule="exact"/>
              <w:jc w:val="center"/>
              <w:rPr>
                <w:rFonts w:hint="eastAsia"/>
              </w:rPr>
            </w:pPr>
          </w:p>
        </w:tc>
        <w:tc>
          <w:tcPr>
            <w:tcW w:w="1080" w:type="dxa"/>
          </w:tcPr>
          <w:p w:rsidR="00000000" w:rsidRDefault="00457650">
            <w:pPr>
              <w:widowControl/>
              <w:spacing w:line="240" w:lineRule="exact"/>
              <w:jc w:val="center"/>
              <w:rPr>
                <w:rFonts w:hint="eastAsia"/>
              </w:rPr>
            </w:pPr>
          </w:p>
        </w:tc>
      </w:tr>
      <w:tr w:rsidR="00000000">
        <w:tblPrEx>
          <w:tblCellMar>
            <w:top w:w="0" w:type="dxa"/>
            <w:bottom w:w="0" w:type="dxa"/>
          </w:tblCellMar>
        </w:tblPrEx>
        <w:tc>
          <w:tcPr>
            <w:tcW w:w="1800" w:type="dxa"/>
          </w:tcPr>
          <w:p w:rsidR="00000000" w:rsidRDefault="00457650">
            <w:pPr>
              <w:widowControl/>
              <w:spacing w:after="240" w:line="360" w:lineRule="exact"/>
              <w:rPr>
                <w:rFonts w:hint="eastAsia"/>
                <w:sz w:val="18"/>
              </w:rPr>
            </w:pPr>
            <w:r>
              <w:rPr>
                <w:rFonts w:hint="eastAsia"/>
                <w:sz w:val="18"/>
              </w:rPr>
              <w:t>青少年和青年</w:t>
            </w:r>
          </w:p>
        </w:tc>
        <w:tc>
          <w:tcPr>
            <w:tcW w:w="1080" w:type="dxa"/>
          </w:tcPr>
          <w:p w:rsidR="00000000" w:rsidRDefault="00457650">
            <w:pPr>
              <w:widowControl/>
              <w:spacing w:line="240" w:lineRule="exact"/>
              <w:jc w:val="center"/>
              <w:rPr>
                <w:rFonts w:hint="eastAsia"/>
                <w:sz w:val="18"/>
              </w:rPr>
            </w:pPr>
            <w:r>
              <w:rPr>
                <w:sz w:val="18"/>
              </w:rPr>
              <w:t>3</w:t>
            </w:r>
          </w:p>
          <w:p w:rsidR="00000000" w:rsidRDefault="00457650">
            <w:pPr>
              <w:widowControl/>
              <w:spacing w:line="240" w:lineRule="exact"/>
              <w:jc w:val="center"/>
              <w:rPr>
                <w:rFonts w:hint="eastAsia"/>
                <w:sz w:val="18"/>
              </w:rPr>
            </w:pPr>
            <w:r>
              <w:rPr>
                <w:rFonts w:hint="eastAsia"/>
                <w:sz w:val="18"/>
              </w:rPr>
              <w:t>保护</w:t>
            </w:r>
          </w:p>
          <w:p w:rsidR="00000000" w:rsidRDefault="00457650">
            <w:pPr>
              <w:widowControl/>
              <w:spacing w:line="240" w:lineRule="exact"/>
              <w:jc w:val="center"/>
              <w:rPr>
                <w:rFonts w:hint="eastAsia"/>
                <w:sz w:val="18"/>
              </w:rPr>
            </w:pPr>
            <w:r>
              <w:rPr>
                <w:rFonts w:hint="eastAsia"/>
                <w:sz w:val="18"/>
              </w:rPr>
              <w:t>（青年）</w:t>
            </w:r>
          </w:p>
          <w:p w:rsidR="00000000" w:rsidRDefault="00457650">
            <w:pPr>
              <w:widowControl/>
              <w:spacing w:line="240" w:lineRule="exact"/>
              <w:jc w:val="center"/>
              <w:rPr>
                <w:sz w:val="18"/>
              </w:rPr>
            </w:pPr>
          </w:p>
        </w:tc>
        <w:tc>
          <w:tcPr>
            <w:tcW w:w="1080" w:type="dxa"/>
          </w:tcPr>
          <w:p w:rsidR="00000000" w:rsidRDefault="00457650">
            <w:pPr>
              <w:widowControl/>
              <w:spacing w:line="240" w:lineRule="exact"/>
              <w:jc w:val="center"/>
              <w:rPr>
                <w:rFonts w:hint="eastAsia"/>
                <w:sz w:val="18"/>
              </w:rPr>
            </w:pPr>
            <w:r>
              <w:rPr>
                <w:sz w:val="18"/>
              </w:rPr>
              <w:t>7</w:t>
            </w:r>
          </w:p>
          <w:p w:rsidR="00000000" w:rsidRDefault="00457650">
            <w:pPr>
              <w:widowControl/>
              <w:spacing w:line="240" w:lineRule="exact"/>
              <w:jc w:val="center"/>
              <w:rPr>
                <w:rFonts w:hint="eastAsia"/>
                <w:sz w:val="18"/>
              </w:rPr>
            </w:pPr>
            <w:r>
              <w:rPr>
                <w:rFonts w:hint="eastAsia"/>
                <w:sz w:val="18"/>
              </w:rPr>
              <w:t>能力</w:t>
            </w:r>
          </w:p>
          <w:p w:rsidR="00000000" w:rsidRDefault="00457650">
            <w:pPr>
              <w:widowControl/>
              <w:spacing w:line="240" w:lineRule="exact"/>
              <w:jc w:val="center"/>
              <w:rPr>
                <w:rFonts w:hint="eastAsia"/>
              </w:rPr>
            </w:pPr>
            <w:r>
              <w:rPr>
                <w:rFonts w:hint="eastAsia"/>
                <w:sz w:val="18"/>
              </w:rPr>
              <w:t>（青年）</w:t>
            </w:r>
          </w:p>
        </w:tc>
        <w:tc>
          <w:tcPr>
            <w:tcW w:w="1080" w:type="dxa"/>
          </w:tcPr>
          <w:p w:rsidR="00000000" w:rsidRDefault="00457650">
            <w:pPr>
              <w:widowControl/>
              <w:spacing w:line="240" w:lineRule="exact"/>
              <w:jc w:val="center"/>
              <w:rPr>
                <w:rFonts w:hint="eastAsia"/>
                <w:sz w:val="18"/>
              </w:rPr>
            </w:pPr>
            <w:r>
              <w:rPr>
                <w:sz w:val="18"/>
              </w:rPr>
              <w:t>10</w:t>
            </w:r>
          </w:p>
          <w:p w:rsidR="00000000" w:rsidRDefault="00457650">
            <w:pPr>
              <w:widowControl/>
              <w:spacing w:line="240" w:lineRule="exact"/>
              <w:jc w:val="center"/>
              <w:rPr>
                <w:rFonts w:hint="eastAsia"/>
                <w:sz w:val="18"/>
              </w:rPr>
            </w:pPr>
            <w:r>
              <w:rPr>
                <w:rFonts w:hint="eastAsia"/>
                <w:sz w:val="18"/>
              </w:rPr>
              <w:t>机会</w:t>
            </w:r>
          </w:p>
          <w:p w:rsidR="00000000" w:rsidRDefault="00457650">
            <w:pPr>
              <w:widowControl/>
              <w:spacing w:line="240" w:lineRule="exact"/>
              <w:jc w:val="center"/>
              <w:rPr>
                <w:rFonts w:hint="eastAsia"/>
              </w:rPr>
            </w:pPr>
            <w:r>
              <w:rPr>
                <w:rFonts w:hint="eastAsia"/>
                <w:sz w:val="18"/>
              </w:rPr>
              <w:t>（青年）</w:t>
            </w:r>
          </w:p>
        </w:tc>
        <w:tc>
          <w:tcPr>
            <w:tcW w:w="1080" w:type="dxa"/>
          </w:tcPr>
          <w:p w:rsidR="00000000" w:rsidRDefault="00457650">
            <w:pPr>
              <w:widowControl/>
              <w:spacing w:line="240" w:lineRule="exact"/>
              <w:jc w:val="center"/>
              <w:rPr>
                <w:rFonts w:hint="eastAsia"/>
              </w:rPr>
            </w:pPr>
          </w:p>
        </w:tc>
        <w:tc>
          <w:tcPr>
            <w:tcW w:w="1080" w:type="dxa"/>
          </w:tcPr>
          <w:p w:rsidR="00000000" w:rsidRDefault="00457650">
            <w:pPr>
              <w:widowControl/>
              <w:spacing w:line="240" w:lineRule="exact"/>
              <w:jc w:val="center"/>
              <w:rPr>
                <w:rFonts w:hint="eastAsia"/>
              </w:rPr>
            </w:pPr>
          </w:p>
        </w:tc>
      </w:tr>
      <w:tr w:rsidR="00000000">
        <w:tblPrEx>
          <w:tblCellMar>
            <w:top w:w="0" w:type="dxa"/>
            <w:bottom w:w="0" w:type="dxa"/>
          </w:tblCellMar>
        </w:tblPrEx>
        <w:tc>
          <w:tcPr>
            <w:tcW w:w="1800" w:type="dxa"/>
          </w:tcPr>
          <w:p w:rsidR="00000000" w:rsidRDefault="00457650">
            <w:pPr>
              <w:widowControl/>
              <w:spacing w:after="240" w:line="360" w:lineRule="exact"/>
              <w:rPr>
                <w:rFonts w:hint="eastAsia"/>
                <w:sz w:val="18"/>
              </w:rPr>
            </w:pPr>
            <w:r>
              <w:rPr>
                <w:rFonts w:hint="eastAsia"/>
                <w:sz w:val="18"/>
              </w:rPr>
              <w:t>成年人</w:t>
            </w:r>
          </w:p>
        </w:tc>
        <w:tc>
          <w:tcPr>
            <w:tcW w:w="1080" w:type="dxa"/>
          </w:tcPr>
          <w:p w:rsidR="00000000" w:rsidRDefault="00457650">
            <w:pPr>
              <w:widowControl/>
              <w:spacing w:line="240" w:lineRule="exact"/>
              <w:jc w:val="center"/>
              <w:rPr>
                <w:rFonts w:hint="eastAsia"/>
                <w:sz w:val="18"/>
              </w:rPr>
            </w:pPr>
            <w:r>
              <w:rPr>
                <w:sz w:val="18"/>
              </w:rPr>
              <w:t>4</w:t>
            </w:r>
          </w:p>
          <w:p w:rsidR="00000000" w:rsidRDefault="00457650">
            <w:pPr>
              <w:widowControl/>
              <w:spacing w:line="240" w:lineRule="exact"/>
              <w:jc w:val="center"/>
              <w:rPr>
                <w:rFonts w:hint="eastAsia"/>
                <w:sz w:val="18"/>
              </w:rPr>
            </w:pPr>
            <w:r>
              <w:rPr>
                <w:rFonts w:hint="eastAsia"/>
                <w:sz w:val="18"/>
              </w:rPr>
              <w:t>保护</w:t>
            </w:r>
          </w:p>
          <w:p w:rsidR="00000000" w:rsidRDefault="00457650">
            <w:pPr>
              <w:widowControl/>
              <w:spacing w:line="240" w:lineRule="exact"/>
              <w:jc w:val="center"/>
              <w:rPr>
                <w:rFonts w:hint="eastAsia"/>
                <w:sz w:val="18"/>
              </w:rPr>
            </w:pPr>
            <w:r>
              <w:rPr>
                <w:rFonts w:hint="eastAsia"/>
                <w:sz w:val="18"/>
              </w:rPr>
              <w:t>（成年人）</w:t>
            </w:r>
          </w:p>
          <w:p w:rsidR="00000000" w:rsidRDefault="00457650">
            <w:pPr>
              <w:widowControl/>
              <w:spacing w:line="240" w:lineRule="exact"/>
              <w:jc w:val="center"/>
              <w:rPr>
                <w:sz w:val="18"/>
              </w:rPr>
            </w:pPr>
          </w:p>
        </w:tc>
        <w:tc>
          <w:tcPr>
            <w:tcW w:w="1080" w:type="dxa"/>
          </w:tcPr>
          <w:p w:rsidR="00000000" w:rsidRDefault="00457650">
            <w:pPr>
              <w:widowControl/>
              <w:spacing w:line="240" w:lineRule="exact"/>
              <w:jc w:val="center"/>
              <w:rPr>
                <w:rFonts w:hint="eastAsia"/>
                <w:sz w:val="18"/>
              </w:rPr>
            </w:pPr>
            <w:r>
              <w:rPr>
                <w:sz w:val="18"/>
              </w:rPr>
              <w:t>8</w:t>
            </w:r>
          </w:p>
          <w:p w:rsidR="00000000" w:rsidRDefault="00457650">
            <w:pPr>
              <w:widowControl/>
              <w:spacing w:line="240" w:lineRule="exact"/>
              <w:jc w:val="center"/>
              <w:rPr>
                <w:rFonts w:hint="eastAsia"/>
                <w:sz w:val="18"/>
              </w:rPr>
            </w:pPr>
            <w:r>
              <w:rPr>
                <w:rFonts w:hint="eastAsia"/>
                <w:sz w:val="18"/>
              </w:rPr>
              <w:t>能力</w:t>
            </w:r>
          </w:p>
          <w:p w:rsidR="00000000" w:rsidRDefault="00457650">
            <w:pPr>
              <w:widowControl/>
              <w:spacing w:line="240" w:lineRule="exact"/>
              <w:jc w:val="center"/>
              <w:rPr>
                <w:rFonts w:hint="eastAsia"/>
              </w:rPr>
            </w:pPr>
            <w:r>
              <w:rPr>
                <w:rFonts w:hint="eastAsia"/>
                <w:sz w:val="18"/>
              </w:rPr>
              <w:t>（成年人）</w:t>
            </w:r>
          </w:p>
        </w:tc>
        <w:tc>
          <w:tcPr>
            <w:tcW w:w="1080" w:type="dxa"/>
          </w:tcPr>
          <w:p w:rsidR="00000000" w:rsidRDefault="00457650">
            <w:pPr>
              <w:widowControl/>
              <w:spacing w:line="240" w:lineRule="exact"/>
              <w:jc w:val="center"/>
              <w:rPr>
                <w:rFonts w:hint="eastAsia"/>
                <w:sz w:val="18"/>
              </w:rPr>
            </w:pPr>
            <w:r>
              <w:rPr>
                <w:sz w:val="18"/>
              </w:rPr>
              <w:t>11</w:t>
            </w:r>
          </w:p>
          <w:p w:rsidR="00000000" w:rsidRDefault="00457650">
            <w:pPr>
              <w:widowControl/>
              <w:spacing w:line="240" w:lineRule="exact"/>
              <w:jc w:val="center"/>
              <w:rPr>
                <w:rFonts w:hint="eastAsia"/>
                <w:sz w:val="18"/>
              </w:rPr>
            </w:pPr>
            <w:r>
              <w:rPr>
                <w:rFonts w:hint="eastAsia"/>
                <w:sz w:val="18"/>
              </w:rPr>
              <w:t>机会</w:t>
            </w:r>
          </w:p>
          <w:p w:rsidR="00000000" w:rsidRDefault="00457650">
            <w:pPr>
              <w:widowControl/>
              <w:spacing w:line="240" w:lineRule="exact"/>
              <w:jc w:val="center"/>
              <w:rPr>
                <w:rFonts w:hint="eastAsia"/>
              </w:rPr>
            </w:pPr>
            <w:r>
              <w:rPr>
                <w:rFonts w:hint="eastAsia"/>
                <w:sz w:val="18"/>
              </w:rPr>
              <w:t>（成年人）</w:t>
            </w:r>
          </w:p>
        </w:tc>
        <w:tc>
          <w:tcPr>
            <w:tcW w:w="1080" w:type="dxa"/>
          </w:tcPr>
          <w:p w:rsidR="00000000" w:rsidRDefault="00457650">
            <w:pPr>
              <w:widowControl/>
              <w:spacing w:line="240" w:lineRule="exact"/>
              <w:jc w:val="center"/>
              <w:rPr>
                <w:rFonts w:hint="eastAsia"/>
                <w:sz w:val="18"/>
              </w:rPr>
            </w:pPr>
            <w:r>
              <w:rPr>
                <w:sz w:val="18"/>
              </w:rPr>
              <w:t>13</w:t>
            </w:r>
          </w:p>
          <w:p w:rsidR="00000000" w:rsidRDefault="00457650">
            <w:pPr>
              <w:widowControl/>
              <w:spacing w:line="240" w:lineRule="exact"/>
              <w:jc w:val="center"/>
              <w:rPr>
                <w:rFonts w:hint="eastAsia"/>
                <w:sz w:val="18"/>
              </w:rPr>
            </w:pPr>
            <w:r>
              <w:rPr>
                <w:sz w:val="18"/>
              </w:rPr>
              <w:t>资产</w:t>
            </w:r>
          </w:p>
          <w:p w:rsidR="00000000" w:rsidRDefault="00457650">
            <w:pPr>
              <w:widowControl/>
              <w:spacing w:line="240" w:lineRule="exact"/>
              <w:jc w:val="center"/>
              <w:rPr>
                <w:rFonts w:hint="eastAsia"/>
              </w:rPr>
            </w:pPr>
            <w:r>
              <w:rPr>
                <w:sz w:val="18"/>
              </w:rPr>
              <w:t>(</w:t>
            </w:r>
            <w:r>
              <w:rPr>
                <w:rFonts w:hint="eastAsia"/>
                <w:sz w:val="18"/>
              </w:rPr>
              <w:t>成年人</w:t>
            </w:r>
            <w:r>
              <w:rPr>
                <w:sz w:val="18"/>
              </w:rPr>
              <w:t>)</w:t>
            </w:r>
          </w:p>
        </w:tc>
        <w:tc>
          <w:tcPr>
            <w:tcW w:w="1080" w:type="dxa"/>
          </w:tcPr>
          <w:p w:rsidR="00000000" w:rsidRDefault="00457650">
            <w:pPr>
              <w:widowControl/>
              <w:spacing w:line="240" w:lineRule="exact"/>
              <w:jc w:val="center"/>
              <w:rPr>
                <w:rFonts w:hint="eastAsia"/>
              </w:rPr>
            </w:pPr>
          </w:p>
        </w:tc>
      </w:tr>
      <w:tr w:rsidR="00000000">
        <w:tblPrEx>
          <w:tblCellMar>
            <w:top w:w="0" w:type="dxa"/>
            <w:bottom w:w="0" w:type="dxa"/>
          </w:tblCellMar>
        </w:tblPrEx>
        <w:tc>
          <w:tcPr>
            <w:tcW w:w="1800" w:type="dxa"/>
          </w:tcPr>
          <w:p w:rsidR="00000000" w:rsidRDefault="00457650">
            <w:pPr>
              <w:widowControl/>
              <w:spacing w:after="240" w:line="360" w:lineRule="exact"/>
              <w:rPr>
                <w:rFonts w:hint="eastAsia"/>
                <w:sz w:val="18"/>
              </w:rPr>
            </w:pPr>
            <w:r>
              <w:rPr>
                <w:rFonts w:hint="eastAsia"/>
                <w:sz w:val="18"/>
              </w:rPr>
              <w:t>老年人</w:t>
            </w:r>
          </w:p>
        </w:tc>
        <w:tc>
          <w:tcPr>
            <w:tcW w:w="1080" w:type="dxa"/>
          </w:tcPr>
          <w:p w:rsidR="00000000" w:rsidRDefault="00457650">
            <w:pPr>
              <w:widowControl/>
              <w:spacing w:line="240" w:lineRule="exact"/>
              <w:jc w:val="center"/>
              <w:rPr>
                <w:rFonts w:hint="eastAsia"/>
                <w:sz w:val="18"/>
              </w:rPr>
            </w:pPr>
            <w:r>
              <w:rPr>
                <w:sz w:val="18"/>
              </w:rPr>
              <w:t>5</w:t>
            </w:r>
          </w:p>
          <w:p w:rsidR="00000000" w:rsidRDefault="00457650">
            <w:pPr>
              <w:widowControl/>
              <w:spacing w:line="240" w:lineRule="exact"/>
              <w:jc w:val="center"/>
              <w:rPr>
                <w:rFonts w:hint="eastAsia"/>
                <w:sz w:val="18"/>
              </w:rPr>
            </w:pPr>
            <w:r>
              <w:rPr>
                <w:rFonts w:hint="eastAsia"/>
                <w:sz w:val="18"/>
              </w:rPr>
              <w:t>保护</w:t>
            </w:r>
          </w:p>
          <w:p w:rsidR="00000000" w:rsidRDefault="00457650">
            <w:pPr>
              <w:widowControl/>
              <w:spacing w:line="240" w:lineRule="exact"/>
              <w:jc w:val="center"/>
              <w:rPr>
                <w:sz w:val="18"/>
              </w:rPr>
            </w:pPr>
            <w:r>
              <w:rPr>
                <w:rFonts w:hint="eastAsia"/>
                <w:sz w:val="18"/>
              </w:rPr>
              <w:t>（老年人）</w:t>
            </w:r>
          </w:p>
        </w:tc>
        <w:tc>
          <w:tcPr>
            <w:tcW w:w="1080" w:type="dxa"/>
          </w:tcPr>
          <w:p w:rsidR="00000000" w:rsidRDefault="00457650">
            <w:pPr>
              <w:widowControl/>
              <w:spacing w:line="240" w:lineRule="exact"/>
              <w:jc w:val="center"/>
              <w:rPr>
                <w:rFonts w:hint="eastAsia"/>
                <w:sz w:val="18"/>
              </w:rPr>
            </w:pPr>
            <w:r>
              <w:rPr>
                <w:sz w:val="18"/>
              </w:rPr>
              <w:t>9</w:t>
            </w:r>
          </w:p>
          <w:p w:rsidR="00000000" w:rsidRDefault="00457650">
            <w:pPr>
              <w:widowControl/>
              <w:spacing w:line="240" w:lineRule="exact"/>
              <w:jc w:val="center"/>
              <w:rPr>
                <w:rFonts w:hint="eastAsia"/>
                <w:sz w:val="18"/>
              </w:rPr>
            </w:pPr>
            <w:r>
              <w:rPr>
                <w:rFonts w:hint="eastAsia"/>
                <w:sz w:val="18"/>
              </w:rPr>
              <w:t>能力</w:t>
            </w:r>
          </w:p>
          <w:p w:rsidR="00000000" w:rsidRDefault="00457650">
            <w:pPr>
              <w:widowControl/>
              <w:spacing w:line="240" w:lineRule="exact"/>
              <w:jc w:val="center"/>
              <w:rPr>
                <w:rFonts w:hint="eastAsia"/>
              </w:rPr>
            </w:pPr>
            <w:r>
              <w:rPr>
                <w:rFonts w:hint="eastAsia"/>
                <w:sz w:val="18"/>
              </w:rPr>
              <w:t>（老年人）</w:t>
            </w:r>
          </w:p>
        </w:tc>
        <w:tc>
          <w:tcPr>
            <w:tcW w:w="1080" w:type="dxa"/>
          </w:tcPr>
          <w:p w:rsidR="00000000" w:rsidRDefault="00457650">
            <w:pPr>
              <w:widowControl/>
              <w:spacing w:line="240" w:lineRule="exact"/>
              <w:jc w:val="center"/>
              <w:rPr>
                <w:rFonts w:hint="eastAsia"/>
                <w:sz w:val="18"/>
              </w:rPr>
            </w:pPr>
            <w:r>
              <w:rPr>
                <w:sz w:val="18"/>
              </w:rPr>
              <w:t>12</w:t>
            </w:r>
          </w:p>
          <w:p w:rsidR="00000000" w:rsidRDefault="00457650">
            <w:pPr>
              <w:widowControl/>
              <w:spacing w:line="240" w:lineRule="exact"/>
              <w:jc w:val="center"/>
              <w:rPr>
                <w:rFonts w:hint="eastAsia"/>
                <w:sz w:val="18"/>
              </w:rPr>
            </w:pPr>
            <w:r>
              <w:rPr>
                <w:rFonts w:hint="eastAsia"/>
                <w:sz w:val="18"/>
              </w:rPr>
              <w:t>机会</w:t>
            </w:r>
          </w:p>
          <w:p w:rsidR="00000000" w:rsidRDefault="00457650">
            <w:pPr>
              <w:widowControl/>
              <w:spacing w:line="240" w:lineRule="exact"/>
              <w:jc w:val="center"/>
              <w:rPr>
                <w:rFonts w:hint="eastAsia"/>
              </w:rPr>
            </w:pPr>
            <w:r>
              <w:rPr>
                <w:rFonts w:hint="eastAsia"/>
                <w:sz w:val="18"/>
              </w:rPr>
              <w:t>（老年人）</w:t>
            </w:r>
          </w:p>
        </w:tc>
        <w:tc>
          <w:tcPr>
            <w:tcW w:w="1080" w:type="dxa"/>
          </w:tcPr>
          <w:p w:rsidR="00000000" w:rsidRDefault="00457650">
            <w:pPr>
              <w:widowControl/>
              <w:spacing w:line="240" w:lineRule="exact"/>
              <w:jc w:val="center"/>
              <w:rPr>
                <w:rFonts w:hint="eastAsia"/>
                <w:sz w:val="18"/>
              </w:rPr>
            </w:pPr>
            <w:r>
              <w:rPr>
                <w:sz w:val="18"/>
              </w:rPr>
              <w:t>14</w:t>
            </w:r>
          </w:p>
          <w:p w:rsidR="00000000" w:rsidRDefault="00457650">
            <w:pPr>
              <w:widowControl/>
              <w:spacing w:line="240" w:lineRule="exact"/>
              <w:jc w:val="center"/>
              <w:rPr>
                <w:rFonts w:hint="eastAsia"/>
                <w:sz w:val="18"/>
              </w:rPr>
            </w:pPr>
            <w:r>
              <w:rPr>
                <w:sz w:val="18"/>
              </w:rPr>
              <w:t>资产</w:t>
            </w:r>
          </w:p>
          <w:p w:rsidR="00000000" w:rsidRDefault="00457650">
            <w:pPr>
              <w:widowControl/>
              <w:spacing w:line="240" w:lineRule="exact"/>
              <w:jc w:val="center"/>
              <w:rPr>
                <w:rFonts w:hint="eastAsia"/>
              </w:rPr>
            </w:pPr>
            <w:r>
              <w:rPr>
                <w:sz w:val="18"/>
              </w:rPr>
              <w:t>(</w:t>
            </w:r>
            <w:r>
              <w:rPr>
                <w:rFonts w:hint="eastAsia"/>
                <w:sz w:val="18"/>
              </w:rPr>
              <w:t>老年人</w:t>
            </w:r>
            <w:r>
              <w:rPr>
                <w:sz w:val="18"/>
              </w:rPr>
              <w:t>)</w:t>
            </w:r>
          </w:p>
        </w:tc>
        <w:tc>
          <w:tcPr>
            <w:tcW w:w="1080" w:type="dxa"/>
          </w:tcPr>
          <w:p w:rsidR="00000000" w:rsidRDefault="00457650">
            <w:pPr>
              <w:widowControl/>
              <w:spacing w:line="240" w:lineRule="exact"/>
              <w:jc w:val="center"/>
              <w:rPr>
                <w:rFonts w:hint="eastAsia"/>
                <w:sz w:val="18"/>
              </w:rPr>
            </w:pPr>
            <w:r>
              <w:rPr>
                <w:sz w:val="18"/>
              </w:rPr>
              <w:t>1</w:t>
            </w:r>
            <w:r>
              <w:rPr>
                <w:rFonts w:hint="eastAsia"/>
                <w:sz w:val="18"/>
              </w:rPr>
              <w:t>5</w:t>
            </w:r>
          </w:p>
          <w:p w:rsidR="00000000" w:rsidRDefault="00457650">
            <w:pPr>
              <w:widowControl/>
              <w:spacing w:line="240" w:lineRule="exact"/>
              <w:jc w:val="center"/>
              <w:rPr>
                <w:rFonts w:hint="eastAsia"/>
                <w:sz w:val="18"/>
              </w:rPr>
            </w:pPr>
            <w:r>
              <w:rPr>
                <w:rFonts w:hint="eastAsia"/>
                <w:sz w:val="18"/>
              </w:rPr>
              <w:t>保护</w:t>
            </w:r>
          </w:p>
          <w:p w:rsidR="00000000" w:rsidRDefault="00457650">
            <w:pPr>
              <w:widowControl/>
              <w:spacing w:line="240" w:lineRule="exact"/>
              <w:jc w:val="center"/>
              <w:rPr>
                <w:rFonts w:hint="eastAsia"/>
              </w:rPr>
            </w:pPr>
            <w:r>
              <w:rPr>
                <w:rFonts w:hint="eastAsia"/>
                <w:sz w:val="18"/>
              </w:rPr>
              <w:t>（老年人）</w:t>
            </w:r>
          </w:p>
        </w:tc>
      </w:tr>
    </w:tbl>
    <w:p w:rsidR="00000000" w:rsidRDefault="00457650">
      <w:pPr>
        <w:widowControl/>
        <w:tabs>
          <w:tab w:val="left" w:pos="630"/>
        </w:tabs>
        <w:spacing w:after="240" w:line="360" w:lineRule="exact"/>
        <w:rPr>
          <w:rFonts w:hint="eastAsia"/>
        </w:rPr>
      </w:pPr>
    </w:p>
    <w:p w:rsidR="00000000" w:rsidRDefault="00457650">
      <w:pPr>
        <w:pStyle w:val="a3"/>
        <w:widowControl/>
        <w:tabs>
          <w:tab w:val="left" w:pos="630"/>
        </w:tabs>
        <w:adjustRightInd w:val="0"/>
        <w:spacing w:after="240" w:line="360" w:lineRule="exact"/>
        <w:textAlignment w:val="baseline"/>
        <w:rPr>
          <w:rFonts w:hint="eastAsia"/>
          <w:kern w:val="0"/>
          <w:szCs w:val="20"/>
        </w:rPr>
      </w:pPr>
      <w:r>
        <w:rPr>
          <w:kern w:val="0"/>
          <w:szCs w:val="20"/>
        </w:rPr>
        <w:tab/>
      </w:r>
      <w:r>
        <w:rPr>
          <w:kern w:val="0"/>
          <w:szCs w:val="20"/>
        </w:rPr>
        <w:tab/>
      </w:r>
      <w:r>
        <w:rPr>
          <w:rFonts w:eastAsia="KaiTi_GB2312" w:hint="eastAsia"/>
        </w:rPr>
        <w:t>资</w:t>
      </w:r>
      <w:r>
        <w:rPr>
          <w:rFonts w:eastAsia="KaiTi_GB2312" w:hint="eastAsia"/>
        </w:rPr>
        <w:t>料来源</w:t>
      </w:r>
      <w:r>
        <w:rPr>
          <w:rFonts w:hint="eastAsia"/>
        </w:rPr>
        <w:t>：社会发展部。</w:t>
      </w:r>
    </w:p>
    <w:p w:rsidR="00000000" w:rsidRDefault="00457650">
      <w:pPr>
        <w:widowControl/>
        <w:tabs>
          <w:tab w:val="left" w:pos="630"/>
        </w:tabs>
        <w:spacing w:after="240" w:line="380" w:lineRule="exact"/>
        <w:rPr>
          <w:rFonts w:hint="eastAsia"/>
        </w:rPr>
      </w:pPr>
      <w:r>
        <w:rPr>
          <w:rFonts w:hint="eastAsia"/>
        </w:rPr>
        <w:t>1093.</w:t>
      </w:r>
      <w:r>
        <w:rPr>
          <w:rFonts w:hint="eastAsia"/>
        </w:rPr>
        <w:tab/>
      </w:r>
      <w:r>
        <w:rPr>
          <w:rFonts w:hint="eastAsia"/>
        </w:rPr>
        <w:t>机会方案包括以下内容：</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rPr>
          <w:rFonts w:hint="eastAsia"/>
        </w:rPr>
        <w:t>通过全面的措施促进人的发展。</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rPr>
          <w:rFonts w:hint="eastAsia"/>
        </w:rPr>
        <w:t>促进个人能力的发展。</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rPr>
          <w:rFonts w:hint="eastAsia"/>
        </w:rPr>
        <w:t>以赤贫家庭为目标。</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rPr>
          <w:rFonts w:hint="eastAsia"/>
        </w:rPr>
        <w:t>重点关注赤贫家庭，促进社会和团体网络的发展。</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rPr>
          <w:rFonts w:hint="eastAsia"/>
        </w:rPr>
        <w:t>操作透明，行动负责。</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rPr>
          <w:rFonts w:hint="eastAsia"/>
        </w:rPr>
        <w:t>突出性别，提高妇女的领导地位。</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rPr>
          <w:rFonts w:hint="eastAsia"/>
        </w:rPr>
        <w:t>强调共同承担责任。</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rPr>
          <w:rFonts w:hint="eastAsia"/>
        </w:rPr>
        <w:t>让整个社会参与消除赤贫的工作。</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rPr>
          <w:rFonts w:hint="eastAsia"/>
        </w:rPr>
        <w:t>建立在机构间和部门间协作的基础上。</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rPr>
          <w:rFonts w:hint="eastAsia"/>
        </w:rPr>
        <w:t>促进与其他社会方案的联系。</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rPr>
          <w:rFonts w:hint="eastAsia"/>
        </w:rPr>
        <w:t>对其运作情况不断进行追踪，并对其影响进行评估。</w:t>
      </w:r>
    </w:p>
    <w:p w:rsidR="00000000" w:rsidRDefault="00457650">
      <w:pPr>
        <w:widowControl/>
        <w:tabs>
          <w:tab w:val="left" w:pos="630"/>
        </w:tabs>
        <w:spacing w:after="240" w:line="380" w:lineRule="exact"/>
        <w:rPr>
          <w:rFonts w:hint="eastAsia"/>
        </w:rPr>
      </w:pPr>
      <w:r>
        <w:rPr>
          <w:rFonts w:hint="eastAsia"/>
        </w:rPr>
        <w:t>1094.</w:t>
      </w:r>
      <w:r>
        <w:rPr>
          <w:rFonts w:hint="eastAsia"/>
        </w:rPr>
        <w:tab/>
      </w:r>
      <w:r>
        <w:rPr>
          <w:rFonts w:hint="eastAsia"/>
        </w:rPr>
        <w:t>机会方案提供以下支助：</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rPr>
          <w:rFonts w:hint="eastAsia"/>
        </w:rPr>
        <w:t>为受益家庭正在学校上小学三年级和高中最后一个年级的男孩、女孩和青年提供教育奖学金。</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rPr>
          <w:rFonts w:hint="eastAsia"/>
        </w:rPr>
        <w:t>为学习用品的购买提供费用。</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rPr>
          <w:rFonts w:hint="eastAsia"/>
        </w:rPr>
        <w:t>为所有家庭成员免费提供各种必要的保健服务。</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rPr>
          <w:rFonts w:hint="eastAsia"/>
        </w:rPr>
        <w:t>举行关于保健、营养和卫生问题的教育会议，促进个人的卫生健康。</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rPr>
          <w:rFonts w:hint="eastAsia"/>
        </w:rPr>
        <w:t>为</w:t>
      </w:r>
      <w:r>
        <w:t>4</w:t>
      </w:r>
      <w:r>
        <w:rPr>
          <w:rFonts w:hint="eastAsia"/>
        </w:rPr>
        <w:t>个月至</w:t>
      </w:r>
      <w:r>
        <w:t>2</w:t>
      </w:r>
      <w:r>
        <w:rPr>
          <w:rFonts w:hint="eastAsia"/>
        </w:rPr>
        <w:t>岁的婴儿、</w:t>
      </w:r>
      <w:r>
        <w:t>2</w:t>
      </w:r>
      <w:r>
        <w:rPr>
          <w:rFonts w:hint="eastAsia"/>
        </w:rPr>
        <w:t>岁至</w:t>
      </w:r>
      <w:r>
        <w:t>5</w:t>
      </w:r>
      <w:r>
        <w:rPr>
          <w:rFonts w:hint="eastAsia"/>
        </w:rPr>
        <w:t>岁营养不良的男孩和女孩，以及怀孕或哺乳的妇女提供食物补给。</w:t>
      </w:r>
    </w:p>
    <w:p w:rsidR="00000000" w:rsidRDefault="00457650" w:rsidP="00457650">
      <w:pPr>
        <w:widowControl/>
        <w:numPr>
          <w:ilvl w:val="0"/>
          <w:numId w:val="1972"/>
        </w:numPr>
        <w:tabs>
          <w:tab w:val="clear" w:pos="900"/>
          <w:tab w:val="left" w:pos="1050"/>
        </w:tabs>
        <w:spacing w:after="240" w:line="380" w:lineRule="exact"/>
        <w:ind w:leftChars="300" w:left="31680"/>
        <w:rPr>
          <w:rFonts w:hint="eastAsia"/>
        </w:rPr>
      </w:pPr>
      <w:r>
        <w:rPr>
          <w:rFonts w:hint="eastAsia"/>
        </w:rPr>
        <w:t>为补助家庭收入和促进更好的饮食习惯提供资助。</w:t>
      </w:r>
    </w:p>
    <w:p w:rsidR="00000000" w:rsidRDefault="00457650">
      <w:pPr>
        <w:widowControl/>
        <w:tabs>
          <w:tab w:val="left" w:pos="630"/>
        </w:tabs>
        <w:spacing w:after="240" w:line="380" w:lineRule="exact"/>
        <w:rPr>
          <w:rFonts w:hint="eastAsia"/>
        </w:rPr>
      </w:pPr>
      <w:r>
        <w:t>1095</w:t>
      </w:r>
      <w:r>
        <w:rPr>
          <w:rFonts w:hint="eastAsia"/>
        </w:rPr>
        <w:t>.</w:t>
      </w:r>
      <w:r>
        <w:rPr>
          <w:rFonts w:hint="eastAsia"/>
        </w:rPr>
        <w:tab/>
      </w:r>
      <w:r>
        <w:rPr>
          <w:rFonts w:hint="eastAsia"/>
        </w:rPr>
        <w:t>机会方案有效地促进了减贫和脱贫运动，并采纳了对贫穷人口有利的新举措。另外，它还逐步增加了所覆盖的地点和家庭数量，并扩大了预算分配的范围。在</w:t>
      </w:r>
      <w:r>
        <w:t>2003</w:t>
      </w:r>
      <w:r>
        <w:rPr>
          <w:rFonts w:hint="eastAsia"/>
        </w:rPr>
        <w:t>年年底，该方案登记的家庭有</w:t>
      </w:r>
      <w:r>
        <w:t>4</w:t>
      </w:r>
      <w:r>
        <w:rPr>
          <w:rFonts w:hint="eastAsia"/>
        </w:rPr>
        <w:t xml:space="preserve"> </w:t>
      </w:r>
      <w:r>
        <w:t>240</w:t>
      </w:r>
      <w:r>
        <w:rPr>
          <w:rFonts w:hint="eastAsia"/>
        </w:rPr>
        <w:t xml:space="preserve"> </w:t>
      </w:r>
      <w:r>
        <w:t>000</w:t>
      </w:r>
      <w:r>
        <w:rPr>
          <w:rFonts w:hint="eastAsia"/>
        </w:rPr>
        <w:t>个，地点</w:t>
      </w:r>
      <w:r>
        <w:t>70</w:t>
      </w:r>
      <w:r>
        <w:rPr>
          <w:rFonts w:hint="eastAsia"/>
        </w:rPr>
        <w:t xml:space="preserve"> </w:t>
      </w:r>
      <w:r>
        <w:t>520</w:t>
      </w:r>
      <w:r>
        <w:rPr>
          <w:rFonts w:hint="eastAsia"/>
        </w:rPr>
        <w:t>个。家庭受益者总人</w:t>
      </w:r>
      <w:r>
        <w:rPr>
          <w:rFonts w:hint="eastAsia"/>
        </w:rPr>
        <w:t>数达到</w:t>
      </w:r>
      <w:r>
        <w:t>2</w:t>
      </w:r>
      <w:r>
        <w:rPr>
          <w:rFonts w:hint="eastAsia"/>
        </w:rPr>
        <w:t xml:space="preserve"> </w:t>
      </w:r>
      <w:r>
        <w:t>200</w:t>
      </w:r>
      <w:r>
        <w:rPr>
          <w:rFonts w:hint="eastAsia"/>
        </w:rPr>
        <w:t>万，而且方案使五分之四的家庭摆脱了营养方面的贫穷，并使三分之二的家庭增强创收能力。</w:t>
      </w:r>
    </w:p>
    <w:p w:rsidR="00000000" w:rsidRDefault="00457650">
      <w:pPr>
        <w:widowControl/>
        <w:tabs>
          <w:tab w:val="left" w:pos="630"/>
        </w:tabs>
        <w:spacing w:after="180" w:line="360" w:lineRule="exact"/>
        <w:rPr>
          <w:rFonts w:hint="eastAsia"/>
        </w:rPr>
      </w:pPr>
      <w:r>
        <w:t>1096</w:t>
      </w:r>
      <w:r>
        <w:rPr>
          <w:rFonts w:hint="eastAsia"/>
        </w:rPr>
        <w:t>.</w:t>
      </w:r>
      <w:r>
        <w:rPr>
          <w:rFonts w:hint="eastAsia"/>
        </w:rPr>
        <w:tab/>
      </w:r>
      <w:r>
        <w:t>2004</w:t>
      </w:r>
      <w:r>
        <w:rPr>
          <w:rFonts w:hint="eastAsia"/>
        </w:rPr>
        <w:t>年社会发展部的任务是扩大机会方案的覆盖范围，达到</w:t>
      </w:r>
      <w:r>
        <w:t>500</w:t>
      </w:r>
      <w:r>
        <w:rPr>
          <w:rFonts w:hint="eastAsia"/>
        </w:rPr>
        <w:t>万个家庭，以使近</w:t>
      </w:r>
      <w:r>
        <w:t>100%</w:t>
      </w:r>
      <w:r>
        <w:rPr>
          <w:rFonts w:hint="eastAsia"/>
        </w:rPr>
        <w:t>营养方面贫穷的家庭受益。</w:t>
      </w:r>
    </w:p>
    <w:p w:rsidR="00000000" w:rsidRDefault="00457650">
      <w:pPr>
        <w:widowControl/>
        <w:tabs>
          <w:tab w:val="left" w:pos="630"/>
        </w:tabs>
        <w:spacing w:after="180" w:line="360" w:lineRule="exact"/>
        <w:rPr>
          <w:rFonts w:hint="eastAsia"/>
        </w:rPr>
      </w:pPr>
      <w:r>
        <w:rPr>
          <w:rFonts w:hint="eastAsia"/>
        </w:rPr>
        <w:t>1097.</w:t>
      </w:r>
      <w:r>
        <w:rPr>
          <w:rFonts w:hint="eastAsia"/>
        </w:rPr>
        <w:tab/>
      </w:r>
      <w:r>
        <w:rPr>
          <w:rFonts w:hint="eastAsia"/>
        </w:rPr>
        <w:t>该方案自</w:t>
      </w:r>
      <w:r>
        <w:t>1997</w:t>
      </w:r>
      <w:r>
        <w:rPr>
          <w:rFonts w:hint="eastAsia"/>
        </w:rPr>
        <w:t>年启动以来所取得的成果见下表。</w:t>
      </w:r>
    </w:p>
    <w:p w:rsidR="00000000" w:rsidRDefault="00457650">
      <w:pPr>
        <w:widowControl/>
        <w:tabs>
          <w:tab w:val="left" w:pos="630"/>
        </w:tabs>
        <w:spacing w:after="240" w:line="360" w:lineRule="exact"/>
        <w:jc w:val="center"/>
        <w:rPr>
          <w:rFonts w:eastAsia="SimHei" w:hint="eastAsia"/>
          <w:bCs/>
          <w:szCs w:val="21"/>
        </w:rPr>
      </w:pPr>
      <w:r>
        <w:rPr>
          <w:rFonts w:eastAsia="SimHei" w:hint="eastAsia"/>
          <w:bCs/>
          <w:szCs w:val="21"/>
        </w:rPr>
        <w:t>机会方案覆盖范围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0"/>
        <w:gridCol w:w="1045"/>
        <w:gridCol w:w="1045"/>
        <w:gridCol w:w="1046"/>
        <w:gridCol w:w="1045"/>
        <w:gridCol w:w="1046"/>
        <w:gridCol w:w="1045"/>
        <w:gridCol w:w="1046"/>
      </w:tblGrid>
      <w:tr w:rsidR="00000000">
        <w:tblPrEx>
          <w:tblCellMar>
            <w:top w:w="0" w:type="dxa"/>
            <w:bottom w:w="0" w:type="dxa"/>
          </w:tblCellMar>
        </w:tblPrEx>
        <w:trPr>
          <w:tblHeader/>
        </w:trPr>
        <w:tc>
          <w:tcPr>
            <w:tcW w:w="2640" w:type="dxa"/>
          </w:tcPr>
          <w:p w:rsidR="00000000" w:rsidRDefault="00457650">
            <w:pPr>
              <w:pStyle w:val="a3"/>
              <w:widowControl/>
              <w:adjustRightInd w:val="0"/>
              <w:spacing w:before="40" w:after="40" w:line="280" w:lineRule="exact"/>
              <w:jc w:val="center"/>
              <w:textAlignment w:val="baseline"/>
              <w:rPr>
                <w:rFonts w:ascii="KaiTi_GB2312" w:eastAsia="KaiTi_GB2312" w:hint="eastAsia"/>
                <w:kern w:val="0"/>
                <w:szCs w:val="20"/>
              </w:rPr>
            </w:pPr>
            <w:r>
              <w:rPr>
                <w:rFonts w:ascii="KaiTi_GB2312" w:eastAsia="KaiTi_GB2312" w:hint="eastAsia"/>
                <w:kern w:val="0"/>
                <w:szCs w:val="20"/>
              </w:rPr>
              <w:t>项目</w:t>
            </w:r>
          </w:p>
        </w:tc>
        <w:tc>
          <w:tcPr>
            <w:tcW w:w="1045" w:type="dxa"/>
          </w:tcPr>
          <w:p w:rsidR="00000000" w:rsidRDefault="00457650">
            <w:pPr>
              <w:widowControl/>
              <w:spacing w:before="40" w:after="40" w:line="280" w:lineRule="exact"/>
              <w:jc w:val="center"/>
              <w:rPr>
                <w:rFonts w:ascii="KaiTi_GB2312" w:eastAsia="KaiTi_GB2312" w:hint="eastAsia"/>
                <w:sz w:val="18"/>
              </w:rPr>
            </w:pPr>
            <w:r>
              <w:rPr>
                <w:rFonts w:ascii="KaiTi_GB2312" w:eastAsia="KaiTi_GB2312"/>
                <w:sz w:val="18"/>
              </w:rPr>
              <w:t>1997</w:t>
            </w:r>
            <w:r>
              <w:rPr>
                <w:rFonts w:ascii="KaiTi_GB2312" w:eastAsia="KaiTi_GB2312" w:hint="eastAsia"/>
                <w:sz w:val="18"/>
              </w:rPr>
              <w:t>年</w:t>
            </w:r>
          </w:p>
        </w:tc>
        <w:tc>
          <w:tcPr>
            <w:tcW w:w="1045" w:type="dxa"/>
          </w:tcPr>
          <w:p w:rsidR="00000000" w:rsidRDefault="00457650">
            <w:pPr>
              <w:widowControl/>
              <w:spacing w:before="40" w:after="40" w:line="280" w:lineRule="exact"/>
              <w:jc w:val="center"/>
              <w:rPr>
                <w:rFonts w:ascii="KaiTi_GB2312" w:eastAsia="KaiTi_GB2312" w:hint="eastAsia"/>
                <w:sz w:val="18"/>
              </w:rPr>
            </w:pPr>
            <w:r>
              <w:rPr>
                <w:rFonts w:ascii="KaiTi_GB2312" w:eastAsia="KaiTi_GB2312"/>
                <w:sz w:val="18"/>
              </w:rPr>
              <w:t>1998</w:t>
            </w:r>
            <w:r>
              <w:rPr>
                <w:rFonts w:ascii="KaiTi_GB2312" w:eastAsia="KaiTi_GB2312" w:hint="eastAsia"/>
                <w:sz w:val="18"/>
              </w:rPr>
              <w:t>年</w:t>
            </w:r>
          </w:p>
        </w:tc>
        <w:tc>
          <w:tcPr>
            <w:tcW w:w="1046" w:type="dxa"/>
          </w:tcPr>
          <w:p w:rsidR="00000000" w:rsidRDefault="00457650">
            <w:pPr>
              <w:widowControl/>
              <w:spacing w:before="40" w:after="40" w:line="280" w:lineRule="exact"/>
              <w:jc w:val="center"/>
              <w:rPr>
                <w:rFonts w:ascii="KaiTi_GB2312" w:eastAsia="KaiTi_GB2312" w:hint="eastAsia"/>
                <w:sz w:val="18"/>
              </w:rPr>
            </w:pPr>
            <w:r>
              <w:rPr>
                <w:rFonts w:ascii="KaiTi_GB2312" w:eastAsia="KaiTi_GB2312"/>
                <w:sz w:val="18"/>
              </w:rPr>
              <w:t>1999</w:t>
            </w:r>
            <w:r>
              <w:rPr>
                <w:rFonts w:ascii="KaiTi_GB2312" w:eastAsia="KaiTi_GB2312" w:hint="eastAsia"/>
                <w:sz w:val="18"/>
              </w:rPr>
              <w:t>年</w:t>
            </w:r>
          </w:p>
        </w:tc>
        <w:tc>
          <w:tcPr>
            <w:tcW w:w="1045" w:type="dxa"/>
          </w:tcPr>
          <w:p w:rsidR="00000000" w:rsidRDefault="00457650">
            <w:pPr>
              <w:widowControl/>
              <w:spacing w:before="40" w:after="40" w:line="280" w:lineRule="exact"/>
              <w:jc w:val="center"/>
              <w:rPr>
                <w:rFonts w:ascii="KaiTi_GB2312" w:eastAsia="KaiTi_GB2312" w:hint="eastAsia"/>
                <w:sz w:val="18"/>
              </w:rPr>
            </w:pPr>
            <w:r>
              <w:rPr>
                <w:rFonts w:ascii="KaiTi_GB2312" w:eastAsia="KaiTi_GB2312"/>
                <w:sz w:val="18"/>
              </w:rPr>
              <w:t>2000</w:t>
            </w:r>
            <w:r>
              <w:rPr>
                <w:rFonts w:ascii="KaiTi_GB2312" w:eastAsia="KaiTi_GB2312" w:hint="eastAsia"/>
                <w:sz w:val="18"/>
              </w:rPr>
              <w:t>年</w:t>
            </w:r>
          </w:p>
        </w:tc>
        <w:tc>
          <w:tcPr>
            <w:tcW w:w="1046" w:type="dxa"/>
          </w:tcPr>
          <w:p w:rsidR="00000000" w:rsidRDefault="00457650">
            <w:pPr>
              <w:widowControl/>
              <w:spacing w:before="40" w:after="40" w:line="280" w:lineRule="exact"/>
              <w:jc w:val="center"/>
              <w:rPr>
                <w:rFonts w:ascii="KaiTi_GB2312" w:eastAsia="KaiTi_GB2312" w:hint="eastAsia"/>
                <w:sz w:val="18"/>
              </w:rPr>
            </w:pPr>
            <w:r>
              <w:rPr>
                <w:rFonts w:ascii="KaiTi_GB2312" w:eastAsia="KaiTi_GB2312"/>
                <w:sz w:val="18"/>
              </w:rPr>
              <w:t>2001</w:t>
            </w:r>
            <w:r>
              <w:rPr>
                <w:rFonts w:ascii="KaiTi_GB2312" w:eastAsia="KaiTi_GB2312" w:hint="eastAsia"/>
                <w:sz w:val="18"/>
              </w:rPr>
              <w:t>年</w:t>
            </w:r>
          </w:p>
        </w:tc>
        <w:tc>
          <w:tcPr>
            <w:tcW w:w="1045" w:type="dxa"/>
          </w:tcPr>
          <w:p w:rsidR="00000000" w:rsidRDefault="00457650">
            <w:pPr>
              <w:pStyle w:val="Date"/>
              <w:widowControl/>
              <w:spacing w:before="40" w:after="40" w:line="280" w:lineRule="exact"/>
              <w:jc w:val="center"/>
              <w:rPr>
                <w:rFonts w:ascii="KaiTi_GB2312" w:eastAsia="KaiTi_GB2312" w:hint="eastAsia"/>
                <w:sz w:val="18"/>
              </w:rPr>
            </w:pPr>
            <w:r>
              <w:rPr>
                <w:rFonts w:ascii="KaiTi_GB2312" w:eastAsia="KaiTi_GB2312"/>
                <w:sz w:val="18"/>
              </w:rPr>
              <w:t>200</w:t>
            </w:r>
            <w:r>
              <w:rPr>
                <w:rFonts w:ascii="KaiTi_GB2312" w:eastAsia="KaiTi_GB2312" w:hint="eastAsia"/>
                <w:sz w:val="18"/>
              </w:rPr>
              <w:t>2</w:t>
            </w:r>
            <w:r>
              <w:rPr>
                <w:rFonts w:ascii="KaiTi_GB2312" w:eastAsia="KaiTi_GB2312" w:hint="eastAsia"/>
                <w:sz w:val="18"/>
              </w:rPr>
              <w:t>年</w:t>
            </w:r>
          </w:p>
        </w:tc>
        <w:tc>
          <w:tcPr>
            <w:tcW w:w="1046" w:type="dxa"/>
          </w:tcPr>
          <w:p w:rsidR="00000000" w:rsidRDefault="00457650">
            <w:pPr>
              <w:widowControl/>
              <w:spacing w:before="40" w:after="40" w:line="280" w:lineRule="exact"/>
              <w:jc w:val="center"/>
              <w:rPr>
                <w:rFonts w:ascii="KaiTi_GB2312" w:eastAsia="KaiTi_GB2312" w:hint="eastAsia"/>
                <w:sz w:val="18"/>
              </w:rPr>
            </w:pPr>
            <w:r>
              <w:rPr>
                <w:rFonts w:ascii="KaiTi_GB2312" w:eastAsia="KaiTi_GB2312"/>
                <w:sz w:val="18"/>
              </w:rPr>
              <w:t>2003</w:t>
            </w:r>
            <w:r>
              <w:rPr>
                <w:rFonts w:ascii="KaiTi_GB2312" w:eastAsia="KaiTi_GB2312" w:hint="eastAsia"/>
                <w:sz w:val="18"/>
              </w:rPr>
              <w:t>年</w:t>
            </w:r>
            <w:r>
              <w:rPr>
                <w:rFonts w:ascii="KaiTi_GB2312" w:eastAsia="KaiTi_GB2312" w:hint="eastAsia"/>
                <w:sz w:val="18"/>
                <w:vertAlign w:val="superscript"/>
              </w:rPr>
              <w:t>﹡</w:t>
            </w:r>
          </w:p>
        </w:tc>
      </w:tr>
      <w:tr w:rsidR="00000000">
        <w:tblPrEx>
          <w:tblCellMar>
            <w:top w:w="0" w:type="dxa"/>
            <w:bottom w:w="0" w:type="dxa"/>
          </w:tblCellMar>
        </w:tblPrEx>
        <w:tc>
          <w:tcPr>
            <w:tcW w:w="2640" w:type="dxa"/>
          </w:tcPr>
          <w:p w:rsidR="00000000" w:rsidRDefault="00457650">
            <w:pPr>
              <w:widowControl/>
              <w:tabs>
                <w:tab w:val="left" w:pos="630"/>
              </w:tabs>
              <w:spacing w:before="40" w:after="40" w:line="280" w:lineRule="exact"/>
              <w:rPr>
                <w:rFonts w:eastAsia="SimHei" w:hint="eastAsia"/>
                <w:bCs/>
                <w:sz w:val="18"/>
              </w:rPr>
            </w:pPr>
            <w:r>
              <w:rPr>
                <w:rFonts w:eastAsia="SimHei" w:hint="eastAsia"/>
                <w:bCs/>
                <w:sz w:val="18"/>
              </w:rPr>
              <w:t>受益者</w:t>
            </w:r>
          </w:p>
        </w:tc>
        <w:tc>
          <w:tcPr>
            <w:tcW w:w="1045" w:type="dxa"/>
          </w:tcPr>
          <w:p w:rsidR="00000000" w:rsidRDefault="00457650">
            <w:pPr>
              <w:widowControl/>
              <w:tabs>
                <w:tab w:val="left" w:pos="630"/>
              </w:tabs>
              <w:spacing w:before="40" w:after="40" w:line="280" w:lineRule="exact"/>
              <w:rPr>
                <w:rFonts w:eastAsia="SimHei" w:hint="eastAsia"/>
                <w:bCs/>
                <w:sz w:val="18"/>
              </w:rPr>
            </w:pPr>
          </w:p>
        </w:tc>
        <w:tc>
          <w:tcPr>
            <w:tcW w:w="1045" w:type="dxa"/>
          </w:tcPr>
          <w:p w:rsidR="00000000" w:rsidRDefault="00457650">
            <w:pPr>
              <w:widowControl/>
              <w:tabs>
                <w:tab w:val="left" w:pos="630"/>
              </w:tabs>
              <w:spacing w:before="40" w:after="40" w:line="280" w:lineRule="exact"/>
              <w:rPr>
                <w:rFonts w:eastAsia="SimHei" w:hint="eastAsia"/>
                <w:bCs/>
                <w:sz w:val="18"/>
              </w:rPr>
            </w:pPr>
          </w:p>
        </w:tc>
        <w:tc>
          <w:tcPr>
            <w:tcW w:w="1046" w:type="dxa"/>
          </w:tcPr>
          <w:p w:rsidR="00000000" w:rsidRDefault="00457650">
            <w:pPr>
              <w:widowControl/>
              <w:tabs>
                <w:tab w:val="left" w:pos="630"/>
              </w:tabs>
              <w:spacing w:before="40" w:after="40" w:line="280" w:lineRule="exact"/>
              <w:rPr>
                <w:rFonts w:eastAsia="SimHei" w:hint="eastAsia"/>
                <w:bCs/>
                <w:sz w:val="18"/>
              </w:rPr>
            </w:pPr>
          </w:p>
        </w:tc>
        <w:tc>
          <w:tcPr>
            <w:tcW w:w="1045" w:type="dxa"/>
          </w:tcPr>
          <w:p w:rsidR="00000000" w:rsidRDefault="00457650">
            <w:pPr>
              <w:widowControl/>
              <w:tabs>
                <w:tab w:val="left" w:pos="630"/>
              </w:tabs>
              <w:spacing w:before="40" w:after="40" w:line="280" w:lineRule="exact"/>
              <w:rPr>
                <w:rFonts w:eastAsia="SimHei" w:hint="eastAsia"/>
                <w:bCs/>
                <w:sz w:val="18"/>
              </w:rPr>
            </w:pPr>
          </w:p>
        </w:tc>
        <w:tc>
          <w:tcPr>
            <w:tcW w:w="1046" w:type="dxa"/>
          </w:tcPr>
          <w:p w:rsidR="00000000" w:rsidRDefault="00457650">
            <w:pPr>
              <w:widowControl/>
              <w:tabs>
                <w:tab w:val="left" w:pos="630"/>
              </w:tabs>
              <w:spacing w:before="40" w:after="40" w:line="280" w:lineRule="exact"/>
              <w:rPr>
                <w:rFonts w:eastAsia="SimHei" w:hint="eastAsia"/>
                <w:bCs/>
                <w:sz w:val="18"/>
              </w:rPr>
            </w:pPr>
          </w:p>
        </w:tc>
        <w:tc>
          <w:tcPr>
            <w:tcW w:w="1045" w:type="dxa"/>
          </w:tcPr>
          <w:p w:rsidR="00000000" w:rsidRDefault="00457650">
            <w:pPr>
              <w:widowControl/>
              <w:tabs>
                <w:tab w:val="left" w:pos="630"/>
              </w:tabs>
              <w:spacing w:before="40" w:after="40" w:line="280" w:lineRule="exact"/>
              <w:rPr>
                <w:rFonts w:eastAsia="SimHei" w:hint="eastAsia"/>
                <w:bCs/>
                <w:sz w:val="18"/>
              </w:rPr>
            </w:pPr>
          </w:p>
        </w:tc>
        <w:tc>
          <w:tcPr>
            <w:tcW w:w="1046" w:type="dxa"/>
          </w:tcPr>
          <w:p w:rsidR="00000000" w:rsidRDefault="00457650">
            <w:pPr>
              <w:widowControl/>
              <w:tabs>
                <w:tab w:val="left" w:pos="630"/>
              </w:tabs>
              <w:spacing w:before="40" w:after="40" w:line="280" w:lineRule="exact"/>
              <w:rPr>
                <w:rFonts w:eastAsia="SimHei" w:hint="eastAsia"/>
                <w:bCs/>
                <w:sz w:val="18"/>
              </w:rPr>
            </w:pP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100" w:left="31680"/>
              <w:rPr>
                <w:rFonts w:hint="eastAsia"/>
                <w:sz w:val="18"/>
              </w:rPr>
            </w:pPr>
            <w:r>
              <w:rPr>
                <w:rFonts w:hint="eastAsia"/>
                <w:sz w:val="18"/>
              </w:rPr>
              <w:t>家庭（千户）</w:t>
            </w:r>
          </w:p>
        </w:tc>
        <w:tc>
          <w:tcPr>
            <w:tcW w:w="1045" w:type="dxa"/>
          </w:tcPr>
          <w:p w:rsidR="00000000" w:rsidRDefault="00457650">
            <w:pPr>
              <w:pStyle w:val="a3"/>
              <w:widowControl/>
              <w:adjustRightInd w:val="0"/>
              <w:spacing w:before="40" w:after="40" w:line="280" w:lineRule="exact"/>
              <w:jc w:val="right"/>
              <w:textAlignment w:val="baseline"/>
              <w:rPr>
                <w:rFonts w:hint="eastAsia"/>
                <w:kern w:val="0"/>
                <w:szCs w:val="20"/>
              </w:rPr>
            </w:pPr>
            <w:r>
              <w:rPr>
                <w:rFonts w:hint="eastAsia"/>
                <w:kern w:val="0"/>
                <w:szCs w:val="20"/>
              </w:rPr>
              <w:t>300.7</w:t>
            </w:r>
          </w:p>
        </w:tc>
        <w:tc>
          <w:tcPr>
            <w:tcW w:w="1045" w:type="dxa"/>
          </w:tcPr>
          <w:p w:rsidR="00000000" w:rsidRDefault="00457650">
            <w:pPr>
              <w:widowControl/>
              <w:spacing w:before="40" w:after="40" w:line="280" w:lineRule="exact"/>
              <w:jc w:val="right"/>
              <w:rPr>
                <w:rFonts w:hint="eastAsia"/>
                <w:sz w:val="18"/>
              </w:rPr>
            </w:pPr>
            <w:r>
              <w:rPr>
                <w:rFonts w:hint="eastAsia"/>
                <w:sz w:val="18"/>
              </w:rPr>
              <w:t>1 595.6</w:t>
            </w:r>
          </w:p>
        </w:tc>
        <w:tc>
          <w:tcPr>
            <w:tcW w:w="1046" w:type="dxa"/>
          </w:tcPr>
          <w:p w:rsidR="00000000" w:rsidRDefault="00457650">
            <w:pPr>
              <w:widowControl/>
              <w:spacing w:before="40" w:after="40" w:line="280" w:lineRule="exact"/>
              <w:jc w:val="right"/>
              <w:rPr>
                <w:rFonts w:hint="eastAsia"/>
                <w:sz w:val="18"/>
              </w:rPr>
            </w:pPr>
            <w:r>
              <w:rPr>
                <w:rFonts w:hint="eastAsia"/>
                <w:sz w:val="18"/>
              </w:rPr>
              <w:t>2 306.3</w:t>
            </w:r>
          </w:p>
        </w:tc>
        <w:tc>
          <w:tcPr>
            <w:tcW w:w="1045" w:type="dxa"/>
          </w:tcPr>
          <w:p w:rsidR="00000000" w:rsidRDefault="00457650">
            <w:pPr>
              <w:widowControl/>
              <w:spacing w:before="40" w:after="40" w:line="280" w:lineRule="exact"/>
              <w:jc w:val="right"/>
              <w:rPr>
                <w:rFonts w:hint="eastAsia"/>
                <w:sz w:val="18"/>
              </w:rPr>
            </w:pPr>
            <w:r>
              <w:rPr>
                <w:rFonts w:hint="eastAsia"/>
                <w:sz w:val="18"/>
              </w:rPr>
              <w:t>2 476.4</w:t>
            </w:r>
          </w:p>
        </w:tc>
        <w:tc>
          <w:tcPr>
            <w:tcW w:w="1046" w:type="dxa"/>
          </w:tcPr>
          <w:p w:rsidR="00000000" w:rsidRDefault="00457650">
            <w:pPr>
              <w:widowControl/>
              <w:spacing w:before="40" w:after="40" w:line="280" w:lineRule="exact"/>
              <w:jc w:val="right"/>
              <w:rPr>
                <w:rFonts w:hint="eastAsia"/>
                <w:sz w:val="18"/>
              </w:rPr>
            </w:pPr>
            <w:r>
              <w:rPr>
                <w:rFonts w:hint="eastAsia"/>
                <w:sz w:val="18"/>
              </w:rPr>
              <w:t>3 237.7</w:t>
            </w:r>
          </w:p>
        </w:tc>
        <w:tc>
          <w:tcPr>
            <w:tcW w:w="1045" w:type="dxa"/>
          </w:tcPr>
          <w:p w:rsidR="00000000" w:rsidRDefault="00457650">
            <w:pPr>
              <w:widowControl/>
              <w:spacing w:before="40" w:after="40" w:line="280" w:lineRule="exact"/>
              <w:jc w:val="right"/>
              <w:rPr>
                <w:rFonts w:hint="eastAsia"/>
                <w:sz w:val="18"/>
              </w:rPr>
            </w:pPr>
            <w:r>
              <w:rPr>
                <w:rFonts w:hint="eastAsia"/>
                <w:sz w:val="18"/>
              </w:rPr>
              <w:t>4</w:t>
            </w:r>
            <w:r>
              <w:rPr>
                <w:rFonts w:hint="eastAsia"/>
                <w:sz w:val="18"/>
              </w:rPr>
              <w:t xml:space="preserve"> 240.0</w:t>
            </w:r>
          </w:p>
        </w:tc>
        <w:tc>
          <w:tcPr>
            <w:tcW w:w="1046" w:type="dxa"/>
          </w:tcPr>
          <w:p w:rsidR="00000000" w:rsidRDefault="00457650">
            <w:pPr>
              <w:widowControl/>
              <w:spacing w:before="40" w:after="40" w:line="280" w:lineRule="exact"/>
              <w:jc w:val="right"/>
              <w:rPr>
                <w:rFonts w:hint="eastAsia"/>
                <w:sz w:val="18"/>
              </w:rPr>
            </w:pPr>
            <w:r>
              <w:rPr>
                <w:rFonts w:hint="eastAsia"/>
                <w:sz w:val="18"/>
              </w:rPr>
              <w:t>4 240.0</w:t>
            </w: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100" w:left="31680"/>
              <w:rPr>
                <w:rFonts w:hint="eastAsia"/>
                <w:sz w:val="18"/>
              </w:rPr>
            </w:pPr>
            <w:r>
              <w:rPr>
                <w:rFonts w:hint="eastAsia"/>
                <w:sz w:val="18"/>
              </w:rPr>
              <w:t>农村地区</w:t>
            </w:r>
          </w:p>
        </w:tc>
        <w:tc>
          <w:tcPr>
            <w:tcW w:w="1045" w:type="dxa"/>
          </w:tcPr>
          <w:p w:rsidR="00000000" w:rsidRDefault="00457650">
            <w:pPr>
              <w:widowControl/>
              <w:spacing w:before="40" w:after="40" w:line="280" w:lineRule="exact"/>
              <w:jc w:val="right"/>
              <w:rPr>
                <w:rFonts w:hint="eastAsia"/>
                <w:sz w:val="18"/>
              </w:rPr>
            </w:pPr>
            <w:r>
              <w:rPr>
                <w:rFonts w:hint="eastAsia"/>
                <w:sz w:val="18"/>
              </w:rPr>
              <w:t>300.7</w:t>
            </w:r>
          </w:p>
        </w:tc>
        <w:tc>
          <w:tcPr>
            <w:tcW w:w="1045" w:type="dxa"/>
          </w:tcPr>
          <w:p w:rsidR="00000000" w:rsidRDefault="00457650">
            <w:pPr>
              <w:widowControl/>
              <w:spacing w:before="40" w:after="40" w:line="280" w:lineRule="exact"/>
              <w:jc w:val="right"/>
              <w:rPr>
                <w:rFonts w:hint="eastAsia"/>
                <w:sz w:val="18"/>
              </w:rPr>
            </w:pPr>
            <w:r>
              <w:rPr>
                <w:rFonts w:hint="eastAsia"/>
                <w:sz w:val="18"/>
              </w:rPr>
              <w:t>1 595.6</w:t>
            </w:r>
          </w:p>
        </w:tc>
        <w:tc>
          <w:tcPr>
            <w:tcW w:w="1046" w:type="dxa"/>
          </w:tcPr>
          <w:p w:rsidR="00000000" w:rsidRDefault="00457650">
            <w:pPr>
              <w:widowControl/>
              <w:spacing w:before="40" w:after="40" w:line="280" w:lineRule="exact"/>
              <w:jc w:val="right"/>
              <w:rPr>
                <w:rFonts w:hint="eastAsia"/>
                <w:sz w:val="18"/>
              </w:rPr>
            </w:pPr>
            <w:r>
              <w:rPr>
                <w:rFonts w:hint="eastAsia"/>
                <w:sz w:val="18"/>
              </w:rPr>
              <w:t>2 306.3</w:t>
            </w:r>
          </w:p>
        </w:tc>
        <w:tc>
          <w:tcPr>
            <w:tcW w:w="1045" w:type="dxa"/>
          </w:tcPr>
          <w:p w:rsidR="00000000" w:rsidRDefault="00457650">
            <w:pPr>
              <w:widowControl/>
              <w:spacing w:before="40" w:after="40" w:line="280" w:lineRule="exact"/>
              <w:jc w:val="right"/>
              <w:rPr>
                <w:rFonts w:hint="eastAsia"/>
                <w:sz w:val="18"/>
              </w:rPr>
            </w:pPr>
            <w:r>
              <w:rPr>
                <w:rFonts w:hint="eastAsia"/>
                <w:sz w:val="18"/>
              </w:rPr>
              <w:t>2 129.8</w:t>
            </w:r>
          </w:p>
        </w:tc>
        <w:tc>
          <w:tcPr>
            <w:tcW w:w="1046" w:type="dxa"/>
          </w:tcPr>
          <w:p w:rsidR="00000000" w:rsidRDefault="00457650">
            <w:pPr>
              <w:widowControl/>
              <w:spacing w:before="40" w:after="40" w:line="280" w:lineRule="exact"/>
              <w:jc w:val="right"/>
              <w:rPr>
                <w:rFonts w:hint="eastAsia"/>
                <w:sz w:val="18"/>
              </w:rPr>
            </w:pPr>
            <w:r>
              <w:rPr>
                <w:rFonts w:hint="eastAsia"/>
                <w:sz w:val="18"/>
              </w:rPr>
              <w:t>2 524.5</w:t>
            </w:r>
          </w:p>
        </w:tc>
        <w:tc>
          <w:tcPr>
            <w:tcW w:w="1045" w:type="dxa"/>
          </w:tcPr>
          <w:p w:rsidR="00000000" w:rsidRDefault="00457650">
            <w:pPr>
              <w:widowControl/>
              <w:spacing w:before="40" w:after="40" w:line="280" w:lineRule="exact"/>
              <w:jc w:val="right"/>
              <w:rPr>
                <w:rFonts w:hint="eastAsia"/>
                <w:sz w:val="18"/>
              </w:rPr>
            </w:pPr>
            <w:r>
              <w:rPr>
                <w:rFonts w:hint="eastAsia"/>
                <w:sz w:val="18"/>
              </w:rPr>
              <w:t>3 090.8</w:t>
            </w:r>
          </w:p>
        </w:tc>
        <w:tc>
          <w:tcPr>
            <w:tcW w:w="1046" w:type="dxa"/>
          </w:tcPr>
          <w:p w:rsidR="00000000" w:rsidRDefault="00457650">
            <w:pPr>
              <w:widowControl/>
              <w:spacing w:before="40" w:after="40" w:line="280" w:lineRule="exact"/>
              <w:jc w:val="right"/>
              <w:rPr>
                <w:rFonts w:hint="eastAsia"/>
                <w:sz w:val="18"/>
              </w:rPr>
            </w:pPr>
            <w:r>
              <w:rPr>
                <w:rFonts w:hint="eastAsia"/>
                <w:sz w:val="18"/>
              </w:rPr>
              <w:t>3 090.8</w:t>
            </w: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100" w:left="31680"/>
              <w:rPr>
                <w:rFonts w:hint="eastAsia"/>
                <w:sz w:val="18"/>
              </w:rPr>
            </w:pPr>
            <w:r>
              <w:rPr>
                <w:rFonts w:hint="eastAsia"/>
                <w:sz w:val="18"/>
              </w:rPr>
              <w:t>半城市地区</w:t>
            </w:r>
          </w:p>
        </w:tc>
        <w:tc>
          <w:tcPr>
            <w:tcW w:w="1045" w:type="dxa"/>
          </w:tcPr>
          <w:p w:rsidR="00000000" w:rsidRDefault="00457650">
            <w:pPr>
              <w:widowControl/>
              <w:spacing w:before="40" w:after="40" w:line="280" w:lineRule="exact"/>
              <w:jc w:val="right"/>
              <w:rPr>
                <w:rFonts w:hint="eastAsia"/>
                <w:sz w:val="18"/>
              </w:rPr>
            </w:pPr>
          </w:p>
        </w:tc>
        <w:tc>
          <w:tcPr>
            <w:tcW w:w="1045" w:type="dxa"/>
          </w:tcPr>
          <w:p w:rsidR="00000000" w:rsidRDefault="00457650">
            <w:pPr>
              <w:widowControl/>
              <w:spacing w:before="40" w:after="40" w:line="280" w:lineRule="exact"/>
              <w:jc w:val="right"/>
              <w:rPr>
                <w:rFonts w:hint="eastAsia"/>
                <w:sz w:val="18"/>
              </w:rPr>
            </w:pPr>
          </w:p>
        </w:tc>
        <w:tc>
          <w:tcPr>
            <w:tcW w:w="1046" w:type="dxa"/>
          </w:tcPr>
          <w:p w:rsidR="00000000" w:rsidRDefault="00457650">
            <w:pPr>
              <w:widowControl/>
              <w:spacing w:before="40" w:after="40" w:line="280" w:lineRule="exact"/>
              <w:jc w:val="right"/>
              <w:rPr>
                <w:rFonts w:hint="eastAsia"/>
                <w:sz w:val="18"/>
              </w:rPr>
            </w:pPr>
          </w:p>
        </w:tc>
        <w:tc>
          <w:tcPr>
            <w:tcW w:w="1045" w:type="dxa"/>
          </w:tcPr>
          <w:p w:rsidR="00000000" w:rsidRDefault="00457650">
            <w:pPr>
              <w:widowControl/>
              <w:spacing w:before="40" w:after="40" w:line="280" w:lineRule="exact"/>
              <w:jc w:val="right"/>
              <w:rPr>
                <w:rFonts w:hint="eastAsia"/>
                <w:sz w:val="18"/>
              </w:rPr>
            </w:pPr>
            <w:r>
              <w:rPr>
                <w:rFonts w:hint="eastAsia"/>
                <w:sz w:val="18"/>
              </w:rPr>
              <w:t>341.6</w:t>
            </w:r>
          </w:p>
        </w:tc>
        <w:tc>
          <w:tcPr>
            <w:tcW w:w="1046" w:type="dxa"/>
          </w:tcPr>
          <w:p w:rsidR="00000000" w:rsidRDefault="00457650">
            <w:pPr>
              <w:widowControl/>
              <w:spacing w:before="40" w:after="40" w:line="280" w:lineRule="exact"/>
              <w:jc w:val="right"/>
              <w:rPr>
                <w:rFonts w:hint="eastAsia"/>
                <w:sz w:val="18"/>
              </w:rPr>
            </w:pPr>
            <w:r>
              <w:rPr>
                <w:rFonts w:hint="eastAsia"/>
                <w:sz w:val="18"/>
              </w:rPr>
              <w:t>599.4</w:t>
            </w:r>
          </w:p>
        </w:tc>
        <w:tc>
          <w:tcPr>
            <w:tcW w:w="1045" w:type="dxa"/>
          </w:tcPr>
          <w:p w:rsidR="00000000" w:rsidRDefault="00457650">
            <w:pPr>
              <w:widowControl/>
              <w:spacing w:before="40" w:after="40" w:line="280" w:lineRule="exact"/>
              <w:jc w:val="right"/>
              <w:rPr>
                <w:rFonts w:hint="eastAsia"/>
                <w:sz w:val="18"/>
              </w:rPr>
            </w:pPr>
            <w:r>
              <w:rPr>
                <w:rFonts w:hint="eastAsia"/>
                <w:sz w:val="18"/>
              </w:rPr>
              <w:t>616.1</w:t>
            </w:r>
          </w:p>
        </w:tc>
        <w:tc>
          <w:tcPr>
            <w:tcW w:w="1046" w:type="dxa"/>
          </w:tcPr>
          <w:p w:rsidR="00000000" w:rsidRDefault="00457650">
            <w:pPr>
              <w:widowControl/>
              <w:spacing w:before="40" w:after="40" w:line="280" w:lineRule="exact"/>
              <w:jc w:val="right"/>
              <w:rPr>
                <w:rFonts w:hint="eastAsia"/>
                <w:sz w:val="18"/>
              </w:rPr>
            </w:pPr>
            <w:r>
              <w:rPr>
                <w:rFonts w:hint="eastAsia"/>
                <w:sz w:val="18"/>
              </w:rPr>
              <w:t>616.1</w:t>
            </w: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100" w:left="31680"/>
              <w:rPr>
                <w:rFonts w:hint="eastAsia"/>
                <w:sz w:val="18"/>
              </w:rPr>
            </w:pPr>
            <w:r>
              <w:rPr>
                <w:rFonts w:hint="eastAsia"/>
                <w:sz w:val="18"/>
              </w:rPr>
              <w:t>城市地区</w:t>
            </w:r>
          </w:p>
        </w:tc>
        <w:tc>
          <w:tcPr>
            <w:tcW w:w="1045" w:type="dxa"/>
          </w:tcPr>
          <w:p w:rsidR="00000000" w:rsidRDefault="00457650">
            <w:pPr>
              <w:widowControl/>
              <w:spacing w:before="40" w:after="40" w:line="280" w:lineRule="exact"/>
              <w:jc w:val="right"/>
              <w:rPr>
                <w:rFonts w:hint="eastAsia"/>
                <w:sz w:val="18"/>
              </w:rPr>
            </w:pPr>
          </w:p>
        </w:tc>
        <w:tc>
          <w:tcPr>
            <w:tcW w:w="1045" w:type="dxa"/>
          </w:tcPr>
          <w:p w:rsidR="00000000" w:rsidRDefault="00457650">
            <w:pPr>
              <w:widowControl/>
              <w:spacing w:before="40" w:after="40" w:line="280" w:lineRule="exact"/>
              <w:jc w:val="right"/>
              <w:rPr>
                <w:rFonts w:hint="eastAsia"/>
                <w:sz w:val="18"/>
              </w:rPr>
            </w:pPr>
          </w:p>
        </w:tc>
        <w:tc>
          <w:tcPr>
            <w:tcW w:w="1046" w:type="dxa"/>
          </w:tcPr>
          <w:p w:rsidR="00000000" w:rsidRDefault="00457650">
            <w:pPr>
              <w:widowControl/>
              <w:spacing w:before="40" w:after="40" w:line="280" w:lineRule="exact"/>
              <w:jc w:val="right"/>
              <w:rPr>
                <w:rFonts w:hint="eastAsia"/>
                <w:sz w:val="18"/>
              </w:rPr>
            </w:pPr>
          </w:p>
        </w:tc>
        <w:tc>
          <w:tcPr>
            <w:tcW w:w="1045" w:type="dxa"/>
          </w:tcPr>
          <w:p w:rsidR="00000000" w:rsidRDefault="00457650">
            <w:pPr>
              <w:widowControl/>
              <w:spacing w:before="40" w:after="40" w:line="280" w:lineRule="exact"/>
              <w:jc w:val="right"/>
              <w:rPr>
                <w:rFonts w:hint="eastAsia"/>
                <w:sz w:val="18"/>
              </w:rPr>
            </w:pPr>
            <w:r>
              <w:rPr>
                <w:rFonts w:hint="eastAsia"/>
                <w:sz w:val="18"/>
              </w:rPr>
              <w:t>5.0</w:t>
            </w:r>
          </w:p>
        </w:tc>
        <w:tc>
          <w:tcPr>
            <w:tcW w:w="1046" w:type="dxa"/>
          </w:tcPr>
          <w:p w:rsidR="00000000" w:rsidRDefault="00457650">
            <w:pPr>
              <w:widowControl/>
              <w:spacing w:before="40" w:after="40" w:line="280" w:lineRule="exact"/>
              <w:jc w:val="right"/>
              <w:rPr>
                <w:rFonts w:hint="eastAsia"/>
                <w:sz w:val="18"/>
              </w:rPr>
            </w:pPr>
            <w:r>
              <w:rPr>
                <w:rFonts w:hint="eastAsia"/>
                <w:sz w:val="18"/>
              </w:rPr>
              <w:t>113.8</w:t>
            </w:r>
          </w:p>
        </w:tc>
        <w:tc>
          <w:tcPr>
            <w:tcW w:w="1045" w:type="dxa"/>
          </w:tcPr>
          <w:p w:rsidR="00000000" w:rsidRDefault="00457650">
            <w:pPr>
              <w:widowControl/>
              <w:spacing w:before="40" w:after="40" w:line="280" w:lineRule="exact"/>
              <w:jc w:val="right"/>
              <w:rPr>
                <w:rFonts w:hint="eastAsia"/>
                <w:sz w:val="18"/>
              </w:rPr>
            </w:pPr>
            <w:r>
              <w:rPr>
                <w:rFonts w:hint="eastAsia"/>
                <w:sz w:val="18"/>
              </w:rPr>
              <w:t>533.1</w:t>
            </w:r>
          </w:p>
        </w:tc>
        <w:tc>
          <w:tcPr>
            <w:tcW w:w="1046" w:type="dxa"/>
          </w:tcPr>
          <w:p w:rsidR="00000000" w:rsidRDefault="00457650">
            <w:pPr>
              <w:widowControl/>
              <w:spacing w:before="40" w:after="40" w:line="280" w:lineRule="exact"/>
              <w:jc w:val="right"/>
              <w:rPr>
                <w:rFonts w:hint="eastAsia"/>
                <w:sz w:val="18"/>
              </w:rPr>
            </w:pPr>
            <w:r>
              <w:rPr>
                <w:rFonts w:hint="eastAsia"/>
                <w:sz w:val="18"/>
              </w:rPr>
              <w:t>533.1</w:t>
            </w: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100" w:left="31680"/>
              <w:rPr>
                <w:rFonts w:hint="eastAsia"/>
                <w:sz w:val="18"/>
              </w:rPr>
            </w:pPr>
            <w:r>
              <w:rPr>
                <w:rFonts w:hint="eastAsia"/>
                <w:sz w:val="18"/>
              </w:rPr>
              <w:t>市</w:t>
            </w:r>
          </w:p>
        </w:tc>
        <w:tc>
          <w:tcPr>
            <w:tcW w:w="1045" w:type="dxa"/>
          </w:tcPr>
          <w:p w:rsidR="00000000" w:rsidRDefault="00457650">
            <w:pPr>
              <w:widowControl/>
              <w:spacing w:before="40" w:after="40" w:line="280" w:lineRule="exact"/>
              <w:jc w:val="right"/>
              <w:rPr>
                <w:rFonts w:hint="eastAsia"/>
                <w:sz w:val="18"/>
              </w:rPr>
            </w:pPr>
            <w:r>
              <w:rPr>
                <w:rFonts w:hint="eastAsia"/>
                <w:sz w:val="18"/>
              </w:rPr>
              <w:t>456</w:t>
            </w:r>
          </w:p>
        </w:tc>
        <w:tc>
          <w:tcPr>
            <w:tcW w:w="1045" w:type="dxa"/>
          </w:tcPr>
          <w:p w:rsidR="00000000" w:rsidRDefault="00457650">
            <w:pPr>
              <w:widowControl/>
              <w:spacing w:before="40" w:after="40" w:line="280" w:lineRule="exact"/>
              <w:jc w:val="right"/>
              <w:rPr>
                <w:rFonts w:hint="eastAsia"/>
                <w:sz w:val="18"/>
              </w:rPr>
            </w:pPr>
            <w:r>
              <w:rPr>
                <w:rFonts w:hint="eastAsia"/>
                <w:sz w:val="18"/>
              </w:rPr>
              <w:t>1 743</w:t>
            </w:r>
          </w:p>
        </w:tc>
        <w:tc>
          <w:tcPr>
            <w:tcW w:w="1046" w:type="dxa"/>
          </w:tcPr>
          <w:p w:rsidR="00000000" w:rsidRDefault="00457650">
            <w:pPr>
              <w:widowControl/>
              <w:spacing w:before="40" w:after="40" w:line="280" w:lineRule="exact"/>
              <w:jc w:val="right"/>
              <w:rPr>
                <w:rFonts w:hint="eastAsia"/>
                <w:sz w:val="18"/>
              </w:rPr>
            </w:pPr>
            <w:r>
              <w:rPr>
                <w:rFonts w:hint="eastAsia"/>
                <w:sz w:val="18"/>
              </w:rPr>
              <w:t>2 155</w:t>
            </w:r>
          </w:p>
        </w:tc>
        <w:tc>
          <w:tcPr>
            <w:tcW w:w="1045" w:type="dxa"/>
          </w:tcPr>
          <w:p w:rsidR="00000000" w:rsidRDefault="00457650">
            <w:pPr>
              <w:widowControl/>
              <w:spacing w:before="40" w:after="40" w:line="280" w:lineRule="exact"/>
              <w:jc w:val="right"/>
              <w:rPr>
                <w:rFonts w:hint="eastAsia"/>
                <w:sz w:val="18"/>
              </w:rPr>
            </w:pPr>
            <w:r>
              <w:rPr>
                <w:rFonts w:hint="eastAsia"/>
                <w:sz w:val="18"/>
              </w:rPr>
              <w:t>2 166</w:t>
            </w:r>
          </w:p>
        </w:tc>
        <w:tc>
          <w:tcPr>
            <w:tcW w:w="1046" w:type="dxa"/>
          </w:tcPr>
          <w:p w:rsidR="00000000" w:rsidRDefault="00457650">
            <w:pPr>
              <w:widowControl/>
              <w:spacing w:before="40" w:after="40" w:line="280" w:lineRule="exact"/>
              <w:jc w:val="right"/>
              <w:rPr>
                <w:rFonts w:hint="eastAsia"/>
                <w:sz w:val="18"/>
              </w:rPr>
            </w:pPr>
            <w:r>
              <w:rPr>
                <w:rFonts w:hint="eastAsia"/>
                <w:sz w:val="18"/>
              </w:rPr>
              <w:t>2 317</w:t>
            </w:r>
          </w:p>
        </w:tc>
        <w:tc>
          <w:tcPr>
            <w:tcW w:w="1045" w:type="dxa"/>
          </w:tcPr>
          <w:p w:rsidR="00000000" w:rsidRDefault="00457650">
            <w:pPr>
              <w:widowControl/>
              <w:spacing w:before="40" w:after="40" w:line="280" w:lineRule="exact"/>
              <w:jc w:val="right"/>
              <w:rPr>
                <w:rFonts w:hint="eastAsia"/>
                <w:sz w:val="18"/>
              </w:rPr>
            </w:pPr>
            <w:r>
              <w:rPr>
                <w:rFonts w:hint="eastAsia"/>
                <w:sz w:val="18"/>
              </w:rPr>
              <w:t>2 354</w:t>
            </w:r>
          </w:p>
        </w:tc>
        <w:tc>
          <w:tcPr>
            <w:tcW w:w="1046" w:type="dxa"/>
          </w:tcPr>
          <w:p w:rsidR="00000000" w:rsidRDefault="00457650">
            <w:pPr>
              <w:widowControl/>
              <w:spacing w:before="40" w:after="40" w:line="280" w:lineRule="exact"/>
              <w:jc w:val="right"/>
              <w:rPr>
                <w:rFonts w:hint="eastAsia"/>
                <w:sz w:val="18"/>
              </w:rPr>
            </w:pPr>
            <w:r>
              <w:rPr>
                <w:rFonts w:hint="eastAsia"/>
                <w:sz w:val="18"/>
              </w:rPr>
              <w:t>2 354</w:t>
            </w: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100" w:left="31680"/>
              <w:rPr>
                <w:rFonts w:hint="eastAsia"/>
                <w:sz w:val="18"/>
              </w:rPr>
            </w:pPr>
            <w:r>
              <w:rPr>
                <w:rFonts w:hint="eastAsia"/>
                <w:sz w:val="18"/>
              </w:rPr>
              <w:t>地方</w:t>
            </w:r>
          </w:p>
        </w:tc>
        <w:tc>
          <w:tcPr>
            <w:tcW w:w="1045" w:type="dxa"/>
          </w:tcPr>
          <w:p w:rsidR="00000000" w:rsidRDefault="00457650">
            <w:pPr>
              <w:widowControl/>
              <w:spacing w:before="40" w:after="40" w:line="280" w:lineRule="exact"/>
              <w:jc w:val="right"/>
              <w:rPr>
                <w:rFonts w:hint="eastAsia"/>
                <w:sz w:val="18"/>
              </w:rPr>
            </w:pPr>
            <w:r>
              <w:rPr>
                <w:rFonts w:hint="eastAsia"/>
                <w:sz w:val="18"/>
              </w:rPr>
              <w:t>10 769</w:t>
            </w:r>
          </w:p>
        </w:tc>
        <w:tc>
          <w:tcPr>
            <w:tcW w:w="1045" w:type="dxa"/>
          </w:tcPr>
          <w:p w:rsidR="00000000" w:rsidRDefault="00457650">
            <w:pPr>
              <w:widowControl/>
              <w:spacing w:before="40" w:after="40" w:line="280" w:lineRule="exact"/>
              <w:jc w:val="right"/>
              <w:rPr>
                <w:rFonts w:hint="eastAsia"/>
                <w:sz w:val="18"/>
              </w:rPr>
            </w:pPr>
            <w:r>
              <w:rPr>
                <w:rFonts w:hint="eastAsia"/>
                <w:sz w:val="18"/>
              </w:rPr>
              <w:t>40 906</w:t>
            </w:r>
          </w:p>
        </w:tc>
        <w:tc>
          <w:tcPr>
            <w:tcW w:w="1046" w:type="dxa"/>
          </w:tcPr>
          <w:p w:rsidR="00000000" w:rsidRDefault="00457650">
            <w:pPr>
              <w:widowControl/>
              <w:spacing w:before="40" w:after="40" w:line="280" w:lineRule="exact"/>
              <w:jc w:val="right"/>
              <w:rPr>
                <w:rFonts w:hint="eastAsia"/>
                <w:sz w:val="18"/>
              </w:rPr>
            </w:pPr>
            <w:r>
              <w:rPr>
                <w:rFonts w:hint="eastAsia"/>
                <w:sz w:val="18"/>
              </w:rPr>
              <w:t>53 055</w:t>
            </w:r>
          </w:p>
        </w:tc>
        <w:tc>
          <w:tcPr>
            <w:tcW w:w="1045" w:type="dxa"/>
          </w:tcPr>
          <w:p w:rsidR="00000000" w:rsidRDefault="00457650">
            <w:pPr>
              <w:widowControl/>
              <w:spacing w:before="40" w:after="40" w:line="280" w:lineRule="exact"/>
              <w:jc w:val="right"/>
              <w:rPr>
                <w:rFonts w:hint="eastAsia"/>
                <w:sz w:val="18"/>
              </w:rPr>
            </w:pPr>
            <w:r>
              <w:rPr>
                <w:rFonts w:hint="eastAsia"/>
                <w:sz w:val="18"/>
              </w:rPr>
              <w:t>53 232</w:t>
            </w:r>
          </w:p>
        </w:tc>
        <w:tc>
          <w:tcPr>
            <w:tcW w:w="1046" w:type="dxa"/>
          </w:tcPr>
          <w:p w:rsidR="00000000" w:rsidRDefault="00457650">
            <w:pPr>
              <w:widowControl/>
              <w:spacing w:before="40" w:after="40" w:line="280" w:lineRule="exact"/>
              <w:jc w:val="right"/>
              <w:rPr>
                <w:rFonts w:hint="eastAsia"/>
                <w:sz w:val="18"/>
              </w:rPr>
            </w:pPr>
            <w:r>
              <w:rPr>
                <w:rFonts w:hint="eastAsia"/>
                <w:sz w:val="18"/>
              </w:rPr>
              <w:t>67 737</w:t>
            </w:r>
          </w:p>
        </w:tc>
        <w:tc>
          <w:tcPr>
            <w:tcW w:w="1045" w:type="dxa"/>
          </w:tcPr>
          <w:p w:rsidR="00000000" w:rsidRDefault="00457650">
            <w:pPr>
              <w:widowControl/>
              <w:spacing w:before="40" w:after="40" w:line="280" w:lineRule="exact"/>
              <w:jc w:val="right"/>
              <w:rPr>
                <w:rFonts w:hint="eastAsia"/>
                <w:sz w:val="18"/>
              </w:rPr>
            </w:pPr>
            <w:r>
              <w:rPr>
                <w:rFonts w:hint="eastAsia"/>
                <w:sz w:val="18"/>
              </w:rPr>
              <w:t>70 520</w:t>
            </w:r>
          </w:p>
        </w:tc>
        <w:tc>
          <w:tcPr>
            <w:tcW w:w="1046" w:type="dxa"/>
          </w:tcPr>
          <w:p w:rsidR="00000000" w:rsidRDefault="00457650">
            <w:pPr>
              <w:widowControl/>
              <w:spacing w:before="40" w:after="40" w:line="280" w:lineRule="exact"/>
              <w:jc w:val="right"/>
              <w:rPr>
                <w:rFonts w:hint="eastAsia"/>
                <w:sz w:val="18"/>
              </w:rPr>
            </w:pPr>
            <w:r>
              <w:rPr>
                <w:rFonts w:hint="eastAsia"/>
                <w:sz w:val="18"/>
              </w:rPr>
              <w:t>70 520</w:t>
            </w: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100" w:left="31680"/>
              <w:rPr>
                <w:rFonts w:hint="eastAsia"/>
                <w:sz w:val="18"/>
              </w:rPr>
            </w:pPr>
            <w:r>
              <w:rPr>
                <w:rFonts w:hint="eastAsia"/>
                <w:sz w:val="18"/>
              </w:rPr>
              <w:t>州</w:t>
            </w:r>
          </w:p>
        </w:tc>
        <w:tc>
          <w:tcPr>
            <w:tcW w:w="1045" w:type="dxa"/>
          </w:tcPr>
          <w:p w:rsidR="00000000" w:rsidRDefault="00457650">
            <w:pPr>
              <w:widowControl/>
              <w:spacing w:before="40" w:after="40" w:line="280" w:lineRule="exact"/>
              <w:jc w:val="right"/>
              <w:rPr>
                <w:rFonts w:hint="eastAsia"/>
                <w:sz w:val="18"/>
              </w:rPr>
            </w:pPr>
            <w:r>
              <w:rPr>
                <w:rFonts w:hint="eastAsia"/>
                <w:sz w:val="18"/>
              </w:rPr>
              <w:t>13</w:t>
            </w:r>
          </w:p>
        </w:tc>
        <w:tc>
          <w:tcPr>
            <w:tcW w:w="1045" w:type="dxa"/>
          </w:tcPr>
          <w:p w:rsidR="00000000" w:rsidRDefault="00457650">
            <w:pPr>
              <w:widowControl/>
              <w:spacing w:before="40" w:after="40" w:line="280" w:lineRule="exact"/>
              <w:jc w:val="right"/>
              <w:rPr>
                <w:rFonts w:hint="eastAsia"/>
                <w:sz w:val="18"/>
              </w:rPr>
            </w:pPr>
            <w:r>
              <w:rPr>
                <w:rFonts w:hint="eastAsia"/>
                <w:sz w:val="18"/>
              </w:rPr>
              <w:t>30</w:t>
            </w:r>
          </w:p>
        </w:tc>
        <w:tc>
          <w:tcPr>
            <w:tcW w:w="1046" w:type="dxa"/>
          </w:tcPr>
          <w:p w:rsidR="00000000" w:rsidRDefault="00457650">
            <w:pPr>
              <w:widowControl/>
              <w:spacing w:before="40" w:after="40" w:line="280" w:lineRule="exact"/>
              <w:jc w:val="right"/>
              <w:rPr>
                <w:rFonts w:hint="eastAsia"/>
                <w:sz w:val="18"/>
              </w:rPr>
            </w:pPr>
            <w:r>
              <w:rPr>
                <w:rFonts w:hint="eastAsia"/>
                <w:sz w:val="18"/>
              </w:rPr>
              <w:t>31</w:t>
            </w:r>
          </w:p>
        </w:tc>
        <w:tc>
          <w:tcPr>
            <w:tcW w:w="1045" w:type="dxa"/>
          </w:tcPr>
          <w:p w:rsidR="00000000" w:rsidRDefault="00457650">
            <w:pPr>
              <w:widowControl/>
              <w:spacing w:before="40" w:after="40" w:line="280" w:lineRule="exact"/>
              <w:jc w:val="right"/>
              <w:rPr>
                <w:rFonts w:hint="eastAsia"/>
                <w:sz w:val="18"/>
              </w:rPr>
            </w:pPr>
            <w:r>
              <w:rPr>
                <w:rFonts w:hint="eastAsia"/>
                <w:sz w:val="18"/>
              </w:rPr>
              <w:t>31</w:t>
            </w:r>
          </w:p>
        </w:tc>
        <w:tc>
          <w:tcPr>
            <w:tcW w:w="1046" w:type="dxa"/>
          </w:tcPr>
          <w:p w:rsidR="00000000" w:rsidRDefault="00457650">
            <w:pPr>
              <w:widowControl/>
              <w:spacing w:before="40" w:after="40" w:line="280" w:lineRule="exact"/>
              <w:jc w:val="right"/>
              <w:rPr>
                <w:rFonts w:hint="eastAsia"/>
                <w:sz w:val="18"/>
              </w:rPr>
            </w:pPr>
            <w:r>
              <w:rPr>
                <w:rFonts w:hint="eastAsia"/>
                <w:sz w:val="18"/>
              </w:rPr>
              <w:t>31</w:t>
            </w:r>
          </w:p>
        </w:tc>
        <w:tc>
          <w:tcPr>
            <w:tcW w:w="1045" w:type="dxa"/>
          </w:tcPr>
          <w:p w:rsidR="00000000" w:rsidRDefault="00457650">
            <w:pPr>
              <w:widowControl/>
              <w:spacing w:before="40" w:after="40" w:line="280" w:lineRule="exact"/>
              <w:jc w:val="right"/>
              <w:rPr>
                <w:rFonts w:hint="eastAsia"/>
                <w:sz w:val="18"/>
              </w:rPr>
            </w:pPr>
            <w:r>
              <w:rPr>
                <w:rFonts w:hint="eastAsia"/>
                <w:sz w:val="18"/>
              </w:rPr>
              <w:t>31</w:t>
            </w:r>
          </w:p>
        </w:tc>
        <w:tc>
          <w:tcPr>
            <w:tcW w:w="1046" w:type="dxa"/>
          </w:tcPr>
          <w:p w:rsidR="00000000" w:rsidRDefault="00457650">
            <w:pPr>
              <w:widowControl/>
              <w:spacing w:before="40" w:after="40" w:line="280" w:lineRule="exact"/>
              <w:jc w:val="right"/>
              <w:rPr>
                <w:rFonts w:hint="eastAsia"/>
                <w:sz w:val="18"/>
              </w:rPr>
            </w:pPr>
            <w:r>
              <w:rPr>
                <w:rFonts w:hint="eastAsia"/>
                <w:sz w:val="18"/>
              </w:rPr>
              <w:t>31</w:t>
            </w:r>
          </w:p>
        </w:tc>
      </w:tr>
      <w:tr w:rsidR="00000000">
        <w:tblPrEx>
          <w:tblCellMar>
            <w:top w:w="0" w:type="dxa"/>
            <w:bottom w:w="0" w:type="dxa"/>
          </w:tblCellMar>
        </w:tblPrEx>
        <w:tc>
          <w:tcPr>
            <w:tcW w:w="2640" w:type="dxa"/>
          </w:tcPr>
          <w:p w:rsidR="00000000" w:rsidRDefault="00457650">
            <w:pPr>
              <w:widowControl/>
              <w:tabs>
                <w:tab w:val="left" w:pos="630"/>
              </w:tabs>
              <w:spacing w:before="40" w:after="40" w:line="280" w:lineRule="exact"/>
              <w:rPr>
                <w:rFonts w:eastAsia="SimHei" w:hint="eastAsia"/>
                <w:bCs/>
                <w:sz w:val="18"/>
              </w:rPr>
            </w:pPr>
            <w:r>
              <w:rPr>
                <w:rFonts w:eastAsia="SimHei" w:hint="eastAsia"/>
                <w:bCs/>
                <w:sz w:val="18"/>
              </w:rPr>
              <w:t>组成部分</w:t>
            </w:r>
          </w:p>
        </w:tc>
        <w:tc>
          <w:tcPr>
            <w:tcW w:w="1045" w:type="dxa"/>
          </w:tcPr>
          <w:p w:rsidR="00000000" w:rsidRDefault="00457650">
            <w:pPr>
              <w:widowControl/>
              <w:spacing w:before="40" w:after="40" w:line="280" w:lineRule="exact"/>
              <w:jc w:val="right"/>
              <w:rPr>
                <w:rFonts w:eastAsia="SimHei" w:hint="eastAsia"/>
                <w:bCs/>
                <w:sz w:val="18"/>
              </w:rPr>
            </w:pPr>
          </w:p>
        </w:tc>
        <w:tc>
          <w:tcPr>
            <w:tcW w:w="1045" w:type="dxa"/>
          </w:tcPr>
          <w:p w:rsidR="00000000" w:rsidRDefault="00457650">
            <w:pPr>
              <w:widowControl/>
              <w:spacing w:before="40" w:after="40" w:line="280" w:lineRule="exact"/>
              <w:jc w:val="right"/>
              <w:rPr>
                <w:rFonts w:eastAsia="SimHei" w:hint="eastAsia"/>
                <w:bCs/>
                <w:sz w:val="18"/>
              </w:rPr>
            </w:pPr>
          </w:p>
        </w:tc>
        <w:tc>
          <w:tcPr>
            <w:tcW w:w="1046" w:type="dxa"/>
          </w:tcPr>
          <w:p w:rsidR="00000000" w:rsidRDefault="00457650">
            <w:pPr>
              <w:widowControl/>
              <w:spacing w:before="40" w:after="40" w:line="280" w:lineRule="exact"/>
              <w:jc w:val="right"/>
              <w:rPr>
                <w:rFonts w:eastAsia="SimHei" w:hint="eastAsia"/>
                <w:bCs/>
                <w:sz w:val="18"/>
              </w:rPr>
            </w:pPr>
          </w:p>
        </w:tc>
        <w:tc>
          <w:tcPr>
            <w:tcW w:w="1045" w:type="dxa"/>
          </w:tcPr>
          <w:p w:rsidR="00000000" w:rsidRDefault="00457650">
            <w:pPr>
              <w:widowControl/>
              <w:spacing w:before="40" w:after="40" w:line="280" w:lineRule="exact"/>
              <w:jc w:val="right"/>
              <w:rPr>
                <w:rFonts w:eastAsia="SimHei" w:hint="eastAsia"/>
                <w:bCs/>
                <w:sz w:val="18"/>
              </w:rPr>
            </w:pPr>
          </w:p>
        </w:tc>
        <w:tc>
          <w:tcPr>
            <w:tcW w:w="1046" w:type="dxa"/>
          </w:tcPr>
          <w:p w:rsidR="00000000" w:rsidRDefault="00457650">
            <w:pPr>
              <w:widowControl/>
              <w:spacing w:before="40" w:after="40" w:line="280" w:lineRule="exact"/>
              <w:jc w:val="right"/>
              <w:rPr>
                <w:rFonts w:eastAsia="SimHei" w:hint="eastAsia"/>
                <w:bCs/>
                <w:sz w:val="18"/>
              </w:rPr>
            </w:pPr>
          </w:p>
        </w:tc>
        <w:tc>
          <w:tcPr>
            <w:tcW w:w="1045" w:type="dxa"/>
          </w:tcPr>
          <w:p w:rsidR="00000000" w:rsidRDefault="00457650">
            <w:pPr>
              <w:widowControl/>
              <w:spacing w:before="40" w:after="40" w:line="280" w:lineRule="exact"/>
              <w:jc w:val="right"/>
              <w:rPr>
                <w:rFonts w:eastAsia="SimHei" w:hint="eastAsia"/>
                <w:bCs/>
                <w:sz w:val="18"/>
              </w:rPr>
            </w:pPr>
          </w:p>
        </w:tc>
        <w:tc>
          <w:tcPr>
            <w:tcW w:w="1046" w:type="dxa"/>
          </w:tcPr>
          <w:p w:rsidR="00000000" w:rsidRDefault="00457650">
            <w:pPr>
              <w:widowControl/>
              <w:spacing w:before="40" w:after="40" w:line="280" w:lineRule="exact"/>
              <w:jc w:val="right"/>
              <w:rPr>
                <w:rFonts w:eastAsia="SimHei" w:hint="eastAsia"/>
                <w:bCs/>
                <w:sz w:val="18"/>
              </w:rPr>
            </w:pPr>
          </w:p>
        </w:tc>
      </w:tr>
      <w:tr w:rsidR="00000000">
        <w:tblPrEx>
          <w:tblCellMar>
            <w:top w:w="0" w:type="dxa"/>
            <w:bottom w:w="0" w:type="dxa"/>
          </w:tblCellMar>
        </w:tblPrEx>
        <w:tc>
          <w:tcPr>
            <w:tcW w:w="2640" w:type="dxa"/>
          </w:tcPr>
          <w:p w:rsidR="00000000" w:rsidRDefault="00457650">
            <w:pPr>
              <w:widowControl/>
              <w:tabs>
                <w:tab w:val="left" w:pos="630"/>
              </w:tabs>
              <w:spacing w:before="40" w:after="40" w:line="280" w:lineRule="exact"/>
              <w:rPr>
                <w:rFonts w:eastAsia="KaiTi_GB2312" w:hint="eastAsia"/>
                <w:sz w:val="18"/>
              </w:rPr>
            </w:pPr>
            <w:r>
              <w:rPr>
                <w:rFonts w:eastAsia="KaiTi_GB2312" w:hint="eastAsia"/>
                <w:sz w:val="18"/>
              </w:rPr>
              <w:t>教育</w:t>
            </w:r>
          </w:p>
        </w:tc>
        <w:tc>
          <w:tcPr>
            <w:tcW w:w="1045" w:type="dxa"/>
          </w:tcPr>
          <w:p w:rsidR="00000000" w:rsidRDefault="00457650">
            <w:pPr>
              <w:widowControl/>
              <w:spacing w:before="40" w:after="40" w:line="280" w:lineRule="exact"/>
              <w:jc w:val="right"/>
              <w:rPr>
                <w:rFonts w:eastAsia="KaiTi_GB2312" w:hint="eastAsia"/>
                <w:sz w:val="18"/>
              </w:rPr>
            </w:pPr>
          </w:p>
        </w:tc>
        <w:tc>
          <w:tcPr>
            <w:tcW w:w="1045" w:type="dxa"/>
          </w:tcPr>
          <w:p w:rsidR="00000000" w:rsidRDefault="00457650">
            <w:pPr>
              <w:widowControl/>
              <w:spacing w:before="40" w:after="40" w:line="280" w:lineRule="exact"/>
              <w:jc w:val="right"/>
              <w:rPr>
                <w:rFonts w:eastAsia="KaiTi_GB2312" w:hint="eastAsia"/>
                <w:sz w:val="18"/>
              </w:rPr>
            </w:pPr>
          </w:p>
        </w:tc>
        <w:tc>
          <w:tcPr>
            <w:tcW w:w="1046" w:type="dxa"/>
          </w:tcPr>
          <w:p w:rsidR="00000000" w:rsidRDefault="00457650">
            <w:pPr>
              <w:widowControl/>
              <w:spacing w:before="40" w:after="40" w:line="280" w:lineRule="exact"/>
              <w:jc w:val="right"/>
              <w:rPr>
                <w:rFonts w:eastAsia="KaiTi_GB2312" w:hint="eastAsia"/>
                <w:sz w:val="18"/>
              </w:rPr>
            </w:pPr>
          </w:p>
        </w:tc>
        <w:tc>
          <w:tcPr>
            <w:tcW w:w="1045" w:type="dxa"/>
          </w:tcPr>
          <w:p w:rsidR="00000000" w:rsidRDefault="00457650">
            <w:pPr>
              <w:widowControl/>
              <w:spacing w:before="40" w:after="40" w:line="280" w:lineRule="exact"/>
              <w:jc w:val="right"/>
              <w:rPr>
                <w:rFonts w:eastAsia="KaiTi_GB2312" w:hint="eastAsia"/>
                <w:sz w:val="18"/>
              </w:rPr>
            </w:pPr>
          </w:p>
        </w:tc>
        <w:tc>
          <w:tcPr>
            <w:tcW w:w="1046" w:type="dxa"/>
          </w:tcPr>
          <w:p w:rsidR="00000000" w:rsidRDefault="00457650">
            <w:pPr>
              <w:widowControl/>
              <w:spacing w:before="40" w:after="40" w:line="280" w:lineRule="exact"/>
              <w:jc w:val="right"/>
              <w:rPr>
                <w:rFonts w:eastAsia="KaiTi_GB2312" w:hint="eastAsia"/>
                <w:sz w:val="18"/>
              </w:rPr>
            </w:pPr>
          </w:p>
        </w:tc>
        <w:tc>
          <w:tcPr>
            <w:tcW w:w="1045" w:type="dxa"/>
          </w:tcPr>
          <w:p w:rsidR="00000000" w:rsidRDefault="00457650">
            <w:pPr>
              <w:widowControl/>
              <w:spacing w:before="40" w:after="40" w:line="280" w:lineRule="exact"/>
              <w:jc w:val="right"/>
              <w:rPr>
                <w:rFonts w:eastAsia="KaiTi_GB2312" w:hint="eastAsia"/>
                <w:sz w:val="18"/>
              </w:rPr>
            </w:pPr>
          </w:p>
        </w:tc>
        <w:tc>
          <w:tcPr>
            <w:tcW w:w="1046" w:type="dxa"/>
          </w:tcPr>
          <w:p w:rsidR="00000000" w:rsidRDefault="00457650">
            <w:pPr>
              <w:widowControl/>
              <w:spacing w:before="40" w:after="40" w:line="280" w:lineRule="exact"/>
              <w:jc w:val="right"/>
              <w:rPr>
                <w:rFonts w:eastAsia="KaiTi_GB2312" w:hint="eastAsia"/>
                <w:sz w:val="18"/>
              </w:rPr>
            </w:pP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100" w:left="31680"/>
              <w:rPr>
                <w:rFonts w:hint="eastAsia"/>
                <w:sz w:val="18"/>
              </w:rPr>
            </w:pPr>
            <w:r>
              <w:rPr>
                <w:rFonts w:hint="eastAsia"/>
                <w:sz w:val="18"/>
              </w:rPr>
              <w:t>获得奖学金的人数（千人）</w:t>
            </w:r>
          </w:p>
        </w:tc>
        <w:tc>
          <w:tcPr>
            <w:tcW w:w="1045" w:type="dxa"/>
          </w:tcPr>
          <w:p w:rsidR="00000000" w:rsidRDefault="00457650">
            <w:pPr>
              <w:pStyle w:val="a3"/>
              <w:widowControl/>
              <w:adjustRightInd w:val="0"/>
              <w:spacing w:before="40" w:after="40" w:line="280" w:lineRule="exact"/>
              <w:jc w:val="right"/>
              <w:textAlignment w:val="baseline"/>
              <w:rPr>
                <w:rFonts w:hint="eastAsia"/>
                <w:kern w:val="0"/>
                <w:szCs w:val="20"/>
              </w:rPr>
            </w:pPr>
            <w:r>
              <w:rPr>
                <w:rFonts w:hint="eastAsia"/>
                <w:kern w:val="0"/>
                <w:szCs w:val="20"/>
              </w:rPr>
              <w:t>101.1</w:t>
            </w:r>
          </w:p>
        </w:tc>
        <w:tc>
          <w:tcPr>
            <w:tcW w:w="1045" w:type="dxa"/>
          </w:tcPr>
          <w:p w:rsidR="00000000" w:rsidRDefault="00457650">
            <w:pPr>
              <w:widowControl/>
              <w:spacing w:before="40" w:after="40" w:line="280" w:lineRule="exact"/>
              <w:jc w:val="right"/>
              <w:rPr>
                <w:rFonts w:hint="eastAsia"/>
                <w:sz w:val="18"/>
              </w:rPr>
            </w:pPr>
            <w:r>
              <w:rPr>
                <w:rFonts w:hint="eastAsia"/>
                <w:sz w:val="18"/>
              </w:rPr>
              <w:t>1 299.0</w:t>
            </w:r>
          </w:p>
        </w:tc>
        <w:tc>
          <w:tcPr>
            <w:tcW w:w="1046" w:type="dxa"/>
          </w:tcPr>
          <w:p w:rsidR="00000000" w:rsidRDefault="00457650">
            <w:pPr>
              <w:widowControl/>
              <w:spacing w:before="40" w:after="40" w:line="280" w:lineRule="exact"/>
              <w:jc w:val="right"/>
              <w:rPr>
                <w:rFonts w:hint="eastAsia"/>
                <w:sz w:val="18"/>
              </w:rPr>
            </w:pPr>
            <w:r>
              <w:rPr>
                <w:rFonts w:hint="eastAsia"/>
                <w:sz w:val="18"/>
              </w:rPr>
              <w:t>2 192.6</w:t>
            </w:r>
          </w:p>
        </w:tc>
        <w:tc>
          <w:tcPr>
            <w:tcW w:w="1045" w:type="dxa"/>
          </w:tcPr>
          <w:p w:rsidR="00000000" w:rsidRDefault="00457650">
            <w:pPr>
              <w:widowControl/>
              <w:spacing w:before="40" w:after="40" w:line="280" w:lineRule="exact"/>
              <w:jc w:val="right"/>
              <w:rPr>
                <w:rFonts w:hint="eastAsia"/>
                <w:sz w:val="18"/>
              </w:rPr>
            </w:pPr>
            <w:r>
              <w:rPr>
                <w:rFonts w:hint="eastAsia"/>
                <w:sz w:val="18"/>
              </w:rPr>
              <w:t>2 485.3</w:t>
            </w:r>
          </w:p>
        </w:tc>
        <w:tc>
          <w:tcPr>
            <w:tcW w:w="1046" w:type="dxa"/>
          </w:tcPr>
          <w:p w:rsidR="00000000" w:rsidRDefault="00457650">
            <w:pPr>
              <w:widowControl/>
              <w:spacing w:before="40" w:after="40" w:line="280" w:lineRule="exact"/>
              <w:jc w:val="right"/>
              <w:rPr>
                <w:rFonts w:hint="eastAsia"/>
                <w:sz w:val="18"/>
              </w:rPr>
            </w:pPr>
            <w:r>
              <w:rPr>
                <w:rFonts w:hint="eastAsia"/>
                <w:sz w:val="18"/>
              </w:rPr>
              <w:t>3 315.5</w:t>
            </w:r>
          </w:p>
        </w:tc>
        <w:tc>
          <w:tcPr>
            <w:tcW w:w="1045" w:type="dxa"/>
          </w:tcPr>
          <w:p w:rsidR="00000000" w:rsidRDefault="00457650">
            <w:pPr>
              <w:widowControl/>
              <w:spacing w:before="40" w:after="40" w:line="280" w:lineRule="exact"/>
              <w:jc w:val="right"/>
              <w:rPr>
                <w:rFonts w:hint="eastAsia"/>
                <w:sz w:val="18"/>
              </w:rPr>
            </w:pPr>
            <w:r>
              <w:rPr>
                <w:rFonts w:hint="eastAsia"/>
                <w:sz w:val="18"/>
              </w:rPr>
              <w:t>4 355.9</w:t>
            </w:r>
          </w:p>
        </w:tc>
        <w:tc>
          <w:tcPr>
            <w:tcW w:w="1046" w:type="dxa"/>
          </w:tcPr>
          <w:p w:rsidR="00000000" w:rsidRDefault="00457650">
            <w:pPr>
              <w:widowControl/>
              <w:spacing w:before="40" w:after="40" w:line="280" w:lineRule="exact"/>
              <w:jc w:val="right"/>
              <w:rPr>
                <w:rFonts w:hint="eastAsia"/>
                <w:sz w:val="18"/>
              </w:rPr>
            </w:pPr>
            <w:r>
              <w:rPr>
                <w:rFonts w:hint="eastAsia"/>
                <w:sz w:val="18"/>
              </w:rPr>
              <w:t>4 492.1</w:t>
            </w: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100" w:left="31680"/>
              <w:rPr>
                <w:rFonts w:hint="eastAsia"/>
                <w:sz w:val="18"/>
              </w:rPr>
            </w:pPr>
            <w:r>
              <w:rPr>
                <w:rFonts w:hint="eastAsia"/>
                <w:sz w:val="18"/>
              </w:rPr>
              <w:t>分发的学习用具（千份）</w:t>
            </w:r>
          </w:p>
        </w:tc>
        <w:tc>
          <w:tcPr>
            <w:tcW w:w="1045" w:type="dxa"/>
          </w:tcPr>
          <w:p w:rsidR="00000000" w:rsidRDefault="00457650">
            <w:pPr>
              <w:widowControl/>
              <w:spacing w:before="40" w:after="40" w:line="280" w:lineRule="exact"/>
              <w:jc w:val="right"/>
              <w:rPr>
                <w:rFonts w:hint="eastAsia"/>
                <w:sz w:val="18"/>
              </w:rPr>
            </w:pPr>
            <w:r>
              <w:rPr>
                <w:rFonts w:hint="eastAsia"/>
                <w:sz w:val="18"/>
              </w:rPr>
              <w:t>72.6</w:t>
            </w:r>
          </w:p>
        </w:tc>
        <w:tc>
          <w:tcPr>
            <w:tcW w:w="1045" w:type="dxa"/>
          </w:tcPr>
          <w:p w:rsidR="00000000" w:rsidRDefault="00457650">
            <w:pPr>
              <w:widowControl/>
              <w:spacing w:before="40" w:after="40" w:line="280" w:lineRule="exact"/>
              <w:jc w:val="right"/>
              <w:rPr>
                <w:rFonts w:hint="eastAsia"/>
                <w:sz w:val="18"/>
              </w:rPr>
            </w:pPr>
            <w:r>
              <w:rPr>
                <w:rFonts w:hint="eastAsia"/>
                <w:sz w:val="18"/>
              </w:rPr>
              <w:t>684.9</w:t>
            </w:r>
          </w:p>
        </w:tc>
        <w:tc>
          <w:tcPr>
            <w:tcW w:w="1046" w:type="dxa"/>
          </w:tcPr>
          <w:p w:rsidR="00000000" w:rsidRDefault="00457650">
            <w:pPr>
              <w:widowControl/>
              <w:spacing w:before="40" w:after="40" w:line="280" w:lineRule="exact"/>
              <w:jc w:val="right"/>
              <w:rPr>
                <w:rFonts w:hint="eastAsia"/>
                <w:sz w:val="18"/>
              </w:rPr>
            </w:pPr>
            <w:r>
              <w:rPr>
                <w:rFonts w:hint="eastAsia"/>
                <w:sz w:val="18"/>
              </w:rPr>
              <w:t>1 314.5</w:t>
            </w:r>
          </w:p>
        </w:tc>
        <w:tc>
          <w:tcPr>
            <w:tcW w:w="1045" w:type="dxa"/>
          </w:tcPr>
          <w:p w:rsidR="00000000" w:rsidRDefault="00457650">
            <w:pPr>
              <w:widowControl/>
              <w:spacing w:before="40" w:after="40" w:line="280" w:lineRule="exact"/>
              <w:jc w:val="right"/>
              <w:rPr>
                <w:rFonts w:hint="eastAsia"/>
                <w:sz w:val="18"/>
              </w:rPr>
            </w:pPr>
            <w:r>
              <w:rPr>
                <w:rFonts w:hint="eastAsia"/>
                <w:sz w:val="18"/>
              </w:rPr>
              <w:t>1 281.6</w:t>
            </w:r>
          </w:p>
        </w:tc>
        <w:tc>
          <w:tcPr>
            <w:tcW w:w="1046" w:type="dxa"/>
          </w:tcPr>
          <w:p w:rsidR="00000000" w:rsidRDefault="00457650">
            <w:pPr>
              <w:widowControl/>
              <w:spacing w:before="40" w:after="40" w:line="280" w:lineRule="exact"/>
              <w:jc w:val="right"/>
              <w:rPr>
                <w:rFonts w:hint="eastAsia"/>
                <w:sz w:val="18"/>
              </w:rPr>
            </w:pPr>
            <w:r>
              <w:rPr>
                <w:rFonts w:hint="eastAsia"/>
                <w:sz w:val="18"/>
              </w:rPr>
              <w:t>1 504.7</w:t>
            </w:r>
          </w:p>
        </w:tc>
        <w:tc>
          <w:tcPr>
            <w:tcW w:w="1045" w:type="dxa"/>
          </w:tcPr>
          <w:p w:rsidR="00000000" w:rsidRDefault="00457650">
            <w:pPr>
              <w:widowControl/>
              <w:spacing w:before="40" w:after="40" w:line="280" w:lineRule="exact"/>
              <w:jc w:val="right"/>
              <w:rPr>
                <w:rFonts w:hint="eastAsia"/>
                <w:sz w:val="18"/>
              </w:rPr>
            </w:pPr>
            <w:r>
              <w:rPr>
                <w:rFonts w:hint="eastAsia"/>
                <w:sz w:val="18"/>
              </w:rPr>
              <w:t>1 761.6</w:t>
            </w:r>
          </w:p>
        </w:tc>
        <w:tc>
          <w:tcPr>
            <w:tcW w:w="1046" w:type="dxa"/>
          </w:tcPr>
          <w:p w:rsidR="00000000" w:rsidRDefault="00457650">
            <w:pPr>
              <w:widowControl/>
              <w:spacing w:before="40" w:after="40" w:line="280" w:lineRule="exact"/>
              <w:jc w:val="right"/>
              <w:rPr>
                <w:rFonts w:hint="eastAsia"/>
                <w:sz w:val="18"/>
              </w:rPr>
            </w:pPr>
            <w:r>
              <w:rPr>
                <w:rFonts w:hint="eastAsia"/>
                <w:sz w:val="18"/>
              </w:rPr>
              <w:t>1 820.4</w:t>
            </w:r>
          </w:p>
        </w:tc>
      </w:tr>
      <w:tr w:rsidR="00000000">
        <w:tblPrEx>
          <w:tblCellMar>
            <w:top w:w="0" w:type="dxa"/>
            <w:bottom w:w="0" w:type="dxa"/>
          </w:tblCellMar>
        </w:tblPrEx>
        <w:tc>
          <w:tcPr>
            <w:tcW w:w="2640" w:type="dxa"/>
          </w:tcPr>
          <w:p w:rsidR="00000000" w:rsidRDefault="00457650">
            <w:pPr>
              <w:widowControl/>
              <w:tabs>
                <w:tab w:val="left" w:pos="630"/>
              </w:tabs>
              <w:spacing w:before="40" w:after="40" w:line="280" w:lineRule="exact"/>
              <w:rPr>
                <w:rFonts w:eastAsia="KaiTi_GB2312" w:hint="eastAsia"/>
                <w:sz w:val="18"/>
              </w:rPr>
            </w:pPr>
            <w:r>
              <w:rPr>
                <w:rFonts w:eastAsia="KaiTi_GB2312" w:hint="eastAsia"/>
                <w:sz w:val="18"/>
              </w:rPr>
              <w:t>健康</w:t>
            </w:r>
          </w:p>
        </w:tc>
        <w:tc>
          <w:tcPr>
            <w:tcW w:w="1045" w:type="dxa"/>
          </w:tcPr>
          <w:p w:rsidR="00000000" w:rsidRDefault="00457650">
            <w:pPr>
              <w:widowControl/>
              <w:tabs>
                <w:tab w:val="left" w:pos="630"/>
              </w:tabs>
              <w:spacing w:before="40" w:after="40" w:line="280" w:lineRule="exact"/>
              <w:jc w:val="right"/>
              <w:rPr>
                <w:rFonts w:eastAsia="KaiTi_GB2312" w:hint="eastAsia"/>
                <w:sz w:val="18"/>
              </w:rPr>
            </w:pPr>
          </w:p>
        </w:tc>
        <w:tc>
          <w:tcPr>
            <w:tcW w:w="1045" w:type="dxa"/>
          </w:tcPr>
          <w:p w:rsidR="00000000" w:rsidRDefault="00457650">
            <w:pPr>
              <w:widowControl/>
              <w:tabs>
                <w:tab w:val="left" w:pos="630"/>
              </w:tabs>
              <w:spacing w:before="40" w:after="40" w:line="280" w:lineRule="exact"/>
              <w:jc w:val="right"/>
              <w:rPr>
                <w:rFonts w:eastAsia="KaiTi_GB2312" w:hint="eastAsia"/>
                <w:sz w:val="18"/>
              </w:rPr>
            </w:pPr>
          </w:p>
        </w:tc>
        <w:tc>
          <w:tcPr>
            <w:tcW w:w="1046" w:type="dxa"/>
          </w:tcPr>
          <w:p w:rsidR="00000000" w:rsidRDefault="00457650">
            <w:pPr>
              <w:widowControl/>
              <w:tabs>
                <w:tab w:val="left" w:pos="630"/>
              </w:tabs>
              <w:spacing w:before="40" w:after="40" w:line="280" w:lineRule="exact"/>
              <w:jc w:val="right"/>
              <w:rPr>
                <w:rFonts w:eastAsia="KaiTi_GB2312" w:hint="eastAsia"/>
                <w:sz w:val="18"/>
              </w:rPr>
            </w:pPr>
          </w:p>
        </w:tc>
        <w:tc>
          <w:tcPr>
            <w:tcW w:w="1045" w:type="dxa"/>
          </w:tcPr>
          <w:p w:rsidR="00000000" w:rsidRDefault="00457650">
            <w:pPr>
              <w:widowControl/>
              <w:tabs>
                <w:tab w:val="left" w:pos="630"/>
              </w:tabs>
              <w:spacing w:before="40" w:after="40" w:line="280" w:lineRule="exact"/>
              <w:jc w:val="right"/>
              <w:rPr>
                <w:rFonts w:eastAsia="KaiTi_GB2312" w:hint="eastAsia"/>
                <w:sz w:val="18"/>
              </w:rPr>
            </w:pPr>
          </w:p>
        </w:tc>
        <w:tc>
          <w:tcPr>
            <w:tcW w:w="1046" w:type="dxa"/>
          </w:tcPr>
          <w:p w:rsidR="00000000" w:rsidRDefault="00457650">
            <w:pPr>
              <w:widowControl/>
              <w:tabs>
                <w:tab w:val="left" w:pos="630"/>
              </w:tabs>
              <w:spacing w:before="40" w:after="40" w:line="280" w:lineRule="exact"/>
              <w:jc w:val="right"/>
              <w:rPr>
                <w:rFonts w:eastAsia="KaiTi_GB2312" w:hint="eastAsia"/>
                <w:sz w:val="18"/>
              </w:rPr>
            </w:pPr>
          </w:p>
        </w:tc>
        <w:tc>
          <w:tcPr>
            <w:tcW w:w="1045" w:type="dxa"/>
          </w:tcPr>
          <w:p w:rsidR="00000000" w:rsidRDefault="00457650">
            <w:pPr>
              <w:widowControl/>
              <w:tabs>
                <w:tab w:val="left" w:pos="630"/>
              </w:tabs>
              <w:spacing w:before="40" w:after="40" w:line="280" w:lineRule="exact"/>
              <w:jc w:val="right"/>
              <w:rPr>
                <w:rFonts w:eastAsia="KaiTi_GB2312" w:hint="eastAsia"/>
                <w:sz w:val="18"/>
              </w:rPr>
            </w:pPr>
          </w:p>
        </w:tc>
        <w:tc>
          <w:tcPr>
            <w:tcW w:w="1046" w:type="dxa"/>
          </w:tcPr>
          <w:p w:rsidR="00000000" w:rsidRDefault="00457650">
            <w:pPr>
              <w:widowControl/>
              <w:tabs>
                <w:tab w:val="left" w:pos="630"/>
              </w:tabs>
              <w:spacing w:before="40" w:after="40" w:line="280" w:lineRule="exact"/>
              <w:jc w:val="right"/>
              <w:rPr>
                <w:rFonts w:eastAsia="KaiTi_GB2312" w:hint="eastAsia"/>
                <w:sz w:val="18"/>
              </w:rPr>
            </w:pP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100" w:left="31680"/>
              <w:rPr>
                <w:rFonts w:hint="eastAsia"/>
                <w:sz w:val="18"/>
              </w:rPr>
            </w:pPr>
            <w:r>
              <w:rPr>
                <w:rFonts w:hint="eastAsia"/>
                <w:sz w:val="18"/>
              </w:rPr>
              <w:t>平均每个月咨询的次数（千次）</w:t>
            </w:r>
          </w:p>
        </w:tc>
        <w:tc>
          <w:tcPr>
            <w:tcW w:w="1045" w:type="dxa"/>
          </w:tcPr>
          <w:p w:rsidR="00000000" w:rsidRDefault="00457650">
            <w:pPr>
              <w:pStyle w:val="a3"/>
              <w:widowControl/>
              <w:adjustRightInd w:val="0"/>
              <w:spacing w:before="40" w:after="40" w:line="280" w:lineRule="exact"/>
              <w:jc w:val="right"/>
              <w:textAlignment w:val="baseline"/>
              <w:rPr>
                <w:rFonts w:hint="eastAsia"/>
                <w:kern w:val="0"/>
                <w:szCs w:val="20"/>
              </w:rPr>
            </w:pPr>
          </w:p>
        </w:tc>
        <w:tc>
          <w:tcPr>
            <w:tcW w:w="1045" w:type="dxa"/>
          </w:tcPr>
          <w:p w:rsidR="00000000" w:rsidRDefault="00457650">
            <w:pPr>
              <w:widowControl/>
              <w:spacing w:before="40" w:after="40" w:line="280" w:lineRule="exact"/>
              <w:jc w:val="right"/>
              <w:rPr>
                <w:rFonts w:hint="eastAsia"/>
                <w:sz w:val="18"/>
              </w:rPr>
            </w:pPr>
            <w:r>
              <w:rPr>
                <w:rFonts w:hint="eastAsia"/>
                <w:sz w:val="18"/>
              </w:rPr>
              <w:t>435.0</w:t>
            </w:r>
          </w:p>
        </w:tc>
        <w:tc>
          <w:tcPr>
            <w:tcW w:w="1046" w:type="dxa"/>
          </w:tcPr>
          <w:p w:rsidR="00000000" w:rsidRDefault="00457650">
            <w:pPr>
              <w:widowControl/>
              <w:spacing w:before="40" w:after="40" w:line="280" w:lineRule="exact"/>
              <w:jc w:val="right"/>
              <w:rPr>
                <w:rFonts w:hint="eastAsia"/>
                <w:sz w:val="18"/>
              </w:rPr>
            </w:pPr>
            <w:r>
              <w:rPr>
                <w:rFonts w:hint="eastAsia"/>
                <w:sz w:val="18"/>
              </w:rPr>
              <w:t>1 359.8</w:t>
            </w:r>
          </w:p>
        </w:tc>
        <w:tc>
          <w:tcPr>
            <w:tcW w:w="1045" w:type="dxa"/>
          </w:tcPr>
          <w:p w:rsidR="00000000" w:rsidRDefault="00457650">
            <w:pPr>
              <w:widowControl/>
              <w:spacing w:before="40" w:after="40" w:line="280" w:lineRule="exact"/>
              <w:jc w:val="right"/>
              <w:rPr>
                <w:rFonts w:hint="eastAsia"/>
                <w:sz w:val="18"/>
              </w:rPr>
            </w:pPr>
            <w:r>
              <w:rPr>
                <w:rFonts w:hint="eastAsia"/>
                <w:sz w:val="18"/>
              </w:rPr>
              <w:t>1 624.4</w:t>
            </w:r>
          </w:p>
        </w:tc>
        <w:tc>
          <w:tcPr>
            <w:tcW w:w="1046" w:type="dxa"/>
          </w:tcPr>
          <w:p w:rsidR="00000000" w:rsidRDefault="00457650">
            <w:pPr>
              <w:widowControl/>
              <w:spacing w:before="40" w:after="40" w:line="280" w:lineRule="exact"/>
              <w:jc w:val="right"/>
              <w:rPr>
                <w:rFonts w:hint="eastAsia"/>
                <w:sz w:val="18"/>
              </w:rPr>
            </w:pPr>
            <w:r>
              <w:rPr>
                <w:rFonts w:hint="eastAsia"/>
                <w:sz w:val="18"/>
              </w:rPr>
              <w:t>1 836.4</w:t>
            </w:r>
          </w:p>
        </w:tc>
        <w:tc>
          <w:tcPr>
            <w:tcW w:w="1045" w:type="dxa"/>
          </w:tcPr>
          <w:p w:rsidR="00000000" w:rsidRDefault="00457650">
            <w:pPr>
              <w:widowControl/>
              <w:spacing w:before="40" w:after="40" w:line="280" w:lineRule="exact"/>
              <w:jc w:val="right"/>
              <w:rPr>
                <w:rFonts w:hint="eastAsia"/>
                <w:sz w:val="18"/>
              </w:rPr>
            </w:pPr>
            <w:r>
              <w:rPr>
                <w:rFonts w:hint="eastAsia"/>
                <w:sz w:val="18"/>
              </w:rPr>
              <w:t>2 295.8</w:t>
            </w:r>
          </w:p>
        </w:tc>
        <w:tc>
          <w:tcPr>
            <w:tcW w:w="1046" w:type="dxa"/>
          </w:tcPr>
          <w:p w:rsidR="00000000" w:rsidRDefault="00457650">
            <w:pPr>
              <w:widowControl/>
              <w:spacing w:before="40" w:after="40" w:line="280" w:lineRule="exact"/>
              <w:jc w:val="right"/>
              <w:rPr>
                <w:rFonts w:hint="eastAsia"/>
                <w:sz w:val="18"/>
              </w:rPr>
            </w:pPr>
            <w:r>
              <w:rPr>
                <w:rFonts w:hint="eastAsia"/>
                <w:sz w:val="18"/>
              </w:rPr>
              <w:t>2 758.0</w:t>
            </w: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100" w:left="31680"/>
              <w:rPr>
                <w:rFonts w:hint="eastAsia"/>
                <w:sz w:val="18"/>
              </w:rPr>
            </w:pPr>
            <w:r>
              <w:rPr>
                <w:rFonts w:hint="eastAsia"/>
                <w:sz w:val="18"/>
              </w:rPr>
              <w:t>关于健康、营养和卫生问题的培训课程（千次）</w:t>
            </w:r>
          </w:p>
        </w:tc>
        <w:tc>
          <w:tcPr>
            <w:tcW w:w="1045" w:type="dxa"/>
          </w:tcPr>
          <w:p w:rsidR="00000000" w:rsidRDefault="00457650">
            <w:pPr>
              <w:widowControl/>
              <w:spacing w:before="40" w:after="40" w:line="280" w:lineRule="exact"/>
              <w:jc w:val="right"/>
              <w:rPr>
                <w:rFonts w:hint="eastAsia"/>
                <w:sz w:val="18"/>
              </w:rPr>
            </w:pPr>
          </w:p>
        </w:tc>
        <w:tc>
          <w:tcPr>
            <w:tcW w:w="1045" w:type="dxa"/>
          </w:tcPr>
          <w:p w:rsidR="00000000" w:rsidRDefault="00457650">
            <w:pPr>
              <w:widowControl/>
              <w:spacing w:before="40" w:after="40" w:line="280" w:lineRule="exact"/>
              <w:jc w:val="right"/>
              <w:rPr>
                <w:rFonts w:hint="eastAsia"/>
                <w:sz w:val="18"/>
              </w:rPr>
            </w:pPr>
            <w:r>
              <w:rPr>
                <w:rFonts w:hint="eastAsia"/>
                <w:sz w:val="18"/>
              </w:rPr>
              <w:t>1 637.1</w:t>
            </w:r>
          </w:p>
        </w:tc>
        <w:tc>
          <w:tcPr>
            <w:tcW w:w="1046" w:type="dxa"/>
          </w:tcPr>
          <w:p w:rsidR="00000000" w:rsidRDefault="00457650">
            <w:pPr>
              <w:widowControl/>
              <w:spacing w:before="40" w:after="40" w:line="280" w:lineRule="exact"/>
              <w:jc w:val="right"/>
              <w:rPr>
                <w:rFonts w:hint="eastAsia"/>
                <w:sz w:val="18"/>
              </w:rPr>
            </w:pPr>
            <w:r>
              <w:rPr>
                <w:rFonts w:hint="eastAsia"/>
                <w:sz w:val="18"/>
              </w:rPr>
              <w:t>2 867.5</w:t>
            </w:r>
          </w:p>
        </w:tc>
        <w:tc>
          <w:tcPr>
            <w:tcW w:w="1045" w:type="dxa"/>
          </w:tcPr>
          <w:p w:rsidR="00000000" w:rsidRDefault="00457650">
            <w:pPr>
              <w:widowControl/>
              <w:spacing w:before="40" w:after="40" w:line="280" w:lineRule="exact"/>
              <w:jc w:val="right"/>
              <w:rPr>
                <w:rFonts w:hint="eastAsia"/>
                <w:sz w:val="18"/>
              </w:rPr>
            </w:pPr>
            <w:r>
              <w:rPr>
                <w:rFonts w:hint="eastAsia"/>
                <w:sz w:val="18"/>
              </w:rPr>
              <w:t>2 004.4</w:t>
            </w:r>
          </w:p>
        </w:tc>
        <w:tc>
          <w:tcPr>
            <w:tcW w:w="1046" w:type="dxa"/>
          </w:tcPr>
          <w:p w:rsidR="00000000" w:rsidRDefault="00457650">
            <w:pPr>
              <w:widowControl/>
              <w:spacing w:before="40" w:after="40" w:line="280" w:lineRule="exact"/>
              <w:jc w:val="right"/>
              <w:rPr>
                <w:rFonts w:hint="eastAsia"/>
                <w:sz w:val="18"/>
              </w:rPr>
            </w:pPr>
            <w:r>
              <w:rPr>
                <w:rFonts w:hint="eastAsia"/>
                <w:sz w:val="18"/>
              </w:rPr>
              <w:t>2 088.7</w:t>
            </w:r>
          </w:p>
        </w:tc>
        <w:tc>
          <w:tcPr>
            <w:tcW w:w="1045" w:type="dxa"/>
          </w:tcPr>
          <w:p w:rsidR="00000000" w:rsidRDefault="00457650">
            <w:pPr>
              <w:widowControl/>
              <w:spacing w:before="40" w:after="40" w:line="280" w:lineRule="exact"/>
              <w:jc w:val="right"/>
              <w:rPr>
                <w:rFonts w:hint="eastAsia"/>
                <w:sz w:val="18"/>
              </w:rPr>
            </w:pPr>
            <w:r>
              <w:rPr>
                <w:rFonts w:hint="eastAsia"/>
                <w:sz w:val="18"/>
              </w:rPr>
              <w:t>2 266.9</w:t>
            </w:r>
          </w:p>
        </w:tc>
        <w:tc>
          <w:tcPr>
            <w:tcW w:w="1046" w:type="dxa"/>
          </w:tcPr>
          <w:p w:rsidR="00000000" w:rsidRDefault="00457650">
            <w:pPr>
              <w:widowControl/>
              <w:spacing w:before="40" w:after="40" w:line="280" w:lineRule="exact"/>
              <w:jc w:val="right"/>
              <w:rPr>
                <w:rFonts w:hint="eastAsia"/>
                <w:sz w:val="18"/>
              </w:rPr>
            </w:pPr>
            <w:r>
              <w:rPr>
                <w:rFonts w:hint="eastAsia"/>
                <w:sz w:val="18"/>
              </w:rPr>
              <w:t>2 604.0</w:t>
            </w:r>
          </w:p>
        </w:tc>
      </w:tr>
      <w:tr w:rsidR="00000000">
        <w:tblPrEx>
          <w:tblCellMar>
            <w:top w:w="0" w:type="dxa"/>
            <w:bottom w:w="0" w:type="dxa"/>
          </w:tblCellMar>
        </w:tblPrEx>
        <w:tc>
          <w:tcPr>
            <w:tcW w:w="2640" w:type="dxa"/>
          </w:tcPr>
          <w:p w:rsidR="00000000" w:rsidRDefault="00457650">
            <w:pPr>
              <w:widowControl/>
              <w:tabs>
                <w:tab w:val="left" w:pos="630"/>
              </w:tabs>
              <w:spacing w:before="40" w:after="40" w:line="280" w:lineRule="exact"/>
              <w:rPr>
                <w:rFonts w:eastAsia="KaiTi_GB2312" w:hint="eastAsia"/>
                <w:sz w:val="18"/>
              </w:rPr>
            </w:pPr>
            <w:r>
              <w:rPr>
                <w:rFonts w:eastAsia="KaiTi_GB2312" w:hint="eastAsia"/>
                <w:sz w:val="18"/>
              </w:rPr>
              <w:t>营养</w:t>
            </w:r>
          </w:p>
        </w:tc>
        <w:tc>
          <w:tcPr>
            <w:tcW w:w="1045" w:type="dxa"/>
          </w:tcPr>
          <w:p w:rsidR="00000000" w:rsidRDefault="00457650">
            <w:pPr>
              <w:widowControl/>
              <w:spacing w:before="40" w:after="40" w:line="280" w:lineRule="exact"/>
              <w:jc w:val="right"/>
              <w:rPr>
                <w:rFonts w:eastAsia="KaiTi_GB2312" w:hint="eastAsia"/>
                <w:sz w:val="18"/>
              </w:rPr>
            </w:pPr>
          </w:p>
        </w:tc>
        <w:tc>
          <w:tcPr>
            <w:tcW w:w="1045" w:type="dxa"/>
          </w:tcPr>
          <w:p w:rsidR="00000000" w:rsidRDefault="00457650">
            <w:pPr>
              <w:widowControl/>
              <w:spacing w:before="40" w:after="40" w:line="280" w:lineRule="exact"/>
              <w:jc w:val="right"/>
              <w:rPr>
                <w:rFonts w:eastAsia="KaiTi_GB2312" w:hint="eastAsia"/>
                <w:sz w:val="18"/>
              </w:rPr>
            </w:pPr>
          </w:p>
        </w:tc>
        <w:tc>
          <w:tcPr>
            <w:tcW w:w="1046" w:type="dxa"/>
          </w:tcPr>
          <w:p w:rsidR="00000000" w:rsidRDefault="00457650">
            <w:pPr>
              <w:widowControl/>
              <w:spacing w:before="40" w:after="40" w:line="280" w:lineRule="exact"/>
              <w:jc w:val="right"/>
              <w:rPr>
                <w:rFonts w:eastAsia="KaiTi_GB2312" w:hint="eastAsia"/>
                <w:sz w:val="18"/>
              </w:rPr>
            </w:pPr>
          </w:p>
        </w:tc>
        <w:tc>
          <w:tcPr>
            <w:tcW w:w="1045" w:type="dxa"/>
          </w:tcPr>
          <w:p w:rsidR="00000000" w:rsidRDefault="00457650">
            <w:pPr>
              <w:widowControl/>
              <w:spacing w:before="40" w:after="40" w:line="280" w:lineRule="exact"/>
              <w:jc w:val="right"/>
              <w:rPr>
                <w:rFonts w:eastAsia="KaiTi_GB2312" w:hint="eastAsia"/>
                <w:sz w:val="18"/>
              </w:rPr>
            </w:pPr>
          </w:p>
        </w:tc>
        <w:tc>
          <w:tcPr>
            <w:tcW w:w="1046" w:type="dxa"/>
          </w:tcPr>
          <w:p w:rsidR="00000000" w:rsidRDefault="00457650">
            <w:pPr>
              <w:widowControl/>
              <w:spacing w:before="40" w:after="40" w:line="280" w:lineRule="exact"/>
              <w:jc w:val="right"/>
              <w:rPr>
                <w:rFonts w:eastAsia="KaiTi_GB2312" w:hint="eastAsia"/>
                <w:sz w:val="18"/>
              </w:rPr>
            </w:pPr>
          </w:p>
        </w:tc>
        <w:tc>
          <w:tcPr>
            <w:tcW w:w="1045" w:type="dxa"/>
          </w:tcPr>
          <w:p w:rsidR="00000000" w:rsidRDefault="00457650">
            <w:pPr>
              <w:widowControl/>
              <w:spacing w:before="40" w:after="40" w:line="280" w:lineRule="exact"/>
              <w:jc w:val="right"/>
              <w:rPr>
                <w:rFonts w:eastAsia="KaiTi_GB2312" w:hint="eastAsia"/>
                <w:sz w:val="18"/>
              </w:rPr>
            </w:pPr>
          </w:p>
        </w:tc>
        <w:tc>
          <w:tcPr>
            <w:tcW w:w="1046" w:type="dxa"/>
          </w:tcPr>
          <w:p w:rsidR="00000000" w:rsidRDefault="00457650">
            <w:pPr>
              <w:widowControl/>
              <w:spacing w:before="40" w:after="40" w:line="280" w:lineRule="exact"/>
              <w:jc w:val="right"/>
              <w:rPr>
                <w:rFonts w:eastAsia="KaiTi_GB2312" w:hint="eastAsia"/>
                <w:sz w:val="18"/>
              </w:rPr>
            </w:pP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100" w:left="31680"/>
              <w:rPr>
                <w:rFonts w:hint="eastAsia"/>
                <w:sz w:val="18"/>
              </w:rPr>
            </w:pPr>
            <w:r>
              <w:rPr>
                <w:rFonts w:hint="eastAsia"/>
                <w:sz w:val="18"/>
              </w:rPr>
              <w:t>分发的食物补给（千剂）</w:t>
            </w:r>
          </w:p>
        </w:tc>
        <w:tc>
          <w:tcPr>
            <w:tcW w:w="1045" w:type="dxa"/>
          </w:tcPr>
          <w:p w:rsidR="00000000" w:rsidRDefault="00457650">
            <w:pPr>
              <w:widowControl/>
              <w:spacing w:before="40" w:after="40" w:line="280" w:lineRule="exact"/>
              <w:jc w:val="right"/>
              <w:rPr>
                <w:rFonts w:hint="eastAsia"/>
                <w:sz w:val="18"/>
              </w:rPr>
            </w:pPr>
            <w:r>
              <w:rPr>
                <w:rFonts w:hint="eastAsia"/>
                <w:sz w:val="18"/>
              </w:rPr>
              <w:t>5.0</w:t>
            </w:r>
          </w:p>
        </w:tc>
        <w:tc>
          <w:tcPr>
            <w:tcW w:w="1045" w:type="dxa"/>
          </w:tcPr>
          <w:p w:rsidR="00000000" w:rsidRDefault="00457650">
            <w:pPr>
              <w:widowControl/>
              <w:spacing w:before="40" w:after="40" w:line="280" w:lineRule="exact"/>
              <w:jc w:val="right"/>
              <w:rPr>
                <w:rFonts w:hint="eastAsia"/>
                <w:sz w:val="18"/>
              </w:rPr>
            </w:pPr>
            <w:r>
              <w:rPr>
                <w:rFonts w:hint="eastAsia"/>
                <w:sz w:val="18"/>
              </w:rPr>
              <w:t>254.1</w:t>
            </w:r>
          </w:p>
        </w:tc>
        <w:tc>
          <w:tcPr>
            <w:tcW w:w="1046" w:type="dxa"/>
          </w:tcPr>
          <w:p w:rsidR="00000000" w:rsidRDefault="00457650">
            <w:pPr>
              <w:widowControl/>
              <w:spacing w:before="40" w:after="40" w:line="280" w:lineRule="exact"/>
              <w:jc w:val="right"/>
              <w:rPr>
                <w:rFonts w:hint="eastAsia"/>
                <w:sz w:val="18"/>
              </w:rPr>
            </w:pPr>
            <w:r>
              <w:rPr>
                <w:rFonts w:hint="eastAsia"/>
                <w:sz w:val="18"/>
              </w:rPr>
              <w:t>543.8</w:t>
            </w:r>
          </w:p>
        </w:tc>
        <w:tc>
          <w:tcPr>
            <w:tcW w:w="1045" w:type="dxa"/>
          </w:tcPr>
          <w:p w:rsidR="00000000" w:rsidRDefault="00457650">
            <w:pPr>
              <w:widowControl/>
              <w:spacing w:before="40" w:after="40" w:line="280" w:lineRule="exact"/>
              <w:jc w:val="right"/>
              <w:rPr>
                <w:rFonts w:hint="eastAsia"/>
                <w:sz w:val="18"/>
              </w:rPr>
            </w:pPr>
            <w:r>
              <w:rPr>
                <w:rFonts w:hint="eastAsia"/>
                <w:sz w:val="18"/>
              </w:rPr>
              <w:t>555.7</w:t>
            </w:r>
          </w:p>
        </w:tc>
        <w:tc>
          <w:tcPr>
            <w:tcW w:w="1046" w:type="dxa"/>
          </w:tcPr>
          <w:p w:rsidR="00000000" w:rsidRDefault="00457650">
            <w:pPr>
              <w:widowControl/>
              <w:spacing w:before="40" w:after="40" w:line="280" w:lineRule="exact"/>
              <w:jc w:val="right"/>
              <w:rPr>
                <w:rFonts w:hint="eastAsia"/>
                <w:sz w:val="18"/>
              </w:rPr>
            </w:pPr>
            <w:r>
              <w:rPr>
                <w:rFonts w:hint="eastAsia"/>
                <w:sz w:val="18"/>
              </w:rPr>
              <w:t>665.3</w:t>
            </w:r>
          </w:p>
        </w:tc>
        <w:tc>
          <w:tcPr>
            <w:tcW w:w="1045" w:type="dxa"/>
          </w:tcPr>
          <w:p w:rsidR="00000000" w:rsidRDefault="00457650">
            <w:pPr>
              <w:widowControl/>
              <w:spacing w:before="40" w:after="40" w:line="280" w:lineRule="exact"/>
              <w:jc w:val="right"/>
              <w:rPr>
                <w:rFonts w:hint="eastAsia"/>
                <w:sz w:val="18"/>
              </w:rPr>
            </w:pPr>
            <w:r>
              <w:rPr>
                <w:rFonts w:hint="eastAsia"/>
                <w:sz w:val="18"/>
              </w:rPr>
              <w:t>566.4</w:t>
            </w:r>
          </w:p>
        </w:tc>
        <w:tc>
          <w:tcPr>
            <w:tcW w:w="1046" w:type="dxa"/>
          </w:tcPr>
          <w:p w:rsidR="00000000" w:rsidRDefault="00457650">
            <w:pPr>
              <w:widowControl/>
              <w:spacing w:before="40" w:after="40" w:line="280" w:lineRule="exact"/>
              <w:jc w:val="right"/>
              <w:rPr>
                <w:rFonts w:hint="eastAsia"/>
                <w:sz w:val="18"/>
              </w:rPr>
            </w:pPr>
            <w:r>
              <w:rPr>
                <w:rFonts w:hint="eastAsia"/>
                <w:sz w:val="18"/>
              </w:rPr>
              <w:t>601.4</w:t>
            </w: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200" w:left="31680"/>
              <w:rPr>
                <w:rFonts w:hint="eastAsia"/>
                <w:sz w:val="18"/>
              </w:rPr>
            </w:pPr>
            <w:r>
              <w:rPr>
                <w:rFonts w:hint="eastAsia"/>
                <w:sz w:val="18"/>
              </w:rPr>
              <w:t>－</w:t>
            </w:r>
            <w:r>
              <w:rPr>
                <w:rFonts w:hint="eastAsia"/>
                <w:sz w:val="18"/>
              </w:rPr>
              <w:t xml:space="preserve"> </w:t>
            </w:r>
            <w:r>
              <w:rPr>
                <w:rFonts w:hint="eastAsia"/>
                <w:sz w:val="18"/>
              </w:rPr>
              <w:t>给</w:t>
            </w:r>
            <w:r>
              <w:rPr>
                <w:sz w:val="18"/>
              </w:rPr>
              <w:t>5</w:t>
            </w:r>
            <w:r>
              <w:rPr>
                <w:rFonts w:hint="eastAsia"/>
                <w:sz w:val="18"/>
              </w:rPr>
              <w:t>岁以下的儿童</w:t>
            </w:r>
          </w:p>
        </w:tc>
        <w:tc>
          <w:tcPr>
            <w:tcW w:w="1045" w:type="dxa"/>
          </w:tcPr>
          <w:p w:rsidR="00000000" w:rsidRDefault="00457650">
            <w:pPr>
              <w:widowControl/>
              <w:spacing w:before="40" w:after="40" w:line="280" w:lineRule="exact"/>
              <w:jc w:val="right"/>
              <w:rPr>
                <w:rFonts w:hint="eastAsia"/>
                <w:sz w:val="18"/>
              </w:rPr>
            </w:pPr>
            <w:r>
              <w:rPr>
                <w:rFonts w:hint="eastAsia"/>
                <w:sz w:val="18"/>
              </w:rPr>
              <w:t>2.7</w:t>
            </w:r>
          </w:p>
        </w:tc>
        <w:tc>
          <w:tcPr>
            <w:tcW w:w="1045" w:type="dxa"/>
          </w:tcPr>
          <w:p w:rsidR="00000000" w:rsidRDefault="00457650">
            <w:pPr>
              <w:widowControl/>
              <w:spacing w:before="40" w:after="40" w:line="280" w:lineRule="exact"/>
              <w:jc w:val="right"/>
              <w:rPr>
                <w:rFonts w:hint="eastAsia"/>
                <w:sz w:val="18"/>
              </w:rPr>
            </w:pPr>
            <w:r>
              <w:rPr>
                <w:rFonts w:hint="eastAsia"/>
                <w:sz w:val="18"/>
              </w:rPr>
              <w:t>153.1</w:t>
            </w:r>
          </w:p>
        </w:tc>
        <w:tc>
          <w:tcPr>
            <w:tcW w:w="1046" w:type="dxa"/>
          </w:tcPr>
          <w:p w:rsidR="00000000" w:rsidRDefault="00457650">
            <w:pPr>
              <w:widowControl/>
              <w:spacing w:before="40" w:after="40" w:line="280" w:lineRule="exact"/>
              <w:jc w:val="right"/>
              <w:rPr>
                <w:rFonts w:hint="eastAsia"/>
                <w:sz w:val="18"/>
              </w:rPr>
            </w:pPr>
            <w:r>
              <w:rPr>
                <w:rFonts w:hint="eastAsia"/>
                <w:sz w:val="18"/>
              </w:rPr>
              <w:t>372.8</w:t>
            </w:r>
          </w:p>
        </w:tc>
        <w:tc>
          <w:tcPr>
            <w:tcW w:w="1045" w:type="dxa"/>
          </w:tcPr>
          <w:p w:rsidR="00000000" w:rsidRDefault="00457650">
            <w:pPr>
              <w:widowControl/>
              <w:spacing w:before="40" w:after="40" w:line="280" w:lineRule="exact"/>
              <w:jc w:val="right"/>
              <w:rPr>
                <w:rFonts w:hint="eastAsia"/>
                <w:sz w:val="18"/>
              </w:rPr>
            </w:pPr>
            <w:r>
              <w:rPr>
                <w:rFonts w:hint="eastAsia"/>
                <w:sz w:val="18"/>
              </w:rPr>
              <w:t>386.7</w:t>
            </w:r>
          </w:p>
        </w:tc>
        <w:tc>
          <w:tcPr>
            <w:tcW w:w="1046" w:type="dxa"/>
          </w:tcPr>
          <w:p w:rsidR="00000000" w:rsidRDefault="00457650">
            <w:pPr>
              <w:widowControl/>
              <w:spacing w:before="40" w:after="40" w:line="280" w:lineRule="exact"/>
              <w:jc w:val="right"/>
              <w:rPr>
                <w:rFonts w:hint="eastAsia"/>
                <w:sz w:val="18"/>
              </w:rPr>
            </w:pPr>
            <w:r>
              <w:rPr>
                <w:rFonts w:hint="eastAsia"/>
                <w:sz w:val="18"/>
              </w:rPr>
              <w:t>494.5</w:t>
            </w:r>
          </w:p>
        </w:tc>
        <w:tc>
          <w:tcPr>
            <w:tcW w:w="1045" w:type="dxa"/>
          </w:tcPr>
          <w:p w:rsidR="00000000" w:rsidRDefault="00457650">
            <w:pPr>
              <w:widowControl/>
              <w:spacing w:before="40" w:after="40" w:line="280" w:lineRule="exact"/>
              <w:jc w:val="right"/>
              <w:rPr>
                <w:rFonts w:hint="eastAsia"/>
                <w:sz w:val="18"/>
              </w:rPr>
            </w:pPr>
            <w:r>
              <w:rPr>
                <w:rFonts w:hint="eastAsia"/>
                <w:sz w:val="18"/>
              </w:rPr>
              <w:t>4 106</w:t>
            </w:r>
          </w:p>
        </w:tc>
        <w:tc>
          <w:tcPr>
            <w:tcW w:w="1046" w:type="dxa"/>
          </w:tcPr>
          <w:p w:rsidR="00000000" w:rsidRDefault="00457650">
            <w:pPr>
              <w:widowControl/>
              <w:spacing w:before="40" w:after="40" w:line="280" w:lineRule="exact"/>
              <w:jc w:val="right"/>
              <w:rPr>
                <w:rFonts w:hint="eastAsia"/>
                <w:sz w:val="18"/>
              </w:rPr>
            </w:pPr>
            <w:r>
              <w:rPr>
                <w:rFonts w:hint="eastAsia"/>
                <w:sz w:val="18"/>
              </w:rPr>
              <w:t>436.6</w:t>
            </w: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200" w:left="31680"/>
              <w:rPr>
                <w:rFonts w:hint="eastAsia"/>
                <w:sz w:val="18"/>
              </w:rPr>
            </w:pPr>
            <w:r>
              <w:rPr>
                <w:rFonts w:hint="eastAsia"/>
                <w:sz w:val="18"/>
              </w:rPr>
              <w:t>－</w:t>
            </w:r>
            <w:r>
              <w:rPr>
                <w:rFonts w:hint="eastAsia"/>
                <w:sz w:val="18"/>
              </w:rPr>
              <w:t xml:space="preserve"> </w:t>
            </w:r>
            <w:r>
              <w:rPr>
                <w:rFonts w:hint="eastAsia"/>
                <w:sz w:val="18"/>
              </w:rPr>
              <w:t>给怀孕和哺乳的妇女</w:t>
            </w:r>
          </w:p>
        </w:tc>
        <w:tc>
          <w:tcPr>
            <w:tcW w:w="1045" w:type="dxa"/>
          </w:tcPr>
          <w:p w:rsidR="00000000" w:rsidRDefault="00457650">
            <w:pPr>
              <w:widowControl/>
              <w:spacing w:before="40" w:after="40" w:line="280" w:lineRule="exact"/>
              <w:jc w:val="right"/>
              <w:rPr>
                <w:rFonts w:hint="eastAsia"/>
                <w:sz w:val="18"/>
              </w:rPr>
            </w:pPr>
            <w:r>
              <w:rPr>
                <w:rFonts w:hint="eastAsia"/>
                <w:sz w:val="18"/>
              </w:rPr>
              <w:t>2.3</w:t>
            </w:r>
          </w:p>
        </w:tc>
        <w:tc>
          <w:tcPr>
            <w:tcW w:w="1045" w:type="dxa"/>
          </w:tcPr>
          <w:p w:rsidR="00000000" w:rsidRDefault="00457650">
            <w:pPr>
              <w:widowControl/>
              <w:spacing w:before="40" w:after="40" w:line="280" w:lineRule="exact"/>
              <w:jc w:val="right"/>
              <w:rPr>
                <w:rFonts w:hint="eastAsia"/>
                <w:sz w:val="18"/>
              </w:rPr>
            </w:pPr>
            <w:r>
              <w:rPr>
                <w:rFonts w:hint="eastAsia"/>
                <w:sz w:val="18"/>
              </w:rPr>
              <w:t>101.0</w:t>
            </w:r>
          </w:p>
        </w:tc>
        <w:tc>
          <w:tcPr>
            <w:tcW w:w="1046" w:type="dxa"/>
          </w:tcPr>
          <w:p w:rsidR="00000000" w:rsidRDefault="00457650">
            <w:pPr>
              <w:widowControl/>
              <w:spacing w:before="40" w:after="40" w:line="280" w:lineRule="exact"/>
              <w:jc w:val="right"/>
              <w:rPr>
                <w:rFonts w:hint="eastAsia"/>
                <w:sz w:val="18"/>
              </w:rPr>
            </w:pPr>
            <w:r>
              <w:rPr>
                <w:rFonts w:hint="eastAsia"/>
                <w:sz w:val="18"/>
              </w:rPr>
              <w:t>171.0</w:t>
            </w:r>
          </w:p>
        </w:tc>
        <w:tc>
          <w:tcPr>
            <w:tcW w:w="1045" w:type="dxa"/>
          </w:tcPr>
          <w:p w:rsidR="00000000" w:rsidRDefault="00457650">
            <w:pPr>
              <w:widowControl/>
              <w:spacing w:before="40" w:after="40" w:line="280" w:lineRule="exact"/>
              <w:jc w:val="right"/>
              <w:rPr>
                <w:rFonts w:hint="eastAsia"/>
                <w:sz w:val="18"/>
              </w:rPr>
            </w:pPr>
            <w:r>
              <w:rPr>
                <w:rFonts w:hint="eastAsia"/>
                <w:sz w:val="18"/>
              </w:rPr>
              <w:t>169.0</w:t>
            </w:r>
          </w:p>
        </w:tc>
        <w:tc>
          <w:tcPr>
            <w:tcW w:w="1046" w:type="dxa"/>
          </w:tcPr>
          <w:p w:rsidR="00000000" w:rsidRDefault="00457650">
            <w:pPr>
              <w:widowControl/>
              <w:spacing w:before="40" w:after="40" w:line="280" w:lineRule="exact"/>
              <w:jc w:val="right"/>
              <w:rPr>
                <w:rFonts w:hint="eastAsia"/>
                <w:sz w:val="18"/>
              </w:rPr>
            </w:pPr>
            <w:r>
              <w:rPr>
                <w:rFonts w:hint="eastAsia"/>
                <w:sz w:val="18"/>
              </w:rPr>
              <w:t>170.8</w:t>
            </w:r>
          </w:p>
        </w:tc>
        <w:tc>
          <w:tcPr>
            <w:tcW w:w="1045" w:type="dxa"/>
          </w:tcPr>
          <w:p w:rsidR="00000000" w:rsidRDefault="00457650">
            <w:pPr>
              <w:widowControl/>
              <w:spacing w:before="40" w:after="40" w:line="280" w:lineRule="exact"/>
              <w:jc w:val="right"/>
              <w:rPr>
                <w:rFonts w:hint="eastAsia"/>
                <w:sz w:val="18"/>
              </w:rPr>
            </w:pPr>
            <w:r>
              <w:rPr>
                <w:rFonts w:hint="eastAsia"/>
                <w:sz w:val="18"/>
              </w:rPr>
              <w:t>155.8</w:t>
            </w:r>
          </w:p>
        </w:tc>
        <w:tc>
          <w:tcPr>
            <w:tcW w:w="1046" w:type="dxa"/>
          </w:tcPr>
          <w:p w:rsidR="00000000" w:rsidRDefault="00457650">
            <w:pPr>
              <w:widowControl/>
              <w:spacing w:before="40" w:after="40" w:line="280" w:lineRule="exact"/>
              <w:jc w:val="right"/>
              <w:rPr>
                <w:rFonts w:hint="eastAsia"/>
                <w:sz w:val="18"/>
              </w:rPr>
            </w:pPr>
            <w:r>
              <w:rPr>
                <w:rFonts w:hint="eastAsia"/>
                <w:sz w:val="18"/>
              </w:rPr>
              <w:t>164.8</w:t>
            </w: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100" w:left="31680"/>
              <w:rPr>
                <w:rFonts w:hint="eastAsia"/>
                <w:sz w:val="18"/>
              </w:rPr>
            </w:pPr>
            <w:r>
              <w:rPr>
                <w:rFonts w:hint="eastAsia"/>
                <w:sz w:val="18"/>
              </w:rPr>
              <w:t>登记的</w:t>
            </w:r>
            <w:r>
              <w:rPr>
                <w:sz w:val="18"/>
              </w:rPr>
              <w:t>5</w:t>
            </w:r>
            <w:r>
              <w:rPr>
                <w:rFonts w:hint="eastAsia"/>
                <w:sz w:val="18"/>
              </w:rPr>
              <w:t>岁以下儿童</w:t>
            </w:r>
          </w:p>
        </w:tc>
        <w:tc>
          <w:tcPr>
            <w:tcW w:w="1045" w:type="dxa"/>
          </w:tcPr>
          <w:p w:rsidR="00000000" w:rsidRDefault="00457650">
            <w:pPr>
              <w:widowControl/>
              <w:spacing w:before="40" w:after="40" w:line="280" w:lineRule="exact"/>
              <w:jc w:val="right"/>
              <w:rPr>
                <w:rFonts w:hint="eastAsia"/>
                <w:sz w:val="18"/>
              </w:rPr>
            </w:pPr>
          </w:p>
        </w:tc>
        <w:tc>
          <w:tcPr>
            <w:tcW w:w="1045" w:type="dxa"/>
          </w:tcPr>
          <w:p w:rsidR="00000000" w:rsidRDefault="00457650">
            <w:pPr>
              <w:widowControl/>
              <w:spacing w:before="40" w:after="40" w:line="280" w:lineRule="exact"/>
              <w:jc w:val="right"/>
              <w:rPr>
                <w:rFonts w:hint="eastAsia"/>
                <w:sz w:val="18"/>
              </w:rPr>
            </w:pPr>
          </w:p>
        </w:tc>
        <w:tc>
          <w:tcPr>
            <w:tcW w:w="1046" w:type="dxa"/>
          </w:tcPr>
          <w:p w:rsidR="00000000" w:rsidRDefault="00457650">
            <w:pPr>
              <w:widowControl/>
              <w:spacing w:before="40" w:after="40" w:line="280" w:lineRule="exact"/>
              <w:jc w:val="right"/>
              <w:rPr>
                <w:rFonts w:hint="eastAsia"/>
                <w:sz w:val="18"/>
              </w:rPr>
            </w:pPr>
          </w:p>
        </w:tc>
        <w:tc>
          <w:tcPr>
            <w:tcW w:w="1045" w:type="dxa"/>
          </w:tcPr>
          <w:p w:rsidR="00000000" w:rsidRDefault="00457650">
            <w:pPr>
              <w:widowControl/>
              <w:spacing w:before="40" w:after="40" w:line="280" w:lineRule="exact"/>
              <w:jc w:val="right"/>
              <w:rPr>
                <w:rFonts w:hint="eastAsia"/>
                <w:sz w:val="18"/>
              </w:rPr>
            </w:pPr>
            <w:r>
              <w:rPr>
                <w:rFonts w:hint="eastAsia"/>
                <w:sz w:val="18"/>
              </w:rPr>
              <w:t>1 468.4</w:t>
            </w:r>
          </w:p>
        </w:tc>
        <w:tc>
          <w:tcPr>
            <w:tcW w:w="1046" w:type="dxa"/>
          </w:tcPr>
          <w:p w:rsidR="00000000" w:rsidRDefault="00457650">
            <w:pPr>
              <w:widowControl/>
              <w:spacing w:before="40" w:after="40" w:line="280" w:lineRule="exact"/>
              <w:jc w:val="right"/>
              <w:rPr>
                <w:rFonts w:hint="eastAsia"/>
                <w:sz w:val="18"/>
              </w:rPr>
            </w:pPr>
            <w:r>
              <w:rPr>
                <w:rFonts w:hint="eastAsia"/>
                <w:sz w:val="18"/>
              </w:rPr>
              <w:t>1 656.8</w:t>
            </w:r>
          </w:p>
        </w:tc>
        <w:tc>
          <w:tcPr>
            <w:tcW w:w="1045" w:type="dxa"/>
          </w:tcPr>
          <w:p w:rsidR="00000000" w:rsidRDefault="00457650">
            <w:pPr>
              <w:widowControl/>
              <w:spacing w:before="40" w:after="40" w:line="280" w:lineRule="exact"/>
              <w:jc w:val="right"/>
              <w:rPr>
                <w:rFonts w:hint="eastAsia"/>
                <w:sz w:val="18"/>
              </w:rPr>
            </w:pPr>
            <w:r>
              <w:rPr>
                <w:rFonts w:hint="eastAsia"/>
                <w:sz w:val="18"/>
              </w:rPr>
              <w:t>2 008.5</w:t>
            </w:r>
          </w:p>
        </w:tc>
        <w:tc>
          <w:tcPr>
            <w:tcW w:w="1046" w:type="dxa"/>
          </w:tcPr>
          <w:p w:rsidR="00000000" w:rsidRDefault="00457650">
            <w:pPr>
              <w:widowControl/>
              <w:spacing w:before="40" w:after="40" w:line="280" w:lineRule="exact"/>
              <w:jc w:val="right"/>
              <w:rPr>
                <w:rFonts w:hint="eastAsia"/>
                <w:sz w:val="18"/>
              </w:rPr>
            </w:pPr>
            <w:r>
              <w:rPr>
                <w:rFonts w:hint="eastAsia"/>
                <w:sz w:val="18"/>
              </w:rPr>
              <w:t>2 078.8</w:t>
            </w: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200" w:left="31680"/>
              <w:rPr>
                <w:rFonts w:hint="eastAsia"/>
                <w:sz w:val="18"/>
              </w:rPr>
            </w:pPr>
            <w:r>
              <w:rPr>
                <w:rFonts w:hint="eastAsia"/>
                <w:sz w:val="18"/>
              </w:rPr>
              <w:t>－</w:t>
            </w:r>
            <w:r>
              <w:rPr>
                <w:rFonts w:hint="eastAsia"/>
                <w:sz w:val="18"/>
              </w:rPr>
              <w:t xml:space="preserve"> </w:t>
            </w:r>
            <w:r>
              <w:rPr>
                <w:rFonts w:hint="eastAsia"/>
                <w:sz w:val="18"/>
              </w:rPr>
              <w:t>因营养不良受到看护</w:t>
            </w:r>
          </w:p>
        </w:tc>
        <w:tc>
          <w:tcPr>
            <w:tcW w:w="1045" w:type="dxa"/>
          </w:tcPr>
          <w:p w:rsidR="00000000" w:rsidRDefault="00457650">
            <w:pPr>
              <w:widowControl/>
              <w:spacing w:before="40" w:after="40" w:line="280" w:lineRule="exact"/>
              <w:jc w:val="right"/>
              <w:rPr>
                <w:rFonts w:hint="eastAsia"/>
                <w:sz w:val="18"/>
              </w:rPr>
            </w:pPr>
          </w:p>
        </w:tc>
        <w:tc>
          <w:tcPr>
            <w:tcW w:w="1045" w:type="dxa"/>
          </w:tcPr>
          <w:p w:rsidR="00000000" w:rsidRDefault="00457650">
            <w:pPr>
              <w:widowControl/>
              <w:spacing w:before="40" w:after="40" w:line="280" w:lineRule="exact"/>
              <w:jc w:val="right"/>
              <w:rPr>
                <w:rFonts w:hint="eastAsia"/>
                <w:sz w:val="18"/>
              </w:rPr>
            </w:pPr>
          </w:p>
        </w:tc>
        <w:tc>
          <w:tcPr>
            <w:tcW w:w="1046" w:type="dxa"/>
          </w:tcPr>
          <w:p w:rsidR="00000000" w:rsidRDefault="00457650">
            <w:pPr>
              <w:widowControl/>
              <w:spacing w:before="40" w:after="40" w:line="280" w:lineRule="exact"/>
              <w:jc w:val="right"/>
              <w:rPr>
                <w:rFonts w:hint="eastAsia"/>
                <w:sz w:val="18"/>
              </w:rPr>
            </w:pPr>
          </w:p>
        </w:tc>
        <w:tc>
          <w:tcPr>
            <w:tcW w:w="1045" w:type="dxa"/>
          </w:tcPr>
          <w:p w:rsidR="00000000" w:rsidRDefault="00457650">
            <w:pPr>
              <w:widowControl/>
              <w:spacing w:before="40" w:after="40" w:line="280" w:lineRule="exact"/>
              <w:jc w:val="right"/>
              <w:rPr>
                <w:rFonts w:hint="eastAsia"/>
                <w:sz w:val="18"/>
              </w:rPr>
            </w:pPr>
            <w:r>
              <w:rPr>
                <w:rFonts w:hint="eastAsia"/>
                <w:sz w:val="18"/>
              </w:rPr>
              <w:t>1 274.3</w:t>
            </w:r>
          </w:p>
        </w:tc>
        <w:tc>
          <w:tcPr>
            <w:tcW w:w="1046" w:type="dxa"/>
          </w:tcPr>
          <w:p w:rsidR="00000000" w:rsidRDefault="00457650">
            <w:pPr>
              <w:widowControl/>
              <w:spacing w:before="40" w:after="40" w:line="280" w:lineRule="exact"/>
              <w:jc w:val="right"/>
              <w:rPr>
                <w:rFonts w:hint="eastAsia"/>
                <w:sz w:val="18"/>
              </w:rPr>
            </w:pPr>
            <w:r>
              <w:rPr>
                <w:rFonts w:hint="eastAsia"/>
                <w:sz w:val="18"/>
              </w:rPr>
              <w:t>1 525.7</w:t>
            </w:r>
          </w:p>
        </w:tc>
        <w:tc>
          <w:tcPr>
            <w:tcW w:w="1045" w:type="dxa"/>
          </w:tcPr>
          <w:p w:rsidR="00000000" w:rsidRDefault="00457650">
            <w:pPr>
              <w:widowControl/>
              <w:spacing w:before="40" w:after="40" w:line="280" w:lineRule="exact"/>
              <w:jc w:val="right"/>
              <w:rPr>
                <w:rFonts w:hint="eastAsia"/>
                <w:sz w:val="18"/>
              </w:rPr>
            </w:pPr>
            <w:r>
              <w:rPr>
                <w:rFonts w:hint="eastAsia"/>
                <w:sz w:val="18"/>
              </w:rPr>
              <w:t>1 910.2</w:t>
            </w:r>
          </w:p>
        </w:tc>
        <w:tc>
          <w:tcPr>
            <w:tcW w:w="1046" w:type="dxa"/>
          </w:tcPr>
          <w:p w:rsidR="00000000" w:rsidRDefault="00457650">
            <w:pPr>
              <w:widowControl/>
              <w:spacing w:before="40" w:after="40" w:line="280" w:lineRule="exact"/>
              <w:jc w:val="right"/>
              <w:rPr>
                <w:rFonts w:hint="eastAsia"/>
                <w:sz w:val="18"/>
              </w:rPr>
            </w:pPr>
            <w:r>
              <w:rPr>
                <w:rFonts w:hint="eastAsia"/>
                <w:sz w:val="18"/>
              </w:rPr>
              <w:t>1 976.6</w:t>
            </w: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200" w:left="31680"/>
              <w:rPr>
                <w:rFonts w:hint="eastAsia"/>
                <w:sz w:val="18"/>
              </w:rPr>
            </w:pPr>
            <w:r>
              <w:rPr>
                <w:rFonts w:hint="eastAsia"/>
                <w:sz w:val="18"/>
              </w:rPr>
              <w:t>－</w:t>
            </w:r>
            <w:r>
              <w:rPr>
                <w:rFonts w:hint="eastAsia"/>
                <w:sz w:val="18"/>
              </w:rPr>
              <w:t xml:space="preserve"> </w:t>
            </w:r>
            <w:r>
              <w:rPr>
                <w:rFonts w:hint="eastAsia"/>
                <w:sz w:val="18"/>
              </w:rPr>
              <w:t>营养不良</w:t>
            </w:r>
          </w:p>
        </w:tc>
        <w:tc>
          <w:tcPr>
            <w:tcW w:w="1045" w:type="dxa"/>
          </w:tcPr>
          <w:p w:rsidR="00000000" w:rsidRDefault="00457650">
            <w:pPr>
              <w:widowControl/>
              <w:spacing w:before="40" w:after="40" w:line="280" w:lineRule="exact"/>
              <w:jc w:val="right"/>
              <w:rPr>
                <w:rFonts w:hint="eastAsia"/>
                <w:sz w:val="18"/>
              </w:rPr>
            </w:pPr>
          </w:p>
        </w:tc>
        <w:tc>
          <w:tcPr>
            <w:tcW w:w="1045" w:type="dxa"/>
          </w:tcPr>
          <w:p w:rsidR="00000000" w:rsidRDefault="00457650">
            <w:pPr>
              <w:widowControl/>
              <w:spacing w:before="40" w:after="40" w:line="280" w:lineRule="exact"/>
              <w:jc w:val="right"/>
              <w:rPr>
                <w:rFonts w:hint="eastAsia"/>
                <w:sz w:val="18"/>
              </w:rPr>
            </w:pPr>
          </w:p>
        </w:tc>
        <w:tc>
          <w:tcPr>
            <w:tcW w:w="1046" w:type="dxa"/>
          </w:tcPr>
          <w:p w:rsidR="00000000" w:rsidRDefault="00457650">
            <w:pPr>
              <w:widowControl/>
              <w:spacing w:before="40" w:after="40" w:line="280" w:lineRule="exact"/>
              <w:jc w:val="right"/>
              <w:rPr>
                <w:rFonts w:hint="eastAsia"/>
                <w:sz w:val="18"/>
              </w:rPr>
            </w:pPr>
          </w:p>
        </w:tc>
        <w:tc>
          <w:tcPr>
            <w:tcW w:w="1045" w:type="dxa"/>
          </w:tcPr>
          <w:p w:rsidR="00000000" w:rsidRDefault="00457650">
            <w:pPr>
              <w:widowControl/>
              <w:spacing w:before="40" w:after="40" w:line="280" w:lineRule="exact"/>
              <w:jc w:val="right"/>
              <w:rPr>
                <w:rFonts w:hint="eastAsia"/>
                <w:sz w:val="18"/>
              </w:rPr>
            </w:pPr>
            <w:r>
              <w:rPr>
                <w:rFonts w:hint="eastAsia"/>
                <w:sz w:val="18"/>
              </w:rPr>
              <w:t>318.3</w:t>
            </w:r>
          </w:p>
        </w:tc>
        <w:tc>
          <w:tcPr>
            <w:tcW w:w="1046" w:type="dxa"/>
          </w:tcPr>
          <w:p w:rsidR="00000000" w:rsidRDefault="00457650">
            <w:pPr>
              <w:widowControl/>
              <w:spacing w:before="40" w:after="40" w:line="280" w:lineRule="exact"/>
              <w:jc w:val="right"/>
              <w:rPr>
                <w:rFonts w:hint="eastAsia"/>
                <w:sz w:val="18"/>
              </w:rPr>
            </w:pPr>
            <w:r>
              <w:rPr>
                <w:rFonts w:hint="eastAsia"/>
                <w:sz w:val="18"/>
              </w:rPr>
              <w:t>333.0</w:t>
            </w:r>
          </w:p>
        </w:tc>
        <w:tc>
          <w:tcPr>
            <w:tcW w:w="1045" w:type="dxa"/>
          </w:tcPr>
          <w:p w:rsidR="00000000" w:rsidRDefault="00457650">
            <w:pPr>
              <w:widowControl/>
              <w:spacing w:before="40" w:after="40" w:line="280" w:lineRule="exact"/>
              <w:jc w:val="right"/>
              <w:rPr>
                <w:rFonts w:hint="eastAsia"/>
                <w:sz w:val="18"/>
              </w:rPr>
            </w:pPr>
            <w:r>
              <w:rPr>
                <w:rFonts w:hint="eastAsia"/>
                <w:sz w:val="18"/>
              </w:rPr>
              <w:t>404.2</w:t>
            </w:r>
          </w:p>
        </w:tc>
        <w:tc>
          <w:tcPr>
            <w:tcW w:w="1046" w:type="dxa"/>
          </w:tcPr>
          <w:p w:rsidR="00000000" w:rsidRDefault="00457650">
            <w:pPr>
              <w:widowControl/>
              <w:spacing w:before="40" w:after="40" w:line="280" w:lineRule="exact"/>
              <w:jc w:val="right"/>
              <w:rPr>
                <w:rFonts w:hint="eastAsia"/>
                <w:sz w:val="18"/>
              </w:rPr>
            </w:pPr>
            <w:r>
              <w:rPr>
                <w:rFonts w:hint="eastAsia"/>
                <w:sz w:val="18"/>
              </w:rPr>
              <w:t>416.0</w:t>
            </w: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100" w:left="31680"/>
              <w:rPr>
                <w:rFonts w:hint="eastAsia"/>
                <w:sz w:val="18"/>
              </w:rPr>
            </w:pPr>
            <w:r>
              <w:rPr>
                <w:rFonts w:hint="eastAsia"/>
                <w:sz w:val="18"/>
              </w:rPr>
              <w:t>登记的怀孕和哺乳妇女</w:t>
            </w:r>
          </w:p>
        </w:tc>
        <w:tc>
          <w:tcPr>
            <w:tcW w:w="1045" w:type="dxa"/>
          </w:tcPr>
          <w:p w:rsidR="00000000" w:rsidRDefault="00457650">
            <w:pPr>
              <w:widowControl/>
              <w:spacing w:before="40" w:after="40" w:line="280" w:lineRule="exact"/>
              <w:jc w:val="right"/>
              <w:rPr>
                <w:rFonts w:hint="eastAsia"/>
                <w:sz w:val="18"/>
              </w:rPr>
            </w:pPr>
          </w:p>
        </w:tc>
        <w:tc>
          <w:tcPr>
            <w:tcW w:w="1045" w:type="dxa"/>
          </w:tcPr>
          <w:p w:rsidR="00000000" w:rsidRDefault="00457650">
            <w:pPr>
              <w:widowControl/>
              <w:spacing w:before="40" w:after="40" w:line="280" w:lineRule="exact"/>
              <w:jc w:val="right"/>
              <w:rPr>
                <w:rFonts w:hint="eastAsia"/>
                <w:sz w:val="18"/>
              </w:rPr>
            </w:pPr>
          </w:p>
        </w:tc>
        <w:tc>
          <w:tcPr>
            <w:tcW w:w="1046" w:type="dxa"/>
          </w:tcPr>
          <w:p w:rsidR="00000000" w:rsidRDefault="00457650">
            <w:pPr>
              <w:widowControl/>
              <w:spacing w:before="40" w:after="40" w:line="280" w:lineRule="exact"/>
              <w:jc w:val="right"/>
              <w:rPr>
                <w:rFonts w:hint="eastAsia"/>
                <w:sz w:val="18"/>
              </w:rPr>
            </w:pPr>
          </w:p>
        </w:tc>
        <w:tc>
          <w:tcPr>
            <w:tcW w:w="1045" w:type="dxa"/>
          </w:tcPr>
          <w:p w:rsidR="00000000" w:rsidRDefault="00457650">
            <w:pPr>
              <w:widowControl/>
              <w:spacing w:before="40" w:after="40" w:line="280" w:lineRule="exact"/>
              <w:jc w:val="right"/>
              <w:rPr>
                <w:rFonts w:hint="eastAsia"/>
                <w:sz w:val="18"/>
              </w:rPr>
            </w:pPr>
            <w:r>
              <w:rPr>
                <w:rFonts w:hint="eastAsia"/>
                <w:sz w:val="18"/>
              </w:rPr>
              <w:t>304.4</w:t>
            </w:r>
          </w:p>
        </w:tc>
        <w:tc>
          <w:tcPr>
            <w:tcW w:w="1046" w:type="dxa"/>
          </w:tcPr>
          <w:p w:rsidR="00000000" w:rsidRDefault="00457650">
            <w:pPr>
              <w:widowControl/>
              <w:spacing w:before="40" w:after="40" w:line="280" w:lineRule="exact"/>
              <w:jc w:val="right"/>
              <w:rPr>
                <w:rFonts w:hint="eastAsia"/>
                <w:sz w:val="18"/>
              </w:rPr>
            </w:pPr>
            <w:r>
              <w:rPr>
                <w:rFonts w:hint="eastAsia"/>
                <w:sz w:val="18"/>
              </w:rPr>
              <w:t>317.9</w:t>
            </w:r>
          </w:p>
        </w:tc>
        <w:tc>
          <w:tcPr>
            <w:tcW w:w="1045" w:type="dxa"/>
          </w:tcPr>
          <w:p w:rsidR="00000000" w:rsidRDefault="00457650">
            <w:pPr>
              <w:widowControl/>
              <w:spacing w:before="40" w:after="40" w:line="280" w:lineRule="exact"/>
              <w:jc w:val="right"/>
              <w:rPr>
                <w:rFonts w:hint="eastAsia"/>
                <w:sz w:val="18"/>
              </w:rPr>
            </w:pPr>
            <w:r>
              <w:rPr>
                <w:rFonts w:hint="eastAsia"/>
                <w:sz w:val="18"/>
              </w:rPr>
              <w:t>358.9</w:t>
            </w:r>
          </w:p>
        </w:tc>
        <w:tc>
          <w:tcPr>
            <w:tcW w:w="1046" w:type="dxa"/>
          </w:tcPr>
          <w:p w:rsidR="00000000" w:rsidRDefault="00457650">
            <w:pPr>
              <w:widowControl/>
              <w:spacing w:before="40" w:after="40" w:line="280" w:lineRule="exact"/>
              <w:jc w:val="right"/>
              <w:rPr>
                <w:rFonts w:hint="eastAsia"/>
                <w:sz w:val="18"/>
              </w:rPr>
            </w:pPr>
            <w:r>
              <w:rPr>
                <w:rFonts w:hint="eastAsia"/>
                <w:sz w:val="18"/>
              </w:rPr>
              <w:t>362.8</w:t>
            </w:r>
          </w:p>
        </w:tc>
      </w:tr>
      <w:tr w:rsidR="00000000">
        <w:tblPrEx>
          <w:tblCellMar>
            <w:top w:w="0" w:type="dxa"/>
            <w:bottom w:w="0" w:type="dxa"/>
          </w:tblCellMar>
        </w:tblPrEx>
        <w:tc>
          <w:tcPr>
            <w:tcW w:w="2640" w:type="dxa"/>
          </w:tcPr>
          <w:p w:rsidR="00000000" w:rsidRDefault="00457650" w:rsidP="00457650">
            <w:pPr>
              <w:widowControl/>
              <w:tabs>
                <w:tab w:val="left" w:pos="630"/>
              </w:tabs>
              <w:spacing w:before="40" w:after="40" w:line="280" w:lineRule="exact"/>
              <w:ind w:leftChars="100" w:left="31680"/>
              <w:rPr>
                <w:rFonts w:hint="eastAsia"/>
                <w:sz w:val="18"/>
              </w:rPr>
            </w:pPr>
            <w:r>
              <w:rPr>
                <w:rFonts w:hint="eastAsia"/>
                <w:sz w:val="18"/>
              </w:rPr>
              <w:t>受到看护</w:t>
            </w:r>
          </w:p>
        </w:tc>
        <w:tc>
          <w:tcPr>
            <w:tcW w:w="1045" w:type="dxa"/>
          </w:tcPr>
          <w:p w:rsidR="00000000" w:rsidRDefault="00457650">
            <w:pPr>
              <w:widowControl/>
              <w:spacing w:before="40" w:after="40" w:line="280" w:lineRule="exact"/>
              <w:jc w:val="right"/>
              <w:rPr>
                <w:rFonts w:hint="eastAsia"/>
                <w:sz w:val="18"/>
              </w:rPr>
            </w:pPr>
          </w:p>
        </w:tc>
        <w:tc>
          <w:tcPr>
            <w:tcW w:w="1045" w:type="dxa"/>
          </w:tcPr>
          <w:p w:rsidR="00000000" w:rsidRDefault="00457650">
            <w:pPr>
              <w:widowControl/>
              <w:spacing w:before="40" w:after="40" w:line="280" w:lineRule="exact"/>
              <w:jc w:val="right"/>
              <w:rPr>
                <w:rFonts w:hint="eastAsia"/>
                <w:sz w:val="18"/>
              </w:rPr>
            </w:pPr>
          </w:p>
        </w:tc>
        <w:tc>
          <w:tcPr>
            <w:tcW w:w="1046" w:type="dxa"/>
          </w:tcPr>
          <w:p w:rsidR="00000000" w:rsidRDefault="00457650">
            <w:pPr>
              <w:widowControl/>
              <w:spacing w:before="40" w:after="40" w:line="280" w:lineRule="exact"/>
              <w:jc w:val="right"/>
              <w:rPr>
                <w:rFonts w:hint="eastAsia"/>
                <w:sz w:val="18"/>
              </w:rPr>
            </w:pPr>
          </w:p>
        </w:tc>
        <w:tc>
          <w:tcPr>
            <w:tcW w:w="1045" w:type="dxa"/>
          </w:tcPr>
          <w:p w:rsidR="00000000" w:rsidRDefault="00457650">
            <w:pPr>
              <w:widowControl/>
              <w:spacing w:before="40" w:after="40" w:line="280" w:lineRule="exact"/>
              <w:jc w:val="right"/>
              <w:rPr>
                <w:rFonts w:hint="eastAsia"/>
                <w:sz w:val="18"/>
              </w:rPr>
            </w:pPr>
            <w:r>
              <w:rPr>
                <w:rFonts w:hint="eastAsia"/>
                <w:sz w:val="18"/>
              </w:rPr>
              <w:t>282.6</w:t>
            </w:r>
          </w:p>
        </w:tc>
        <w:tc>
          <w:tcPr>
            <w:tcW w:w="1046" w:type="dxa"/>
          </w:tcPr>
          <w:p w:rsidR="00000000" w:rsidRDefault="00457650">
            <w:pPr>
              <w:widowControl/>
              <w:spacing w:before="40" w:after="40" w:line="280" w:lineRule="exact"/>
              <w:jc w:val="right"/>
              <w:rPr>
                <w:rFonts w:hint="eastAsia"/>
                <w:sz w:val="18"/>
              </w:rPr>
            </w:pPr>
            <w:r>
              <w:rPr>
                <w:rFonts w:hint="eastAsia"/>
                <w:sz w:val="18"/>
              </w:rPr>
              <w:t>298.8</w:t>
            </w:r>
          </w:p>
        </w:tc>
        <w:tc>
          <w:tcPr>
            <w:tcW w:w="1045" w:type="dxa"/>
          </w:tcPr>
          <w:p w:rsidR="00000000" w:rsidRDefault="00457650">
            <w:pPr>
              <w:widowControl/>
              <w:spacing w:before="40" w:after="40" w:line="280" w:lineRule="exact"/>
              <w:jc w:val="right"/>
              <w:rPr>
                <w:rFonts w:hint="eastAsia"/>
                <w:sz w:val="18"/>
              </w:rPr>
            </w:pPr>
            <w:r>
              <w:rPr>
                <w:rFonts w:hint="eastAsia"/>
                <w:sz w:val="18"/>
              </w:rPr>
              <w:t>348.9</w:t>
            </w:r>
          </w:p>
        </w:tc>
        <w:tc>
          <w:tcPr>
            <w:tcW w:w="1046" w:type="dxa"/>
          </w:tcPr>
          <w:p w:rsidR="00000000" w:rsidRDefault="00457650">
            <w:pPr>
              <w:widowControl/>
              <w:spacing w:before="40" w:after="40" w:line="280" w:lineRule="exact"/>
              <w:jc w:val="right"/>
              <w:rPr>
                <w:rFonts w:hint="eastAsia"/>
                <w:sz w:val="18"/>
              </w:rPr>
            </w:pPr>
            <w:r>
              <w:rPr>
                <w:rFonts w:hint="eastAsia"/>
                <w:sz w:val="18"/>
              </w:rPr>
              <w:t>356.1</w:t>
            </w:r>
          </w:p>
        </w:tc>
      </w:tr>
    </w:tbl>
    <w:p w:rsidR="00000000" w:rsidRDefault="00457650">
      <w:pPr>
        <w:pStyle w:val="a3"/>
        <w:widowControl/>
        <w:tabs>
          <w:tab w:val="left" w:pos="630"/>
        </w:tabs>
        <w:adjustRightInd w:val="0"/>
        <w:spacing w:line="360" w:lineRule="exact"/>
        <w:textAlignment w:val="baseline"/>
        <w:rPr>
          <w:rFonts w:hint="eastAsia"/>
          <w:kern w:val="0"/>
          <w:szCs w:val="20"/>
        </w:rPr>
      </w:pPr>
      <w:r>
        <w:rPr>
          <w:rFonts w:eastAsia="KaiTi_GB2312" w:hint="eastAsia"/>
          <w:kern w:val="0"/>
          <w:szCs w:val="20"/>
        </w:rPr>
        <w:t>资料来源</w:t>
      </w:r>
      <w:r>
        <w:rPr>
          <w:rFonts w:hint="eastAsia"/>
          <w:kern w:val="0"/>
          <w:szCs w:val="20"/>
        </w:rPr>
        <w:t>：联邦行政机构：《第三份政府报告》。</w:t>
      </w:r>
    </w:p>
    <w:p w:rsidR="00000000" w:rsidRDefault="00457650">
      <w:pPr>
        <w:widowControl/>
        <w:tabs>
          <w:tab w:val="left" w:pos="630"/>
        </w:tabs>
        <w:spacing w:after="240" w:line="360" w:lineRule="exact"/>
        <w:rPr>
          <w:rFonts w:hint="eastAsia"/>
          <w:sz w:val="18"/>
        </w:rPr>
      </w:pPr>
      <w:r>
        <w:rPr>
          <w:rFonts w:hint="eastAsia"/>
          <w:sz w:val="18"/>
          <w:vertAlign w:val="superscript"/>
        </w:rPr>
        <w:t>﹡</w:t>
      </w:r>
      <w:r>
        <w:rPr>
          <w:rFonts w:hint="eastAsia"/>
          <w:sz w:val="18"/>
        </w:rPr>
        <w:t xml:space="preserve">  </w:t>
      </w:r>
      <w:r>
        <w:rPr>
          <w:rFonts w:hint="eastAsia"/>
          <w:sz w:val="18"/>
        </w:rPr>
        <w:t>估计数字。</w:t>
      </w:r>
    </w:p>
    <w:p w:rsidR="00000000" w:rsidRDefault="00457650">
      <w:pPr>
        <w:widowControl/>
        <w:tabs>
          <w:tab w:val="left" w:pos="630"/>
        </w:tabs>
        <w:spacing w:after="240" w:line="340" w:lineRule="exact"/>
        <w:rPr>
          <w:rFonts w:hint="eastAsia"/>
        </w:rPr>
      </w:pPr>
      <w:r>
        <w:t>1098</w:t>
      </w:r>
      <w:r>
        <w:rPr>
          <w:rFonts w:hint="eastAsia"/>
        </w:rPr>
        <w:t>.</w:t>
      </w:r>
      <w:r>
        <w:rPr>
          <w:rFonts w:hint="eastAsia"/>
        </w:rPr>
        <w:tab/>
      </w:r>
      <w:r>
        <w:rPr>
          <w:rFonts w:hint="eastAsia"/>
        </w:rPr>
        <w:t>另外，墨西哥制定了一套由社会发展部负责实施的社会方案，其目的是为低收入群体提供支助，其中首先要提及的是以更</w:t>
      </w:r>
      <w:r>
        <w:rPr>
          <w:rFonts w:hint="eastAsia"/>
        </w:rPr>
        <w:t>容易接受的价格供应基本产品的支助。</w:t>
      </w:r>
    </w:p>
    <w:p w:rsidR="00000000" w:rsidRDefault="00457650">
      <w:pPr>
        <w:widowControl/>
        <w:tabs>
          <w:tab w:val="left" w:pos="630"/>
        </w:tabs>
        <w:spacing w:after="240" w:line="340" w:lineRule="exact"/>
        <w:rPr>
          <w:rFonts w:eastAsia="SimHei" w:hint="eastAsia"/>
          <w:bCs/>
        </w:rPr>
      </w:pPr>
      <w:r>
        <w:rPr>
          <w:rFonts w:eastAsia="SimHei" w:hint="eastAsia"/>
          <w:bCs/>
        </w:rPr>
        <w:tab/>
      </w:r>
      <w:r>
        <w:rPr>
          <w:rFonts w:eastAsia="SimHei" w:hint="eastAsia"/>
          <w:bCs/>
        </w:rPr>
        <w:t>社会牛奶供应方案</w:t>
      </w:r>
    </w:p>
    <w:p w:rsidR="00000000" w:rsidRDefault="00457650">
      <w:pPr>
        <w:widowControl/>
        <w:tabs>
          <w:tab w:val="left" w:pos="630"/>
        </w:tabs>
        <w:spacing w:after="240" w:line="340" w:lineRule="exact"/>
        <w:rPr>
          <w:rFonts w:hint="eastAsia"/>
        </w:rPr>
      </w:pPr>
      <w:r>
        <w:t>1099</w:t>
      </w:r>
      <w:r>
        <w:rPr>
          <w:rFonts w:hint="eastAsia"/>
        </w:rPr>
        <w:t>.</w:t>
      </w:r>
      <w:r>
        <w:rPr>
          <w:rFonts w:hint="eastAsia"/>
        </w:rPr>
        <w:tab/>
      </w:r>
      <w:r>
        <w:rPr>
          <w:rFonts w:hint="eastAsia"/>
        </w:rPr>
        <w:t>该方案的目的是以补贴价格，向国内处于城市边缘、半城市地区和农村地区的人们提供优质牛奶。它分两部分。第一部分注重生产性，通过收入转移，以补贴价格向孩子未满</w:t>
      </w:r>
      <w:r>
        <w:t>12</w:t>
      </w:r>
      <w:r>
        <w:rPr>
          <w:rFonts w:hint="eastAsia"/>
        </w:rPr>
        <w:t>岁且生活贫穷的家庭提供营养丰富的牛奶。这是一种改善他们饮食的手段，其目的是为了形成和发展人力资本。第二部分的特点是提供援助，通过收入转移，以补贴价格向</w:t>
      </w:r>
      <w:r>
        <w:rPr>
          <w:rFonts w:hint="eastAsia"/>
        </w:rPr>
        <w:t>60</w:t>
      </w:r>
      <w:r>
        <w:rPr>
          <w:rFonts w:hint="eastAsia"/>
        </w:rPr>
        <w:t>岁以上的成年人、</w:t>
      </w:r>
      <w:r>
        <w:rPr>
          <w:rFonts w:hint="eastAsia"/>
        </w:rPr>
        <w:t>12</w:t>
      </w:r>
      <w:r>
        <w:rPr>
          <w:rFonts w:hint="eastAsia"/>
        </w:rPr>
        <w:t>岁以上有病和</w:t>
      </w:r>
      <w:r>
        <w:rPr>
          <w:rFonts w:hint="eastAsia"/>
        </w:rPr>
        <w:t>/</w:t>
      </w:r>
      <w:r>
        <w:rPr>
          <w:rFonts w:hint="eastAsia"/>
        </w:rPr>
        <w:t>或有残疾的人以及贫穷的怀孕妇女提供营养丰富的牛奶。</w:t>
      </w:r>
    </w:p>
    <w:p w:rsidR="00000000" w:rsidRDefault="00457650">
      <w:pPr>
        <w:widowControl/>
        <w:tabs>
          <w:tab w:val="left" w:pos="630"/>
        </w:tabs>
        <w:spacing w:after="240" w:line="340" w:lineRule="exact"/>
        <w:rPr>
          <w:rFonts w:hint="eastAsia"/>
        </w:rPr>
      </w:pPr>
      <w:r>
        <w:t>1100</w:t>
      </w:r>
      <w:r>
        <w:rPr>
          <w:rFonts w:hint="eastAsia"/>
        </w:rPr>
        <w:t>.</w:t>
      </w:r>
      <w:r>
        <w:rPr>
          <w:rFonts w:hint="eastAsia"/>
        </w:rPr>
        <w:tab/>
      </w:r>
      <w:r>
        <w:rPr>
          <w:rFonts w:hint="eastAsia"/>
        </w:rPr>
        <w:t>该方案由</w:t>
      </w:r>
      <w:r>
        <w:t xml:space="preserve">Leche </w:t>
      </w:r>
      <w:r>
        <w:rPr>
          <w:rFonts w:hint="eastAsia"/>
        </w:rPr>
        <w:t>工业集团实施，这</w:t>
      </w:r>
      <w:r>
        <w:rPr>
          <w:rFonts w:hint="eastAsia"/>
        </w:rPr>
        <w:t>是社会发展部的一个自治机构，它以低于市场的价格供应增强体力的牛奶。</w:t>
      </w:r>
      <w:r>
        <w:t>Leche</w:t>
      </w:r>
      <w:r>
        <w:rPr>
          <w:rFonts w:hint="eastAsia"/>
        </w:rPr>
        <w:t>工业集团一直致力于让尽可能多的经济困难人口享用它提供的牛奶。</w:t>
      </w:r>
      <w:r>
        <w:t>2003</w:t>
      </w:r>
      <w:r>
        <w:rPr>
          <w:rFonts w:hint="eastAsia"/>
        </w:rPr>
        <w:t>年</w:t>
      </w:r>
      <w:r>
        <w:t>8</w:t>
      </w:r>
      <w:r>
        <w:rPr>
          <w:rFonts w:hint="eastAsia"/>
        </w:rPr>
        <w:t>月，登记的方案受益者总人数达到了</w:t>
      </w:r>
      <w:r>
        <w:t>490</w:t>
      </w:r>
      <w:r>
        <w:rPr>
          <w:rFonts w:hint="eastAsia"/>
        </w:rPr>
        <w:t>万，占</w:t>
      </w:r>
      <w:r>
        <w:t>500</w:t>
      </w:r>
      <w:r>
        <w:rPr>
          <w:rFonts w:hint="eastAsia"/>
        </w:rPr>
        <w:t>万目标人口的</w:t>
      </w:r>
      <w:r>
        <w:t>98.2%</w:t>
      </w:r>
      <w:r>
        <w:rPr>
          <w:rFonts w:hint="eastAsia"/>
        </w:rPr>
        <w:t>。这说明受益者人数比前一年同期增加了</w:t>
      </w:r>
      <w:r>
        <w:t>248</w:t>
      </w:r>
      <w:r>
        <w:rPr>
          <w:rFonts w:hint="eastAsia"/>
        </w:rPr>
        <w:t xml:space="preserve"> </w:t>
      </w:r>
      <w:r>
        <w:t>200</w:t>
      </w:r>
      <w:r>
        <w:rPr>
          <w:rFonts w:hint="eastAsia"/>
        </w:rPr>
        <w:t>人之多。</w:t>
      </w:r>
    </w:p>
    <w:p w:rsidR="00000000" w:rsidRDefault="00457650">
      <w:pPr>
        <w:widowControl/>
        <w:tabs>
          <w:tab w:val="left" w:pos="630"/>
        </w:tabs>
        <w:spacing w:after="240" w:line="340" w:lineRule="exact"/>
        <w:rPr>
          <w:rFonts w:hint="eastAsia"/>
        </w:rPr>
      </w:pPr>
      <w:r>
        <w:t>1101</w:t>
      </w:r>
      <w:r>
        <w:rPr>
          <w:rFonts w:hint="eastAsia"/>
        </w:rPr>
        <w:t>.</w:t>
      </w:r>
      <w:r>
        <w:rPr>
          <w:rFonts w:hint="eastAsia"/>
        </w:rPr>
        <w:tab/>
      </w:r>
      <w:r>
        <w:rPr>
          <w:rFonts w:hint="eastAsia"/>
        </w:rPr>
        <w:t>在</w:t>
      </w:r>
      <w:r>
        <w:t>2003</w:t>
      </w:r>
      <w:r>
        <w:rPr>
          <w:rFonts w:hint="eastAsia"/>
        </w:rPr>
        <w:t>年最初的</w:t>
      </w:r>
      <w:r>
        <w:t>8</w:t>
      </w:r>
      <w:r>
        <w:rPr>
          <w:rFonts w:hint="eastAsia"/>
        </w:rPr>
        <w:t>个月里，每天运送牛奶</w:t>
      </w:r>
      <w:r>
        <w:t>330</w:t>
      </w:r>
      <w:r>
        <w:rPr>
          <w:rFonts w:hint="eastAsia"/>
        </w:rPr>
        <w:t>万升。为此，在同一时期，根据墨西哥官方标准参数加工了</w:t>
      </w:r>
      <w:r>
        <w:t>6.68</w:t>
      </w:r>
      <w:r>
        <w:rPr>
          <w:rFonts w:hint="eastAsia"/>
        </w:rPr>
        <w:t>亿升高营养和卫生的牛奶。</w:t>
      </w:r>
    </w:p>
    <w:p w:rsidR="00000000" w:rsidRDefault="00457650">
      <w:pPr>
        <w:widowControl/>
        <w:tabs>
          <w:tab w:val="left" w:pos="630"/>
        </w:tabs>
        <w:spacing w:after="240" w:line="340" w:lineRule="exact"/>
        <w:rPr>
          <w:rFonts w:hint="eastAsia"/>
        </w:rPr>
      </w:pPr>
      <w:r>
        <w:t>1102</w:t>
      </w:r>
      <w:r>
        <w:rPr>
          <w:rFonts w:hint="eastAsia"/>
        </w:rPr>
        <w:t>.</w:t>
      </w:r>
      <w:r>
        <w:rPr>
          <w:rFonts w:hint="eastAsia"/>
        </w:rPr>
        <w:tab/>
      </w:r>
      <w:r>
        <w:rPr>
          <w:rFonts w:hint="eastAsia"/>
        </w:rPr>
        <w:t>应该提及的是，登记总人数的</w:t>
      </w:r>
      <w:r>
        <w:t>90.6%</w:t>
      </w:r>
      <w:r>
        <w:rPr>
          <w:rFonts w:hint="eastAsia"/>
        </w:rPr>
        <w:t>是</w:t>
      </w:r>
      <w:r>
        <w:t>12</w:t>
      </w:r>
      <w:r>
        <w:rPr>
          <w:rFonts w:hint="eastAsia"/>
        </w:rPr>
        <w:t>岁以下的儿童；剩下的</w:t>
      </w:r>
      <w:r>
        <w:t>9.4%</w:t>
      </w:r>
      <w:r>
        <w:rPr>
          <w:rFonts w:hint="eastAsia"/>
        </w:rPr>
        <w:t>是怀孕</w:t>
      </w:r>
      <w:r>
        <w:rPr>
          <w:rFonts w:hint="eastAsia"/>
        </w:rPr>
        <w:t>妇女、</w:t>
      </w:r>
      <w:r>
        <w:t>12</w:t>
      </w:r>
      <w:r>
        <w:rPr>
          <w:rFonts w:hint="eastAsia"/>
        </w:rPr>
        <w:t>岁以上的慢性病患者和／或残疾人，以及</w:t>
      </w:r>
      <w:r>
        <w:t>60</w:t>
      </w:r>
      <w:r>
        <w:rPr>
          <w:rFonts w:hint="eastAsia"/>
        </w:rPr>
        <w:t>岁以上的成年人。</w:t>
      </w:r>
    </w:p>
    <w:p w:rsidR="00000000" w:rsidRDefault="00457650">
      <w:pPr>
        <w:widowControl/>
        <w:tabs>
          <w:tab w:val="left" w:pos="630"/>
        </w:tabs>
        <w:spacing w:after="240" w:line="360" w:lineRule="exact"/>
        <w:jc w:val="center"/>
        <w:rPr>
          <w:rFonts w:ascii="SimHei" w:eastAsia="SimHei" w:hint="eastAsia"/>
          <w:bCs/>
          <w:szCs w:val="21"/>
        </w:rPr>
      </w:pPr>
      <w:r>
        <w:rPr>
          <w:rFonts w:ascii="SimHei" w:eastAsia="SimHei"/>
          <w:bCs/>
          <w:szCs w:val="21"/>
        </w:rPr>
        <w:t>1997</w:t>
      </w:r>
      <w:r>
        <w:rPr>
          <w:rFonts w:ascii="SimHei" w:eastAsia="SimHei" w:hint="eastAsia"/>
          <w:bCs/>
          <w:szCs w:val="21"/>
        </w:rPr>
        <w:t>-</w:t>
      </w:r>
      <w:r>
        <w:rPr>
          <w:rFonts w:ascii="SimHei" w:eastAsia="SimHei"/>
          <w:bCs/>
          <w:szCs w:val="21"/>
        </w:rPr>
        <w:t>2003</w:t>
      </w:r>
      <w:r>
        <w:rPr>
          <w:rFonts w:ascii="SimHei" w:eastAsia="SimHei" w:hint="eastAsia"/>
          <w:bCs/>
          <w:szCs w:val="21"/>
        </w:rPr>
        <w:t>年期间社会牛奶供应方案的主要成果</w:t>
      </w:r>
    </w:p>
    <w:tbl>
      <w:tblPr>
        <w:tblW w:w="494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8"/>
        <w:gridCol w:w="965"/>
        <w:gridCol w:w="965"/>
        <w:gridCol w:w="965"/>
        <w:gridCol w:w="964"/>
        <w:gridCol w:w="964"/>
        <w:gridCol w:w="964"/>
        <w:gridCol w:w="966"/>
      </w:tblGrid>
      <w:tr w:rsidR="00000000">
        <w:tblPrEx>
          <w:tblCellMar>
            <w:top w:w="0" w:type="dxa"/>
            <w:bottom w:w="0" w:type="dxa"/>
          </w:tblCellMar>
        </w:tblPrEx>
        <w:tc>
          <w:tcPr>
            <w:tcW w:w="1609" w:type="pct"/>
            <w:vAlign w:val="center"/>
          </w:tcPr>
          <w:p w:rsidR="00000000" w:rsidRDefault="00457650">
            <w:pPr>
              <w:widowControl/>
              <w:tabs>
                <w:tab w:val="left" w:pos="630"/>
              </w:tabs>
              <w:spacing w:before="60" w:after="120" w:line="320" w:lineRule="exact"/>
              <w:jc w:val="center"/>
              <w:rPr>
                <w:rFonts w:ascii="KaiTi_GB2312" w:eastAsia="KaiTi_GB2312" w:hint="eastAsia"/>
                <w:sz w:val="18"/>
              </w:rPr>
            </w:pPr>
            <w:r>
              <w:rPr>
                <w:rFonts w:ascii="KaiTi_GB2312" w:eastAsia="KaiTi_GB2312" w:hint="eastAsia"/>
                <w:sz w:val="18"/>
              </w:rPr>
              <w:t>项目</w:t>
            </w:r>
          </w:p>
        </w:tc>
        <w:tc>
          <w:tcPr>
            <w:tcW w:w="484" w:type="pct"/>
            <w:vAlign w:val="center"/>
          </w:tcPr>
          <w:p w:rsidR="00000000" w:rsidRDefault="00457650">
            <w:pPr>
              <w:widowControl/>
              <w:tabs>
                <w:tab w:val="left" w:pos="630"/>
              </w:tabs>
              <w:spacing w:before="60" w:after="120" w:line="320" w:lineRule="exact"/>
              <w:jc w:val="center"/>
              <w:rPr>
                <w:rFonts w:ascii="KaiTi_GB2312" w:eastAsia="KaiTi_GB2312" w:hint="eastAsia"/>
                <w:sz w:val="18"/>
              </w:rPr>
            </w:pPr>
            <w:r>
              <w:rPr>
                <w:rFonts w:ascii="KaiTi_GB2312" w:eastAsia="KaiTi_GB2312"/>
                <w:sz w:val="18"/>
              </w:rPr>
              <w:t>1997</w:t>
            </w:r>
            <w:r>
              <w:rPr>
                <w:rFonts w:ascii="KaiTi_GB2312" w:eastAsia="KaiTi_GB2312" w:hint="eastAsia"/>
                <w:sz w:val="18"/>
              </w:rPr>
              <w:t>年</w:t>
            </w:r>
          </w:p>
        </w:tc>
        <w:tc>
          <w:tcPr>
            <w:tcW w:w="484" w:type="pct"/>
            <w:vAlign w:val="center"/>
          </w:tcPr>
          <w:p w:rsidR="00000000" w:rsidRDefault="00457650">
            <w:pPr>
              <w:widowControl/>
              <w:tabs>
                <w:tab w:val="left" w:pos="630"/>
              </w:tabs>
              <w:spacing w:before="60" w:after="120" w:line="320" w:lineRule="exact"/>
              <w:jc w:val="center"/>
              <w:rPr>
                <w:rFonts w:ascii="KaiTi_GB2312" w:eastAsia="KaiTi_GB2312" w:hint="eastAsia"/>
                <w:sz w:val="18"/>
              </w:rPr>
            </w:pPr>
            <w:r>
              <w:rPr>
                <w:rFonts w:ascii="KaiTi_GB2312" w:eastAsia="KaiTi_GB2312"/>
                <w:sz w:val="18"/>
              </w:rPr>
              <w:t>1998</w:t>
            </w:r>
            <w:r>
              <w:rPr>
                <w:rFonts w:ascii="KaiTi_GB2312" w:eastAsia="KaiTi_GB2312" w:hint="eastAsia"/>
                <w:sz w:val="18"/>
              </w:rPr>
              <w:t>年</w:t>
            </w:r>
          </w:p>
        </w:tc>
        <w:tc>
          <w:tcPr>
            <w:tcW w:w="484" w:type="pct"/>
            <w:vAlign w:val="center"/>
          </w:tcPr>
          <w:p w:rsidR="00000000" w:rsidRDefault="00457650">
            <w:pPr>
              <w:widowControl/>
              <w:tabs>
                <w:tab w:val="left" w:pos="630"/>
              </w:tabs>
              <w:spacing w:before="60" w:after="120" w:line="320" w:lineRule="exact"/>
              <w:jc w:val="center"/>
              <w:rPr>
                <w:rFonts w:ascii="KaiTi_GB2312" w:eastAsia="KaiTi_GB2312" w:hint="eastAsia"/>
                <w:sz w:val="18"/>
              </w:rPr>
            </w:pPr>
            <w:r>
              <w:rPr>
                <w:rFonts w:ascii="KaiTi_GB2312" w:eastAsia="KaiTi_GB2312" w:hint="eastAsia"/>
                <w:sz w:val="18"/>
              </w:rPr>
              <w:t>1999</w:t>
            </w:r>
            <w:r>
              <w:rPr>
                <w:rFonts w:ascii="KaiTi_GB2312" w:eastAsia="KaiTi_GB2312" w:hint="eastAsia"/>
                <w:sz w:val="18"/>
              </w:rPr>
              <w:t>年</w:t>
            </w:r>
          </w:p>
        </w:tc>
        <w:tc>
          <w:tcPr>
            <w:tcW w:w="484" w:type="pct"/>
            <w:vAlign w:val="center"/>
          </w:tcPr>
          <w:p w:rsidR="00000000" w:rsidRDefault="00457650">
            <w:pPr>
              <w:widowControl/>
              <w:tabs>
                <w:tab w:val="left" w:pos="630"/>
              </w:tabs>
              <w:spacing w:before="60" w:after="120" w:line="320" w:lineRule="exact"/>
              <w:jc w:val="center"/>
              <w:rPr>
                <w:rFonts w:ascii="KaiTi_GB2312" w:eastAsia="KaiTi_GB2312" w:hint="eastAsia"/>
                <w:sz w:val="18"/>
              </w:rPr>
            </w:pPr>
            <w:r>
              <w:rPr>
                <w:rFonts w:ascii="KaiTi_GB2312" w:eastAsia="KaiTi_GB2312"/>
                <w:sz w:val="18"/>
              </w:rPr>
              <w:t>200</w:t>
            </w:r>
            <w:r>
              <w:rPr>
                <w:rFonts w:ascii="KaiTi_GB2312" w:eastAsia="KaiTi_GB2312" w:hint="eastAsia"/>
                <w:sz w:val="18"/>
              </w:rPr>
              <w:t>0</w:t>
            </w:r>
            <w:r>
              <w:rPr>
                <w:rFonts w:ascii="KaiTi_GB2312" w:eastAsia="KaiTi_GB2312" w:hint="eastAsia"/>
                <w:sz w:val="18"/>
              </w:rPr>
              <w:t>年</w:t>
            </w:r>
          </w:p>
        </w:tc>
        <w:tc>
          <w:tcPr>
            <w:tcW w:w="484" w:type="pct"/>
            <w:vAlign w:val="center"/>
          </w:tcPr>
          <w:p w:rsidR="00000000" w:rsidRDefault="00457650">
            <w:pPr>
              <w:widowControl/>
              <w:tabs>
                <w:tab w:val="left" w:pos="630"/>
              </w:tabs>
              <w:spacing w:before="60" w:after="120" w:line="320" w:lineRule="exact"/>
              <w:jc w:val="center"/>
              <w:rPr>
                <w:rFonts w:ascii="KaiTi_GB2312" w:eastAsia="KaiTi_GB2312" w:hint="eastAsia"/>
                <w:sz w:val="18"/>
              </w:rPr>
            </w:pPr>
            <w:r>
              <w:rPr>
                <w:rFonts w:ascii="KaiTi_GB2312" w:eastAsia="KaiTi_GB2312"/>
                <w:sz w:val="18"/>
              </w:rPr>
              <w:t>2001</w:t>
            </w:r>
            <w:r>
              <w:rPr>
                <w:rFonts w:ascii="KaiTi_GB2312" w:eastAsia="KaiTi_GB2312" w:hint="eastAsia"/>
                <w:sz w:val="18"/>
              </w:rPr>
              <w:t>年</w:t>
            </w:r>
          </w:p>
        </w:tc>
        <w:tc>
          <w:tcPr>
            <w:tcW w:w="484" w:type="pct"/>
            <w:vAlign w:val="center"/>
          </w:tcPr>
          <w:p w:rsidR="00000000" w:rsidRDefault="00457650">
            <w:pPr>
              <w:widowControl/>
              <w:tabs>
                <w:tab w:val="left" w:pos="630"/>
              </w:tabs>
              <w:spacing w:before="60" w:after="120" w:line="320" w:lineRule="exact"/>
              <w:jc w:val="center"/>
              <w:rPr>
                <w:rFonts w:ascii="KaiTi_GB2312" w:eastAsia="KaiTi_GB2312" w:hint="eastAsia"/>
                <w:sz w:val="18"/>
              </w:rPr>
            </w:pPr>
            <w:r>
              <w:rPr>
                <w:rFonts w:ascii="KaiTi_GB2312" w:eastAsia="KaiTi_GB2312"/>
                <w:sz w:val="18"/>
              </w:rPr>
              <w:t>200</w:t>
            </w:r>
            <w:r>
              <w:rPr>
                <w:rFonts w:ascii="KaiTi_GB2312" w:eastAsia="KaiTi_GB2312" w:hint="eastAsia"/>
                <w:sz w:val="18"/>
              </w:rPr>
              <w:t>2</w:t>
            </w:r>
            <w:r>
              <w:rPr>
                <w:rFonts w:ascii="KaiTi_GB2312" w:eastAsia="KaiTi_GB2312" w:hint="eastAsia"/>
                <w:sz w:val="18"/>
              </w:rPr>
              <w:t>年</w:t>
            </w:r>
          </w:p>
        </w:tc>
        <w:tc>
          <w:tcPr>
            <w:tcW w:w="485" w:type="pct"/>
          </w:tcPr>
          <w:p w:rsidR="00000000" w:rsidRDefault="00457650">
            <w:pPr>
              <w:widowControl/>
              <w:tabs>
                <w:tab w:val="left" w:pos="630"/>
              </w:tabs>
              <w:spacing w:before="60" w:after="120" w:line="320" w:lineRule="exact"/>
              <w:jc w:val="center"/>
              <w:rPr>
                <w:rFonts w:ascii="KaiTi_GB2312" w:eastAsia="KaiTi_GB2312"/>
                <w:sz w:val="18"/>
              </w:rPr>
            </w:pPr>
            <w:r>
              <w:rPr>
                <w:rFonts w:ascii="KaiTi_GB2312" w:eastAsia="KaiTi_GB2312" w:hint="eastAsia"/>
                <w:sz w:val="18"/>
              </w:rPr>
              <w:t>2003</w:t>
            </w:r>
            <w:r>
              <w:rPr>
                <w:rFonts w:ascii="KaiTi_GB2312" w:eastAsia="KaiTi_GB2312" w:hint="eastAsia"/>
                <w:sz w:val="18"/>
              </w:rPr>
              <w:t>年</w:t>
            </w:r>
            <w:r>
              <w:rPr>
                <w:rFonts w:ascii="KaiTi_GB2312" w:eastAsia="KaiTi_GB2312" w:hint="eastAsia"/>
                <w:sz w:val="18"/>
                <w:vertAlign w:val="superscript"/>
              </w:rPr>
              <w:t>﹡</w:t>
            </w:r>
          </w:p>
        </w:tc>
      </w:tr>
      <w:tr w:rsidR="00000000">
        <w:tblPrEx>
          <w:tblCellMar>
            <w:top w:w="0" w:type="dxa"/>
            <w:bottom w:w="0" w:type="dxa"/>
          </w:tblCellMar>
        </w:tblPrEx>
        <w:tc>
          <w:tcPr>
            <w:tcW w:w="1609" w:type="pct"/>
          </w:tcPr>
          <w:p w:rsidR="00000000" w:rsidRDefault="00457650">
            <w:pPr>
              <w:widowControl/>
              <w:tabs>
                <w:tab w:val="left" w:pos="630"/>
              </w:tabs>
              <w:spacing w:before="60" w:after="120" w:line="320" w:lineRule="exact"/>
              <w:rPr>
                <w:rFonts w:hint="eastAsia"/>
                <w:sz w:val="18"/>
              </w:rPr>
            </w:pPr>
            <w:r>
              <w:rPr>
                <w:sz w:val="18"/>
              </w:rPr>
              <w:t>LICONSA</w:t>
            </w:r>
            <w:r>
              <w:rPr>
                <w:rFonts w:hint="eastAsia"/>
                <w:sz w:val="18"/>
              </w:rPr>
              <w:t>生产的牛奶（百万升）</w:t>
            </w:r>
          </w:p>
        </w:tc>
        <w:tc>
          <w:tcPr>
            <w:tcW w:w="484" w:type="pct"/>
            <w:vAlign w:val="bottom"/>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1 077</w:t>
            </w:r>
          </w:p>
        </w:tc>
        <w:tc>
          <w:tcPr>
            <w:tcW w:w="484" w:type="pct"/>
            <w:vAlign w:val="bottom"/>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1 022</w:t>
            </w:r>
          </w:p>
        </w:tc>
        <w:tc>
          <w:tcPr>
            <w:tcW w:w="484" w:type="pct"/>
            <w:vAlign w:val="bottom"/>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923</w:t>
            </w:r>
          </w:p>
        </w:tc>
        <w:tc>
          <w:tcPr>
            <w:tcW w:w="484" w:type="pct"/>
            <w:vAlign w:val="bottom"/>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920</w:t>
            </w:r>
          </w:p>
        </w:tc>
        <w:tc>
          <w:tcPr>
            <w:tcW w:w="484" w:type="pct"/>
            <w:vAlign w:val="bottom"/>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941</w:t>
            </w:r>
          </w:p>
        </w:tc>
        <w:tc>
          <w:tcPr>
            <w:tcW w:w="484" w:type="pct"/>
            <w:vAlign w:val="bottom"/>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972</w:t>
            </w:r>
          </w:p>
        </w:tc>
        <w:tc>
          <w:tcPr>
            <w:tcW w:w="485" w:type="pct"/>
          </w:tcPr>
          <w:p w:rsidR="00000000" w:rsidRDefault="00457650" w:rsidP="00457650">
            <w:pPr>
              <w:widowControl/>
              <w:tabs>
                <w:tab w:val="left" w:pos="630"/>
              </w:tabs>
              <w:spacing w:before="60" w:after="120" w:line="320" w:lineRule="exact"/>
              <w:ind w:rightChars="100" w:right="31680"/>
              <w:jc w:val="right"/>
              <w:rPr>
                <w:rFonts w:hint="eastAsia"/>
                <w:sz w:val="18"/>
                <w:szCs w:val="22"/>
              </w:rPr>
            </w:pPr>
            <w:r>
              <w:rPr>
                <w:rFonts w:hint="eastAsia"/>
                <w:sz w:val="18"/>
                <w:szCs w:val="22"/>
              </w:rPr>
              <w:t>997</w:t>
            </w:r>
          </w:p>
        </w:tc>
      </w:tr>
      <w:tr w:rsidR="00000000">
        <w:tblPrEx>
          <w:tblCellMar>
            <w:top w:w="0" w:type="dxa"/>
            <w:bottom w:w="0" w:type="dxa"/>
          </w:tblCellMar>
        </w:tblPrEx>
        <w:tc>
          <w:tcPr>
            <w:tcW w:w="1609" w:type="pct"/>
          </w:tcPr>
          <w:p w:rsidR="00000000" w:rsidRDefault="00457650">
            <w:pPr>
              <w:pStyle w:val="a3"/>
              <w:widowControl/>
              <w:tabs>
                <w:tab w:val="left" w:pos="630"/>
              </w:tabs>
              <w:adjustRightInd w:val="0"/>
              <w:spacing w:before="60" w:after="120" w:line="320" w:lineRule="exact"/>
              <w:textAlignment w:val="baseline"/>
              <w:rPr>
                <w:rFonts w:hint="eastAsia"/>
                <w:kern w:val="0"/>
                <w:szCs w:val="20"/>
              </w:rPr>
            </w:pPr>
            <w:r>
              <w:rPr>
                <w:rFonts w:hint="eastAsia"/>
                <w:kern w:val="0"/>
                <w:szCs w:val="20"/>
              </w:rPr>
              <w:t>日运送量（千升）</w:t>
            </w:r>
          </w:p>
        </w:tc>
        <w:tc>
          <w:tcPr>
            <w:tcW w:w="484" w:type="pct"/>
            <w:vAlign w:val="bottom"/>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3 589</w:t>
            </w:r>
          </w:p>
        </w:tc>
        <w:tc>
          <w:tcPr>
            <w:tcW w:w="484" w:type="pct"/>
            <w:vAlign w:val="bottom"/>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3 440</w:t>
            </w:r>
          </w:p>
        </w:tc>
        <w:tc>
          <w:tcPr>
            <w:tcW w:w="484" w:type="pct"/>
            <w:vAlign w:val="bottom"/>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3 171</w:t>
            </w:r>
          </w:p>
        </w:tc>
        <w:tc>
          <w:tcPr>
            <w:tcW w:w="484" w:type="pct"/>
            <w:vAlign w:val="bottom"/>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3 105</w:t>
            </w:r>
          </w:p>
        </w:tc>
        <w:tc>
          <w:tcPr>
            <w:tcW w:w="484" w:type="pct"/>
            <w:vAlign w:val="bottom"/>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3 102</w:t>
            </w:r>
          </w:p>
        </w:tc>
        <w:tc>
          <w:tcPr>
            <w:tcW w:w="484" w:type="pct"/>
            <w:vAlign w:val="bottom"/>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3 206</w:t>
            </w:r>
          </w:p>
        </w:tc>
        <w:tc>
          <w:tcPr>
            <w:tcW w:w="485" w:type="pct"/>
          </w:tcPr>
          <w:p w:rsidR="00000000" w:rsidRDefault="00457650" w:rsidP="00457650">
            <w:pPr>
              <w:widowControl/>
              <w:tabs>
                <w:tab w:val="left" w:pos="630"/>
              </w:tabs>
              <w:spacing w:before="60" w:after="120" w:line="320" w:lineRule="exact"/>
              <w:ind w:rightChars="100" w:right="31680"/>
              <w:jc w:val="right"/>
              <w:rPr>
                <w:rFonts w:hint="eastAsia"/>
                <w:sz w:val="18"/>
                <w:szCs w:val="22"/>
              </w:rPr>
            </w:pPr>
            <w:r>
              <w:rPr>
                <w:rFonts w:hint="eastAsia"/>
                <w:sz w:val="18"/>
                <w:szCs w:val="22"/>
              </w:rPr>
              <w:t>3 359</w:t>
            </w:r>
          </w:p>
        </w:tc>
      </w:tr>
      <w:tr w:rsidR="00000000">
        <w:tblPrEx>
          <w:tblCellMar>
            <w:top w:w="0" w:type="dxa"/>
            <w:bottom w:w="0" w:type="dxa"/>
          </w:tblCellMar>
        </w:tblPrEx>
        <w:tc>
          <w:tcPr>
            <w:tcW w:w="1609" w:type="pct"/>
          </w:tcPr>
          <w:p w:rsidR="00000000" w:rsidRDefault="00457650">
            <w:pPr>
              <w:widowControl/>
              <w:tabs>
                <w:tab w:val="left" w:pos="630"/>
              </w:tabs>
              <w:spacing w:before="60" w:after="120" w:line="320" w:lineRule="exact"/>
              <w:rPr>
                <w:rFonts w:hint="eastAsia"/>
                <w:sz w:val="18"/>
              </w:rPr>
            </w:pPr>
            <w:r>
              <w:rPr>
                <w:rFonts w:hint="eastAsia"/>
                <w:sz w:val="18"/>
              </w:rPr>
              <w:t>受益者（千人）</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5 317</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4 687</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4 185</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4 185</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4 549</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4 834</w:t>
            </w:r>
          </w:p>
        </w:tc>
        <w:tc>
          <w:tcPr>
            <w:tcW w:w="485" w:type="pct"/>
          </w:tcPr>
          <w:p w:rsidR="00000000" w:rsidRDefault="00457650" w:rsidP="00457650">
            <w:pPr>
              <w:widowControl/>
              <w:tabs>
                <w:tab w:val="left" w:pos="630"/>
              </w:tabs>
              <w:spacing w:before="60" w:after="120" w:line="320" w:lineRule="exact"/>
              <w:ind w:rightChars="100" w:right="31680"/>
              <w:jc w:val="right"/>
              <w:rPr>
                <w:rFonts w:hint="eastAsia"/>
                <w:sz w:val="18"/>
                <w:szCs w:val="22"/>
              </w:rPr>
            </w:pPr>
            <w:r>
              <w:rPr>
                <w:rFonts w:hint="eastAsia"/>
                <w:sz w:val="18"/>
                <w:szCs w:val="22"/>
              </w:rPr>
              <w:t xml:space="preserve">5 </w:t>
            </w:r>
            <w:r>
              <w:rPr>
                <w:rFonts w:hint="eastAsia"/>
                <w:sz w:val="18"/>
                <w:szCs w:val="22"/>
              </w:rPr>
              <w:t>000</w:t>
            </w:r>
          </w:p>
        </w:tc>
      </w:tr>
      <w:tr w:rsidR="00000000">
        <w:tblPrEx>
          <w:tblCellMar>
            <w:top w:w="0" w:type="dxa"/>
            <w:bottom w:w="0" w:type="dxa"/>
          </w:tblCellMar>
        </w:tblPrEx>
        <w:tc>
          <w:tcPr>
            <w:tcW w:w="1609" w:type="pct"/>
          </w:tcPr>
          <w:p w:rsidR="00000000" w:rsidRDefault="00457650">
            <w:pPr>
              <w:widowControl/>
              <w:tabs>
                <w:tab w:val="left" w:pos="630"/>
              </w:tabs>
              <w:spacing w:before="60" w:after="120" w:line="320" w:lineRule="exact"/>
              <w:rPr>
                <w:rFonts w:hint="eastAsia"/>
                <w:sz w:val="18"/>
              </w:rPr>
            </w:pPr>
            <w:r>
              <w:rPr>
                <w:rFonts w:hint="eastAsia"/>
                <w:sz w:val="18"/>
              </w:rPr>
              <w:t>儿童受益者（千人）</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5 081</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4 489</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3 969</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3 944</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4 236</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4 452</w:t>
            </w:r>
          </w:p>
        </w:tc>
        <w:tc>
          <w:tcPr>
            <w:tcW w:w="485" w:type="pct"/>
          </w:tcPr>
          <w:p w:rsidR="00000000" w:rsidRDefault="00457650" w:rsidP="00457650">
            <w:pPr>
              <w:widowControl/>
              <w:tabs>
                <w:tab w:val="left" w:pos="630"/>
              </w:tabs>
              <w:spacing w:before="60" w:after="120" w:line="320" w:lineRule="exact"/>
              <w:ind w:rightChars="100" w:right="31680"/>
              <w:jc w:val="right"/>
              <w:rPr>
                <w:rFonts w:hint="eastAsia"/>
                <w:sz w:val="18"/>
                <w:szCs w:val="22"/>
              </w:rPr>
            </w:pPr>
            <w:r>
              <w:rPr>
                <w:rFonts w:hint="eastAsia"/>
                <w:sz w:val="18"/>
                <w:szCs w:val="22"/>
              </w:rPr>
              <w:t>4 532</w:t>
            </w:r>
          </w:p>
        </w:tc>
      </w:tr>
      <w:tr w:rsidR="00000000">
        <w:tblPrEx>
          <w:tblCellMar>
            <w:top w:w="0" w:type="dxa"/>
            <w:bottom w:w="0" w:type="dxa"/>
          </w:tblCellMar>
        </w:tblPrEx>
        <w:tc>
          <w:tcPr>
            <w:tcW w:w="1609" w:type="pct"/>
          </w:tcPr>
          <w:p w:rsidR="00000000" w:rsidRDefault="00457650">
            <w:pPr>
              <w:widowControl/>
              <w:tabs>
                <w:tab w:val="left" w:pos="630"/>
              </w:tabs>
              <w:spacing w:before="60" w:after="120" w:line="320" w:lineRule="exact"/>
              <w:rPr>
                <w:rFonts w:hint="eastAsia"/>
                <w:sz w:val="18"/>
              </w:rPr>
            </w:pPr>
            <w:r>
              <w:rPr>
                <w:rFonts w:hint="eastAsia"/>
                <w:sz w:val="18"/>
              </w:rPr>
              <w:t>销售点</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11 076</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8 315</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6 610</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6 647</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7 607</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8 477</w:t>
            </w:r>
          </w:p>
        </w:tc>
        <w:tc>
          <w:tcPr>
            <w:tcW w:w="485" w:type="pct"/>
          </w:tcPr>
          <w:p w:rsidR="00000000" w:rsidRDefault="00457650" w:rsidP="00457650">
            <w:pPr>
              <w:widowControl/>
              <w:tabs>
                <w:tab w:val="left" w:pos="630"/>
              </w:tabs>
              <w:spacing w:before="60" w:after="120" w:line="320" w:lineRule="exact"/>
              <w:ind w:rightChars="100" w:right="31680"/>
              <w:jc w:val="right"/>
              <w:rPr>
                <w:rFonts w:hint="eastAsia"/>
                <w:sz w:val="18"/>
                <w:szCs w:val="22"/>
              </w:rPr>
            </w:pPr>
            <w:r>
              <w:rPr>
                <w:rFonts w:hint="eastAsia"/>
                <w:sz w:val="18"/>
                <w:szCs w:val="22"/>
              </w:rPr>
              <w:t>9 250</w:t>
            </w:r>
          </w:p>
        </w:tc>
      </w:tr>
      <w:tr w:rsidR="00000000">
        <w:tblPrEx>
          <w:tblCellMar>
            <w:top w:w="0" w:type="dxa"/>
            <w:bottom w:w="0" w:type="dxa"/>
          </w:tblCellMar>
        </w:tblPrEx>
        <w:tc>
          <w:tcPr>
            <w:tcW w:w="1609" w:type="pct"/>
          </w:tcPr>
          <w:p w:rsidR="00000000" w:rsidRDefault="00457650">
            <w:pPr>
              <w:pStyle w:val="a3"/>
              <w:widowControl/>
              <w:tabs>
                <w:tab w:val="left" w:pos="630"/>
              </w:tabs>
              <w:adjustRightInd w:val="0"/>
              <w:spacing w:before="60" w:after="120" w:line="320" w:lineRule="exact"/>
              <w:textAlignment w:val="baseline"/>
              <w:rPr>
                <w:rFonts w:hint="eastAsia"/>
                <w:kern w:val="0"/>
                <w:szCs w:val="20"/>
              </w:rPr>
            </w:pPr>
            <w:r>
              <w:rPr>
                <w:rFonts w:hint="eastAsia"/>
                <w:kern w:val="0"/>
                <w:szCs w:val="20"/>
              </w:rPr>
              <w:t>受益市</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1 907</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1 848</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1 731</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1 938</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1 816</w:t>
            </w:r>
          </w:p>
        </w:tc>
        <w:tc>
          <w:tcPr>
            <w:tcW w:w="484" w:type="pct"/>
          </w:tcPr>
          <w:p w:rsidR="00000000" w:rsidRDefault="00457650" w:rsidP="00457650">
            <w:pPr>
              <w:widowControl/>
              <w:tabs>
                <w:tab w:val="left" w:pos="630"/>
              </w:tabs>
              <w:spacing w:before="60" w:after="120" w:line="320" w:lineRule="exact"/>
              <w:ind w:rightChars="100" w:right="31680"/>
              <w:jc w:val="right"/>
              <w:rPr>
                <w:sz w:val="18"/>
                <w:szCs w:val="22"/>
              </w:rPr>
            </w:pPr>
            <w:r>
              <w:rPr>
                <w:sz w:val="18"/>
                <w:szCs w:val="22"/>
              </w:rPr>
              <w:t>1 837</w:t>
            </w:r>
          </w:p>
        </w:tc>
        <w:tc>
          <w:tcPr>
            <w:tcW w:w="485" w:type="pct"/>
          </w:tcPr>
          <w:p w:rsidR="00000000" w:rsidRDefault="00457650" w:rsidP="00457650">
            <w:pPr>
              <w:widowControl/>
              <w:tabs>
                <w:tab w:val="left" w:pos="630"/>
              </w:tabs>
              <w:spacing w:before="60" w:after="120" w:line="320" w:lineRule="exact"/>
              <w:ind w:rightChars="100" w:right="31680"/>
              <w:jc w:val="right"/>
              <w:rPr>
                <w:rFonts w:hint="eastAsia"/>
                <w:sz w:val="18"/>
                <w:szCs w:val="22"/>
              </w:rPr>
            </w:pPr>
            <w:r>
              <w:rPr>
                <w:rFonts w:hint="eastAsia"/>
                <w:sz w:val="18"/>
                <w:szCs w:val="22"/>
              </w:rPr>
              <w:t>1 845</w:t>
            </w:r>
          </w:p>
        </w:tc>
      </w:tr>
    </w:tbl>
    <w:p w:rsidR="00000000" w:rsidRDefault="00457650">
      <w:pPr>
        <w:widowControl/>
        <w:tabs>
          <w:tab w:val="left" w:pos="630"/>
        </w:tabs>
        <w:spacing w:line="360" w:lineRule="exact"/>
        <w:rPr>
          <w:rFonts w:hint="eastAsia"/>
          <w:sz w:val="18"/>
        </w:rPr>
      </w:pPr>
      <w:r>
        <w:rPr>
          <w:rFonts w:eastAsia="KaiTi_GB2312" w:hint="eastAsia"/>
          <w:sz w:val="18"/>
        </w:rPr>
        <w:t>资料来源</w:t>
      </w:r>
      <w:r>
        <w:rPr>
          <w:rFonts w:hint="eastAsia"/>
          <w:sz w:val="18"/>
        </w:rPr>
        <w:t>：联邦行政机构，《</w:t>
      </w:r>
      <w:r>
        <w:rPr>
          <w:sz w:val="18"/>
        </w:rPr>
        <w:t>2001</w:t>
      </w:r>
      <w:r>
        <w:rPr>
          <w:rFonts w:hint="eastAsia"/>
          <w:sz w:val="18"/>
        </w:rPr>
        <w:t>年政府报告》，财政和公共信贷部，《</w:t>
      </w:r>
      <w:r>
        <w:rPr>
          <w:sz w:val="18"/>
        </w:rPr>
        <w:t>2001</w:t>
      </w:r>
      <w:r>
        <w:rPr>
          <w:rFonts w:hint="eastAsia"/>
          <w:sz w:val="18"/>
        </w:rPr>
        <w:t>年联邦公共财务报告》。</w:t>
      </w:r>
      <w:r>
        <w:rPr>
          <w:sz w:val="18"/>
        </w:rPr>
        <w:t>2000</w:t>
      </w:r>
      <w:r>
        <w:rPr>
          <w:rFonts w:hint="eastAsia"/>
          <w:sz w:val="18"/>
        </w:rPr>
        <w:t>－</w:t>
      </w:r>
      <w:r>
        <w:rPr>
          <w:sz w:val="18"/>
        </w:rPr>
        <w:t>2003</w:t>
      </w:r>
      <w:r>
        <w:rPr>
          <w:rFonts w:hint="eastAsia"/>
          <w:sz w:val="18"/>
        </w:rPr>
        <w:t>年的数字见社会发展部《第三项活动情况报告》。</w:t>
      </w:r>
    </w:p>
    <w:p w:rsidR="00000000" w:rsidRDefault="00457650">
      <w:pPr>
        <w:widowControl/>
        <w:tabs>
          <w:tab w:val="left" w:pos="630"/>
        </w:tabs>
        <w:spacing w:after="240" w:line="360" w:lineRule="exact"/>
        <w:rPr>
          <w:rFonts w:hint="eastAsia"/>
          <w:sz w:val="18"/>
        </w:rPr>
      </w:pPr>
      <w:r>
        <w:rPr>
          <w:rFonts w:hint="eastAsia"/>
          <w:sz w:val="18"/>
          <w:vertAlign w:val="superscript"/>
        </w:rPr>
        <w:t>﹡</w:t>
      </w:r>
      <w:r>
        <w:rPr>
          <w:rFonts w:hint="eastAsia"/>
          <w:sz w:val="18"/>
        </w:rPr>
        <w:t xml:space="preserve">  </w:t>
      </w:r>
      <w:r>
        <w:rPr>
          <w:rFonts w:hint="eastAsia"/>
          <w:sz w:val="18"/>
        </w:rPr>
        <w:t>年终估计数</w:t>
      </w:r>
    </w:p>
    <w:p w:rsidR="00000000" w:rsidRDefault="00457650">
      <w:pPr>
        <w:keepNext/>
        <w:widowControl/>
        <w:tabs>
          <w:tab w:val="left" w:pos="630"/>
        </w:tabs>
        <w:spacing w:after="240" w:line="360" w:lineRule="exact"/>
        <w:rPr>
          <w:rFonts w:eastAsia="SimHei" w:hint="eastAsia"/>
          <w:bCs/>
        </w:rPr>
      </w:pPr>
      <w:r>
        <w:rPr>
          <w:rFonts w:eastAsia="SimHei"/>
          <w:bCs/>
        </w:rPr>
        <w:tab/>
      </w:r>
      <w:r>
        <w:rPr>
          <w:rFonts w:eastAsia="SimHei" w:hint="eastAsia"/>
          <w:bCs/>
        </w:rPr>
        <w:t>农村供应方案</w:t>
      </w:r>
    </w:p>
    <w:p w:rsidR="00000000" w:rsidRDefault="00457650">
      <w:pPr>
        <w:keepNext/>
        <w:widowControl/>
        <w:tabs>
          <w:tab w:val="left" w:pos="630"/>
        </w:tabs>
        <w:spacing w:after="240" w:line="360" w:lineRule="exact"/>
        <w:rPr>
          <w:rFonts w:hint="eastAsia"/>
        </w:rPr>
      </w:pPr>
      <w:r>
        <w:t>1103</w:t>
      </w:r>
      <w:r>
        <w:rPr>
          <w:rFonts w:hint="eastAsia"/>
        </w:rPr>
        <w:t>.</w:t>
      </w:r>
      <w:r>
        <w:rPr>
          <w:rFonts w:hint="eastAsia"/>
        </w:rPr>
        <w:tab/>
      </w:r>
      <w:r>
        <w:rPr>
          <w:rFonts w:hint="eastAsia"/>
        </w:rPr>
        <w:t>这项方案所进行的活动旨在确保在当地市场条件下，有效、及时、以合适的价格提供充足、质量好且营养价值高的必需品和补给品，通过促进负责的社会双向参与，帮助引入附加服务使偏僻或极为偏僻地区营养贫乏的农村人群受益。</w:t>
      </w:r>
    </w:p>
    <w:p w:rsidR="00000000" w:rsidRDefault="00457650">
      <w:pPr>
        <w:widowControl/>
        <w:tabs>
          <w:tab w:val="left" w:pos="630"/>
        </w:tabs>
        <w:spacing w:after="240" w:line="360" w:lineRule="exact"/>
        <w:rPr>
          <w:rFonts w:hint="eastAsia"/>
        </w:rPr>
      </w:pPr>
      <w:r>
        <w:t>1104</w:t>
      </w:r>
      <w:r>
        <w:rPr>
          <w:rFonts w:hint="eastAsia"/>
        </w:rPr>
        <w:t>.</w:t>
      </w:r>
      <w:r>
        <w:rPr>
          <w:rFonts w:hint="eastAsia"/>
        </w:rPr>
        <w:tab/>
      </w:r>
      <w:r>
        <w:rPr>
          <w:rFonts w:hint="eastAsia"/>
        </w:rPr>
        <w:t>该方案由</w:t>
      </w:r>
      <w:r>
        <w:t>DICONSA</w:t>
      </w:r>
      <w:r>
        <w:rPr>
          <w:rFonts w:hint="eastAsia"/>
        </w:rPr>
        <w:t>负责管理，这是由社会发展部协调的一家主要控股公司，它成为联邦政府社会政策工具的一部分，其总体目标是确保以低于当地市场普遍水平的价格，为偏僻或极为偏僻地区营养贫乏的农村人群提供必需品和补给商品。</w:t>
      </w:r>
    </w:p>
    <w:p w:rsidR="00000000" w:rsidRDefault="00457650">
      <w:pPr>
        <w:widowControl/>
        <w:tabs>
          <w:tab w:val="left" w:pos="630"/>
        </w:tabs>
        <w:spacing w:after="240" w:line="360" w:lineRule="exact"/>
        <w:rPr>
          <w:rFonts w:hint="eastAsia"/>
        </w:rPr>
      </w:pPr>
      <w:r>
        <w:t>1105</w:t>
      </w:r>
      <w:r>
        <w:rPr>
          <w:rFonts w:hint="eastAsia"/>
        </w:rPr>
        <w:t>.</w:t>
      </w:r>
      <w:r>
        <w:rPr>
          <w:rFonts w:hint="eastAsia"/>
        </w:rPr>
        <w:tab/>
      </w:r>
      <w:r>
        <w:rPr>
          <w:rFonts w:hint="eastAsia"/>
        </w:rPr>
        <w:t>目前，</w:t>
      </w:r>
      <w:r>
        <w:t>DICONSA</w:t>
      </w:r>
      <w:r>
        <w:rPr>
          <w:rFonts w:hint="eastAsia"/>
        </w:rPr>
        <w:t>拥有覆盖全国，由</w:t>
      </w:r>
      <w:r>
        <w:t>22</w:t>
      </w:r>
      <w:r>
        <w:rPr>
          <w:rFonts w:hint="eastAsia"/>
        </w:rPr>
        <w:t xml:space="preserve"> </w:t>
      </w:r>
      <w:r>
        <w:t>079</w:t>
      </w:r>
      <w:r>
        <w:rPr>
          <w:rFonts w:hint="eastAsia"/>
        </w:rPr>
        <w:t>家商店组成的基础</w:t>
      </w:r>
      <w:r>
        <w:rPr>
          <w:rFonts w:hint="eastAsia"/>
        </w:rPr>
        <w:t>设施，其中，</w:t>
      </w:r>
      <w:r>
        <w:t>6</w:t>
      </w:r>
      <w:r>
        <w:rPr>
          <w:rFonts w:hint="eastAsia"/>
        </w:rPr>
        <w:t xml:space="preserve"> </w:t>
      </w:r>
      <w:r>
        <w:t>326</w:t>
      </w:r>
      <w:r>
        <w:rPr>
          <w:rFonts w:hint="eastAsia"/>
        </w:rPr>
        <w:t>家商店位于土著市区，</w:t>
      </w:r>
      <w:r>
        <w:t>18</w:t>
      </w:r>
      <w:r>
        <w:rPr>
          <w:rFonts w:hint="eastAsia"/>
        </w:rPr>
        <w:t xml:space="preserve"> </w:t>
      </w:r>
      <w:r>
        <w:t>764</w:t>
      </w:r>
      <w:r>
        <w:rPr>
          <w:rFonts w:hint="eastAsia"/>
        </w:rPr>
        <w:t>家位于也在实施机会方案的地方。它有</w:t>
      </w:r>
      <w:r>
        <w:t>31</w:t>
      </w:r>
      <w:r>
        <w:rPr>
          <w:rFonts w:hint="eastAsia"/>
        </w:rPr>
        <w:t>个储存中心，</w:t>
      </w:r>
      <w:r>
        <w:t>271</w:t>
      </w:r>
      <w:r>
        <w:rPr>
          <w:rFonts w:hint="eastAsia"/>
        </w:rPr>
        <w:t>个乡村仓库，以及一个由</w:t>
      </w:r>
      <w:r>
        <w:t>1</w:t>
      </w:r>
      <w:r>
        <w:rPr>
          <w:rFonts w:hint="eastAsia"/>
        </w:rPr>
        <w:t xml:space="preserve"> </w:t>
      </w:r>
      <w:r>
        <w:t>967</w:t>
      </w:r>
      <w:r>
        <w:rPr>
          <w:rFonts w:hint="eastAsia"/>
        </w:rPr>
        <w:t>辆卡车和</w:t>
      </w:r>
      <w:r>
        <w:t>1</w:t>
      </w:r>
      <w:r>
        <w:rPr>
          <w:rFonts w:hint="eastAsia"/>
        </w:rPr>
        <w:t xml:space="preserve"> </w:t>
      </w:r>
      <w:r>
        <w:t>480</w:t>
      </w:r>
      <w:r>
        <w:rPr>
          <w:rFonts w:hint="eastAsia"/>
        </w:rPr>
        <w:t>辆监督和支助车辆组成的车队。</w:t>
      </w:r>
    </w:p>
    <w:p w:rsidR="00000000" w:rsidRDefault="00457650">
      <w:pPr>
        <w:widowControl/>
        <w:tabs>
          <w:tab w:val="left" w:pos="630"/>
        </w:tabs>
        <w:spacing w:after="240" w:line="360" w:lineRule="exact"/>
        <w:rPr>
          <w:rFonts w:hint="eastAsia"/>
        </w:rPr>
      </w:pPr>
      <w:r>
        <w:t>1106</w:t>
      </w:r>
      <w:r>
        <w:rPr>
          <w:rFonts w:hint="eastAsia"/>
        </w:rPr>
        <w:t>.</w:t>
      </w:r>
      <w:r>
        <w:rPr>
          <w:rFonts w:hint="eastAsia"/>
          <w:spacing w:val="2"/>
        </w:rPr>
        <w:tab/>
      </w:r>
      <w:r>
        <w:rPr>
          <w:rFonts w:hint="eastAsia"/>
          <w:spacing w:val="2"/>
        </w:rPr>
        <w:t>经销的主要商品的总价值为</w:t>
      </w:r>
      <w:r>
        <w:rPr>
          <w:rFonts w:hint="eastAsia"/>
          <w:spacing w:val="2"/>
        </w:rPr>
        <w:t>35</w:t>
      </w:r>
      <w:r>
        <w:rPr>
          <w:spacing w:val="2"/>
        </w:rPr>
        <w:t>.74</w:t>
      </w:r>
      <w:r>
        <w:rPr>
          <w:rFonts w:hint="eastAsia"/>
          <w:spacing w:val="2"/>
        </w:rPr>
        <w:t>亿比索（大约</w:t>
      </w:r>
      <w:r>
        <w:rPr>
          <w:spacing w:val="2"/>
        </w:rPr>
        <w:t>3.1</w:t>
      </w:r>
      <w:r>
        <w:rPr>
          <w:rFonts w:hint="eastAsia"/>
          <w:spacing w:val="2"/>
        </w:rPr>
        <w:t>亿美元）；这些商品包括</w:t>
      </w:r>
      <w:r>
        <w:rPr>
          <w:spacing w:val="2"/>
        </w:rPr>
        <w:t>283</w:t>
      </w:r>
      <w:r>
        <w:rPr>
          <w:rFonts w:hint="eastAsia"/>
          <w:spacing w:val="2"/>
        </w:rPr>
        <w:t xml:space="preserve"> </w:t>
      </w:r>
      <w:r>
        <w:rPr>
          <w:spacing w:val="2"/>
        </w:rPr>
        <w:t>545</w:t>
      </w:r>
      <w:r>
        <w:rPr>
          <w:rFonts w:hint="eastAsia"/>
          <w:spacing w:val="2"/>
        </w:rPr>
        <w:t>公吨的玉米，</w:t>
      </w:r>
      <w:r>
        <w:rPr>
          <w:spacing w:val="2"/>
        </w:rPr>
        <w:t>12</w:t>
      </w:r>
      <w:r>
        <w:rPr>
          <w:rFonts w:hint="eastAsia"/>
          <w:spacing w:val="2"/>
        </w:rPr>
        <w:t xml:space="preserve"> </w:t>
      </w:r>
      <w:r>
        <w:rPr>
          <w:spacing w:val="2"/>
        </w:rPr>
        <w:t>950</w:t>
      </w:r>
      <w:r>
        <w:rPr>
          <w:rFonts w:hint="eastAsia"/>
        </w:rPr>
        <w:t>吨的菜豆，</w:t>
      </w:r>
      <w:r>
        <w:t>15</w:t>
      </w:r>
      <w:r>
        <w:rPr>
          <w:rFonts w:hint="eastAsia"/>
        </w:rPr>
        <w:t xml:space="preserve"> </w:t>
      </w:r>
      <w:r>
        <w:t>038</w:t>
      </w:r>
      <w:r>
        <w:rPr>
          <w:rFonts w:hint="eastAsia"/>
        </w:rPr>
        <w:t>吨的大米，</w:t>
      </w:r>
      <w:r>
        <w:t>41</w:t>
      </w:r>
      <w:r>
        <w:rPr>
          <w:rFonts w:hint="eastAsia"/>
        </w:rPr>
        <w:t xml:space="preserve"> </w:t>
      </w:r>
      <w:r>
        <w:t>791</w:t>
      </w:r>
      <w:r>
        <w:rPr>
          <w:rFonts w:hint="eastAsia"/>
        </w:rPr>
        <w:t>吨的糖，</w:t>
      </w:r>
      <w:r>
        <w:t>80</w:t>
      </w:r>
      <w:r>
        <w:rPr>
          <w:rFonts w:hint="eastAsia"/>
        </w:rPr>
        <w:t xml:space="preserve"> </w:t>
      </w:r>
      <w:r>
        <w:t>959</w:t>
      </w:r>
      <w:r>
        <w:rPr>
          <w:rFonts w:hint="eastAsia"/>
        </w:rPr>
        <w:t>吨的玉米粉和</w:t>
      </w:r>
      <w:r>
        <w:t>6</w:t>
      </w:r>
      <w:r>
        <w:rPr>
          <w:rFonts w:hint="eastAsia"/>
        </w:rPr>
        <w:t xml:space="preserve"> </w:t>
      </w:r>
      <w:r>
        <w:t>856</w:t>
      </w:r>
      <w:r>
        <w:rPr>
          <w:rFonts w:hint="eastAsia"/>
        </w:rPr>
        <w:t>吨的奶粉，此外，还卖出了总价值为</w:t>
      </w:r>
      <w:r>
        <w:t>19.68</w:t>
      </w:r>
      <w:r>
        <w:rPr>
          <w:rFonts w:hint="eastAsia"/>
        </w:rPr>
        <w:t>亿比索（大约</w:t>
      </w:r>
      <w:r>
        <w:t>1.8</w:t>
      </w:r>
      <w:r>
        <w:rPr>
          <w:rFonts w:hint="eastAsia"/>
        </w:rPr>
        <w:t>亿美元）的食品和日杂用品。</w:t>
      </w:r>
    </w:p>
    <w:p w:rsidR="00000000" w:rsidRDefault="00457650">
      <w:pPr>
        <w:widowControl/>
        <w:tabs>
          <w:tab w:val="left" w:pos="630"/>
        </w:tabs>
        <w:spacing w:after="240" w:line="360" w:lineRule="exact"/>
        <w:rPr>
          <w:rFonts w:hint="eastAsia"/>
        </w:rPr>
      </w:pPr>
      <w:r>
        <w:t>1107</w:t>
      </w:r>
      <w:r>
        <w:rPr>
          <w:rFonts w:hint="eastAsia"/>
        </w:rPr>
        <w:t>.</w:t>
      </w:r>
      <w:r>
        <w:rPr>
          <w:rFonts w:hint="eastAsia"/>
        </w:rPr>
        <w:tab/>
      </w:r>
      <w:r>
        <w:rPr>
          <w:rFonts w:hint="eastAsia"/>
        </w:rPr>
        <w:t>乡村供应方案</w:t>
      </w:r>
      <w:r>
        <w:rPr>
          <w:rFonts w:hint="eastAsia"/>
        </w:rPr>
        <w:t>为需要通过</w:t>
      </w:r>
      <w:r>
        <w:t>DICONSA</w:t>
      </w:r>
      <w:r>
        <w:rPr>
          <w:rFonts w:hint="eastAsia"/>
        </w:rPr>
        <w:t>销售网络获得必需品的人群提供了直接的支助。居民每次到这些商店购买必需品，可以节省</w:t>
      </w:r>
      <w:r>
        <w:t>6.06%</w:t>
      </w:r>
      <w:r>
        <w:rPr>
          <w:rFonts w:hint="eastAsia"/>
        </w:rPr>
        <w:t>的花费。</w:t>
      </w:r>
    </w:p>
    <w:p w:rsidR="00000000" w:rsidRDefault="00457650">
      <w:pPr>
        <w:widowControl/>
        <w:tabs>
          <w:tab w:val="left" w:pos="630"/>
        </w:tabs>
        <w:spacing w:after="240" w:line="360" w:lineRule="exact"/>
        <w:jc w:val="center"/>
        <w:rPr>
          <w:rFonts w:ascii="SimHei" w:eastAsia="SimHei" w:hint="eastAsia"/>
          <w:bCs/>
        </w:rPr>
      </w:pPr>
      <w:r>
        <w:rPr>
          <w:rFonts w:ascii="SimHei" w:eastAsia="SimHei"/>
          <w:bCs/>
        </w:rPr>
        <w:t>1997</w:t>
      </w:r>
      <w:r>
        <w:rPr>
          <w:rFonts w:ascii="SimHei" w:eastAsia="SimHei" w:hint="eastAsia"/>
          <w:bCs/>
        </w:rPr>
        <w:t>-</w:t>
      </w:r>
      <w:r>
        <w:rPr>
          <w:rFonts w:ascii="SimHei" w:eastAsia="SimHei"/>
          <w:bCs/>
        </w:rPr>
        <w:t>2003</w:t>
      </w:r>
      <w:r>
        <w:rPr>
          <w:rFonts w:ascii="SimHei" w:eastAsia="SimHei" w:hint="eastAsia"/>
          <w:bCs/>
        </w:rPr>
        <w:t>年农村供应方案的主要成果</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0"/>
        <w:gridCol w:w="1028"/>
        <w:gridCol w:w="1030"/>
        <w:gridCol w:w="1029"/>
        <w:gridCol w:w="1027"/>
        <w:gridCol w:w="1029"/>
        <w:gridCol w:w="1029"/>
        <w:gridCol w:w="1029"/>
      </w:tblGrid>
      <w:tr w:rsidR="00000000">
        <w:tblPrEx>
          <w:tblCellMar>
            <w:top w:w="0" w:type="dxa"/>
            <w:bottom w:w="0" w:type="dxa"/>
          </w:tblCellMar>
        </w:tblPrEx>
        <w:tc>
          <w:tcPr>
            <w:tcW w:w="1341" w:type="pct"/>
            <w:vAlign w:val="center"/>
          </w:tcPr>
          <w:p w:rsidR="00000000" w:rsidRDefault="00457650">
            <w:pPr>
              <w:widowControl/>
              <w:tabs>
                <w:tab w:val="left" w:pos="630"/>
              </w:tabs>
              <w:spacing w:before="120" w:after="120" w:line="320" w:lineRule="exact"/>
              <w:jc w:val="center"/>
              <w:rPr>
                <w:rFonts w:ascii="KaiTi_GB2312" w:eastAsia="KaiTi_GB2312" w:hint="eastAsia"/>
                <w:sz w:val="18"/>
              </w:rPr>
            </w:pPr>
            <w:r>
              <w:rPr>
                <w:rFonts w:ascii="KaiTi_GB2312" w:eastAsia="KaiTi_GB2312" w:hint="eastAsia"/>
                <w:sz w:val="18"/>
              </w:rPr>
              <w:t>项目</w:t>
            </w:r>
          </w:p>
        </w:tc>
        <w:tc>
          <w:tcPr>
            <w:tcW w:w="522" w:type="pct"/>
            <w:vAlign w:val="center"/>
          </w:tcPr>
          <w:p w:rsidR="00000000" w:rsidRDefault="00457650">
            <w:pPr>
              <w:widowControl/>
              <w:tabs>
                <w:tab w:val="left" w:pos="630"/>
              </w:tabs>
              <w:spacing w:before="120" w:after="120" w:line="320" w:lineRule="exact"/>
              <w:jc w:val="center"/>
              <w:rPr>
                <w:rFonts w:ascii="KaiTi_GB2312" w:eastAsia="KaiTi_GB2312" w:hint="eastAsia"/>
                <w:sz w:val="18"/>
              </w:rPr>
            </w:pPr>
            <w:r>
              <w:rPr>
                <w:rFonts w:ascii="KaiTi_GB2312" w:eastAsia="KaiTi_GB2312"/>
                <w:sz w:val="18"/>
              </w:rPr>
              <w:t>1997</w:t>
            </w:r>
            <w:r>
              <w:rPr>
                <w:rFonts w:ascii="KaiTi_GB2312" w:eastAsia="KaiTi_GB2312" w:hint="eastAsia"/>
                <w:sz w:val="18"/>
              </w:rPr>
              <w:t>年</w:t>
            </w:r>
          </w:p>
        </w:tc>
        <w:tc>
          <w:tcPr>
            <w:tcW w:w="523" w:type="pct"/>
            <w:vAlign w:val="center"/>
          </w:tcPr>
          <w:p w:rsidR="00000000" w:rsidRDefault="00457650">
            <w:pPr>
              <w:widowControl/>
              <w:tabs>
                <w:tab w:val="left" w:pos="630"/>
              </w:tabs>
              <w:spacing w:before="120" w:after="120" w:line="320" w:lineRule="exact"/>
              <w:jc w:val="center"/>
              <w:rPr>
                <w:rFonts w:ascii="KaiTi_GB2312" w:eastAsia="KaiTi_GB2312" w:hint="eastAsia"/>
                <w:sz w:val="18"/>
              </w:rPr>
            </w:pPr>
            <w:r>
              <w:rPr>
                <w:rFonts w:ascii="KaiTi_GB2312" w:eastAsia="KaiTi_GB2312"/>
                <w:sz w:val="18"/>
              </w:rPr>
              <w:t>1998</w:t>
            </w:r>
            <w:r>
              <w:rPr>
                <w:rFonts w:ascii="KaiTi_GB2312" w:eastAsia="KaiTi_GB2312" w:hint="eastAsia"/>
                <w:sz w:val="18"/>
              </w:rPr>
              <w:t>年</w:t>
            </w:r>
          </w:p>
        </w:tc>
        <w:tc>
          <w:tcPr>
            <w:tcW w:w="523" w:type="pct"/>
            <w:vAlign w:val="center"/>
          </w:tcPr>
          <w:p w:rsidR="00000000" w:rsidRDefault="00457650">
            <w:pPr>
              <w:widowControl/>
              <w:tabs>
                <w:tab w:val="left" w:pos="630"/>
              </w:tabs>
              <w:spacing w:before="120" w:after="120" w:line="320" w:lineRule="exact"/>
              <w:jc w:val="center"/>
              <w:rPr>
                <w:rFonts w:ascii="KaiTi_GB2312" w:eastAsia="KaiTi_GB2312" w:hint="eastAsia"/>
                <w:sz w:val="18"/>
              </w:rPr>
            </w:pPr>
            <w:r>
              <w:rPr>
                <w:rFonts w:ascii="KaiTi_GB2312" w:eastAsia="KaiTi_GB2312"/>
                <w:sz w:val="18"/>
              </w:rPr>
              <w:t>1999</w:t>
            </w:r>
            <w:r>
              <w:rPr>
                <w:rFonts w:ascii="KaiTi_GB2312" w:eastAsia="KaiTi_GB2312" w:hint="eastAsia"/>
                <w:sz w:val="18"/>
              </w:rPr>
              <w:t>年</w:t>
            </w:r>
          </w:p>
        </w:tc>
        <w:tc>
          <w:tcPr>
            <w:tcW w:w="522" w:type="pct"/>
            <w:vAlign w:val="center"/>
          </w:tcPr>
          <w:p w:rsidR="00000000" w:rsidRDefault="00457650">
            <w:pPr>
              <w:widowControl/>
              <w:tabs>
                <w:tab w:val="left" w:pos="630"/>
              </w:tabs>
              <w:spacing w:before="120" w:after="120" w:line="320" w:lineRule="exact"/>
              <w:jc w:val="center"/>
              <w:rPr>
                <w:rFonts w:ascii="KaiTi_GB2312" w:eastAsia="KaiTi_GB2312" w:hint="eastAsia"/>
                <w:sz w:val="18"/>
              </w:rPr>
            </w:pPr>
            <w:r>
              <w:rPr>
                <w:rFonts w:ascii="KaiTi_GB2312" w:eastAsia="KaiTi_GB2312"/>
                <w:sz w:val="18"/>
              </w:rPr>
              <w:t>2000</w:t>
            </w:r>
            <w:r>
              <w:rPr>
                <w:rFonts w:ascii="KaiTi_GB2312" w:eastAsia="KaiTi_GB2312" w:hint="eastAsia"/>
                <w:sz w:val="18"/>
              </w:rPr>
              <w:t>年</w:t>
            </w:r>
          </w:p>
        </w:tc>
        <w:tc>
          <w:tcPr>
            <w:tcW w:w="523" w:type="pct"/>
            <w:vAlign w:val="center"/>
          </w:tcPr>
          <w:p w:rsidR="00000000" w:rsidRDefault="00457650">
            <w:pPr>
              <w:widowControl/>
              <w:tabs>
                <w:tab w:val="left" w:pos="630"/>
              </w:tabs>
              <w:spacing w:before="120" w:after="120" w:line="320" w:lineRule="exact"/>
              <w:jc w:val="center"/>
              <w:rPr>
                <w:rFonts w:ascii="KaiTi_GB2312" w:eastAsia="KaiTi_GB2312" w:hint="eastAsia"/>
                <w:sz w:val="18"/>
              </w:rPr>
            </w:pPr>
            <w:r>
              <w:rPr>
                <w:rFonts w:ascii="KaiTi_GB2312" w:eastAsia="KaiTi_GB2312"/>
                <w:sz w:val="18"/>
              </w:rPr>
              <w:t>2001</w:t>
            </w:r>
            <w:r>
              <w:rPr>
                <w:rFonts w:ascii="KaiTi_GB2312" w:eastAsia="KaiTi_GB2312" w:hint="eastAsia"/>
                <w:sz w:val="18"/>
              </w:rPr>
              <w:t>年</w:t>
            </w:r>
          </w:p>
        </w:tc>
        <w:tc>
          <w:tcPr>
            <w:tcW w:w="523" w:type="pct"/>
            <w:vAlign w:val="center"/>
          </w:tcPr>
          <w:p w:rsidR="00000000" w:rsidRDefault="00457650">
            <w:pPr>
              <w:widowControl/>
              <w:tabs>
                <w:tab w:val="left" w:pos="630"/>
              </w:tabs>
              <w:spacing w:before="120" w:after="120" w:line="320" w:lineRule="exact"/>
              <w:jc w:val="center"/>
              <w:rPr>
                <w:rFonts w:ascii="KaiTi_GB2312" w:eastAsia="KaiTi_GB2312" w:hint="eastAsia"/>
                <w:sz w:val="18"/>
              </w:rPr>
            </w:pPr>
            <w:r>
              <w:rPr>
                <w:rFonts w:ascii="KaiTi_GB2312" w:eastAsia="KaiTi_GB2312"/>
                <w:sz w:val="18"/>
              </w:rPr>
              <w:t>2002</w:t>
            </w:r>
            <w:r>
              <w:rPr>
                <w:rFonts w:ascii="KaiTi_GB2312" w:eastAsia="KaiTi_GB2312" w:hint="eastAsia"/>
                <w:sz w:val="18"/>
              </w:rPr>
              <w:t>年</w:t>
            </w:r>
          </w:p>
        </w:tc>
        <w:tc>
          <w:tcPr>
            <w:tcW w:w="523" w:type="pct"/>
            <w:vAlign w:val="center"/>
          </w:tcPr>
          <w:p w:rsidR="00000000" w:rsidRDefault="00457650">
            <w:pPr>
              <w:widowControl/>
              <w:tabs>
                <w:tab w:val="left" w:pos="630"/>
              </w:tabs>
              <w:spacing w:before="120" w:after="120" w:line="320" w:lineRule="exact"/>
              <w:jc w:val="center"/>
              <w:rPr>
                <w:rFonts w:ascii="KaiTi_GB2312" w:eastAsia="KaiTi_GB2312" w:hint="eastAsia"/>
                <w:sz w:val="18"/>
              </w:rPr>
            </w:pPr>
            <w:r>
              <w:rPr>
                <w:rFonts w:ascii="KaiTi_GB2312" w:eastAsia="KaiTi_GB2312"/>
                <w:sz w:val="18"/>
              </w:rPr>
              <w:t>2003</w:t>
            </w:r>
            <w:r>
              <w:rPr>
                <w:rFonts w:ascii="KaiTi_GB2312" w:eastAsia="KaiTi_GB2312" w:hint="eastAsia"/>
                <w:sz w:val="18"/>
              </w:rPr>
              <w:t>年</w:t>
            </w:r>
            <w:r>
              <w:rPr>
                <w:rFonts w:ascii="KaiTi_GB2312" w:eastAsia="KaiTi_GB2312" w:hint="eastAsia"/>
                <w:sz w:val="18"/>
                <w:vertAlign w:val="superscript"/>
              </w:rPr>
              <w:t>﹡</w:t>
            </w:r>
          </w:p>
        </w:tc>
      </w:tr>
      <w:tr w:rsidR="00000000">
        <w:tblPrEx>
          <w:tblCellMar>
            <w:top w:w="0" w:type="dxa"/>
            <w:bottom w:w="0" w:type="dxa"/>
          </w:tblCellMar>
        </w:tblPrEx>
        <w:tc>
          <w:tcPr>
            <w:tcW w:w="1341" w:type="pct"/>
          </w:tcPr>
          <w:p w:rsidR="00000000" w:rsidRDefault="00457650">
            <w:pPr>
              <w:widowControl/>
              <w:tabs>
                <w:tab w:val="left" w:pos="630"/>
              </w:tabs>
              <w:spacing w:before="120" w:after="120" w:line="320" w:lineRule="exact"/>
              <w:rPr>
                <w:rFonts w:hint="eastAsia"/>
                <w:sz w:val="18"/>
              </w:rPr>
            </w:pPr>
            <w:r>
              <w:rPr>
                <w:rFonts w:hint="eastAsia"/>
                <w:sz w:val="18"/>
              </w:rPr>
              <w:t>农村和城市商场及店铺总数</w:t>
            </w:r>
          </w:p>
        </w:tc>
        <w:tc>
          <w:tcPr>
            <w:tcW w:w="522" w:type="pct"/>
            <w:vAlign w:val="bottom"/>
          </w:tcPr>
          <w:p w:rsidR="00000000" w:rsidRDefault="00457650">
            <w:pPr>
              <w:widowControl/>
              <w:tabs>
                <w:tab w:val="left" w:pos="630"/>
              </w:tabs>
              <w:spacing w:before="120" w:after="120" w:line="320" w:lineRule="exact"/>
              <w:jc w:val="center"/>
              <w:rPr>
                <w:sz w:val="18"/>
                <w:szCs w:val="22"/>
              </w:rPr>
            </w:pPr>
            <w:r>
              <w:rPr>
                <w:sz w:val="18"/>
                <w:szCs w:val="22"/>
              </w:rPr>
              <w:t>23</w:t>
            </w:r>
            <w:r>
              <w:rPr>
                <w:rFonts w:hint="eastAsia"/>
                <w:sz w:val="18"/>
                <w:szCs w:val="22"/>
              </w:rPr>
              <w:t xml:space="preserve"> </w:t>
            </w:r>
            <w:r>
              <w:rPr>
                <w:sz w:val="18"/>
                <w:szCs w:val="22"/>
              </w:rPr>
              <w:t>734</w:t>
            </w:r>
          </w:p>
        </w:tc>
        <w:tc>
          <w:tcPr>
            <w:tcW w:w="523" w:type="pct"/>
            <w:vAlign w:val="bottom"/>
          </w:tcPr>
          <w:p w:rsidR="00000000" w:rsidRDefault="00457650">
            <w:pPr>
              <w:widowControl/>
              <w:tabs>
                <w:tab w:val="left" w:pos="630"/>
              </w:tabs>
              <w:spacing w:before="120" w:after="120" w:line="320" w:lineRule="exact"/>
              <w:jc w:val="center"/>
              <w:rPr>
                <w:sz w:val="18"/>
                <w:szCs w:val="22"/>
              </w:rPr>
            </w:pPr>
            <w:r>
              <w:rPr>
                <w:sz w:val="18"/>
                <w:szCs w:val="22"/>
              </w:rPr>
              <w:t>24</w:t>
            </w:r>
            <w:r>
              <w:rPr>
                <w:rFonts w:hint="eastAsia"/>
                <w:sz w:val="18"/>
                <w:szCs w:val="22"/>
              </w:rPr>
              <w:t xml:space="preserve"> </w:t>
            </w:r>
            <w:r>
              <w:rPr>
                <w:sz w:val="18"/>
                <w:szCs w:val="22"/>
              </w:rPr>
              <w:t>230</w:t>
            </w:r>
          </w:p>
        </w:tc>
        <w:tc>
          <w:tcPr>
            <w:tcW w:w="523" w:type="pct"/>
            <w:vAlign w:val="bottom"/>
          </w:tcPr>
          <w:p w:rsidR="00000000" w:rsidRDefault="00457650">
            <w:pPr>
              <w:widowControl/>
              <w:tabs>
                <w:tab w:val="left" w:pos="630"/>
              </w:tabs>
              <w:spacing w:before="120" w:after="120" w:line="320" w:lineRule="exact"/>
              <w:jc w:val="center"/>
              <w:rPr>
                <w:sz w:val="18"/>
                <w:szCs w:val="22"/>
              </w:rPr>
            </w:pPr>
            <w:r>
              <w:rPr>
                <w:sz w:val="18"/>
                <w:szCs w:val="22"/>
              </w:rPr>
              <w:t>23</w:t>
            </w:r>
            <w:r>
              <w:rPr>
                <w:rFonts w:hint="eastAsia"/>
                <w:sz w:val="18"/>
                <w:szCs w:val="22"/>
              </w:rPr>
              <w:t xml:space="preserve"> </w:t>
            </w:r>
            <w:r>
              <w:rPr>
                <w:sz w:val="18"/>
                <w:szCs w:val="22"/>
              </w:rPr>
              <w:t>628</w:t>
            </w:r>
          </w:p>
        </w:tc>
        <w:tc>
          <w:tcPr>
            <w:tcW w:w="522" w:type="pct"/>
            <w:vAlign w:val="bottom"/>
          </w:tcPr>
          <w:p w:rsidR="00000000" w:rsidRDefault="00457650">
            <w:pPr>
              <w:widowControl/>
              <w:tabs>
                <w:tab w:val="left" w:pos="630"/>
              </w:tabs>
              <w:spacing w:before="120" w:after="120" w:line="320" w:lineRule="exact"/>
              <w:jc w:val="center"/>
              <w:rPr>
                <w:sz w:val="18"/>
                <w:szCs w:val="22"/>
              </w:rPr>
            </w:pPr>
            <w:r>
              <w:rPr>
                <w:sz w:val="18"/>
                <w:szCs w:val="22"/>
              </w:rPr>
              <w:t>22</w:t>
            </w:r>
            <w:r>
              <w:rPr>
                <w:rFonts w:hint="eastAsia"/>
                <w:sz w:val="18"/>
                <w:szCs w:val="22"/>
              </w:rPr>
              <w:t xml:space="preserve"> </w:t>
            </w:r>
            <w:r>
              <w:rPr>
                <w:sz w:val="18"/>
                <w:szCs w:val="22"/>
              </w:rPr>
              <w:t>777</w:t>
            </w:r>
          </w:p>
        </w:tc>
        <w:tc>
          <w:tcPr>
            <w:tcW w:w="523" w:type="pct"/>
            <w:vAlign w:val="bottom"/>
          </w:tcPr>
          <w:p w:rsidR="00000000" w:rsidRDefault="00457650">
            <w:pPr>
              <w:pStyle w:val="a3"/>
              <w:widowControl/>
              <w:tabs>
                <w:tab w:val="left" w:pos="630"/>
              </w:tabs>
              <w:adjustRightInd w:val="0"/>
              <w:spacing w:before="120" w:after="120" w:line="320" w:lineRule="exact"/>
              <w:jc w:val="center"/>
              <w:textAlignment w:val="baseline"/>
              <w:rPr>
                <w:kern w:val="0"/>
                <w:szCs w:val="22"/>
              </w:rPr>
            </w:pPr>
            <w:r>
              <w:rPr>
                <w:kern w:val="0"/>
                <w:szCs w:val="22"/>
              </w:rPr>
              <w:t>22</w:t>
            </w:r>
            <w:r>
              <w:rPr>
                <w:rFonts w:hint="eastAsia"/>
                <w:kern w:val="0"/>
                <w:szCs w:val="22"/>
              </w:rPr>
              <w:t xml:space="preserve"> </w:t>
            </w:r>
            <w:r>
              <w:rPr>
                <w:kern w:val="0"/>
                <w:szCs w:val="22"/>
              </w:rPr>
              <w:t>861</w:t>
            </w:r>
          </w:p>
        </w:tc>
        <w:tc>
          <w:tcPr>
            <w:tcW w:w="523" w:type="pct"/>
            <w:vAlign w:val="bottom"/>
          </w:tcPr>
          <w:p w:rsidR="00000000" w:rsidRDefault="00457650">
            <w:pPr>
              <w:widowControl/>
              <w:tabs>
                <w:tab w:val="left" w:pos="630"/>
              </w:tabs>
              <w:spacing w:before="120" w:after="120" w:line="320" w:lineRule="exact"/>
              <w:jc w:val="center"/>
              <w:rPr>
                <w:sz w:val="18"/>
                <w:szCs w:val="22"/>
              </w:rPr>
            </w:pPr>
            <w:r>
              <w:rPr>
                <w:sz w:val="18"/>
                <w:szCs w:val="22"/>
              </w:rPr>
              <w:t>22</w:t>
            </w:r>
            <w:r>
              <w:rPr>
                <w:rFonts w:hint="eastAsia"/>
                <w:sz w:val="18"/>
                <w:szCs w:val="22"/>
              </w:rPr>
              <w:t xml:space="preserve"> </w:t>
            </w:r>
            <w:r>
              <w:rPr>
                <w:sz w:val="18"/>
                <w:szCs w:val="22"/>
              </w:rPr>
              <w:t>516</w:t>
            </w:r>
          </w:p>
        </w:tc>
        <w:tc>
          <w:tcPr>
            <w:tcW w:w="523" w:type="pct"/>
            <w:vAlign w:val="bottom"/>
          </w:tcPr>
          <w:p w:rsidR="00000000" w:rsidRDefault="00457650">
            <w:pPr>
              <w:widowControl/>
              <w:tabs>
                <w:tab w:val="left" w:pos="630"/>
              </w:tabs>
              <w:spacing w:before="120" w:after="120" w:line="320" w:lineRule="exact"/>
              <w:jc w:val="center"/>
              <w:rPr>
                <w:sz w:val="18"/>
                <w:szCs w:val="22"/>
              </w:rPr>
            </w:pPr>
            <w:r>
              <w:rPr>
                <w:sz w:val="18"/>
                <w:szCs w:val="22"/>
              </w:rPr>
              <w:t>22</w:t>
            </w:r>
            <w:r>
              <w:rPr>
                <w:rFonts w:hint="eastAsia"/>
                <w:sz w:val="18"/>
                <w:szCs w:val="22"/>
              </w:rPr>
              <w:t xml:space="preserve"> </w:t>
            </w:r>
            <w:r>
              <w:rPr>
                <w:sz w:val="18"/>
                <w:szCs w:val="22"/>
              </w:rPr>
              <w:t>079</w:t>
            </w:r>
          </w:p>
        </w:tc>
      </w:tr>
    </w:tbl>
    <w:p w:rsidR="00000000" w:rsidRDefault="00457650">
      <w:pPr>
        <w:widowControl/>
        <w:tabs>
          <w:tab w:val="left" w:pos="630"/>
        </w:tabs>
        <w:spacing w:line="360" w:lineRule="exact"/>
        <w:rPr>
          <w:rFonts w:hint="eastAsia"/>
          <w:sz w:val="18"/>
        </w:rPr>
      </w:pPr>
      <w:r>
        <w:rPr>
          <w:rFonts w:eastAsia="KaiTi_GB2312" w:hint="eastAsia"/>
          <w:sz w:val="18"/>
        </w:rPr>
        <w:t>资料来源</w:t>
      </w:r>
      <w:r>
        <w:rPr>
          <w:rFonts w:hint="eastAsia"/>
          <w:sz w:val="18"/>
        </w:rPr>
        <w:t>：联邦行政机构，《政府报告》，财政和公共信贷部，《</w:t>
      </w:r>
      <w:r>
        <w:rPr>
          <w:sz w:val="18"/>
        </w:rPr>
        <w:t>2001</w:t>
      </w:r>
      <w:r>
        <w:rPr>
          <w:rFonts w:hint="eastAsia"/>
          <w:sz w:val="18"/>
        </w:rPr>
        <w:t>年联邦公共财务报告》；以及社会发展部。</w:t>
      </w:r>
    </w:p>
    <w:p w:rsidR="00000000" w:rsidRDefault="00457650">
      <w:pPr>
        <w:widowControl/>
        <w:tabs>
          <w:tab w:val="left" w:pos="630"/>
        </w:tabs>
        <w:spacing w:after="240" w:line="360" w:lineRule="exact"/>
        <w:rPr>
          <w:rFonts w:hint="eastAsia"/>
          <w:sz w:val="18"/>
        </w:rPr>
      </w:pPr>
      <w:r>
        <w:rPr>
          <w:rFonts w:hint="eastAsia"/>
          <w:sz w:val="18"/>
          <w:vertAlign w:val="superscript"/>
        </w:rPr>
        <w:t>﹡</w:t>
      </w:r>
      <w:r>
        <w:rPr>
          <w:rFonts w:hint="eastAsia"/>
          <w:sz w:val="18"/>
        </w:rPr>
        <w:t>年终估计数字。</w:t>
      </w:r>
    </w:p>
    <w:p w:rsidR="00000000" w:rsidRDefault="00457650">
      <w:pPr>
        <w:widowControl/>
        <w:tabs>
          <w:tab w:val="left" w:pos="630"/>
        </w:tabs>
        <w:spacing w:after="240" w:line="360" w:lineRule="exact"/>
        <w:rPr>
          <w:rFonts w:eastAsia="SimHei" w:hint="eastAsia"/>
          <w:bCs/>
        </w:rPr>
      </w:pPr>
      <w:r>
        <w:rPr>
          <w:rFonts w:eastAsia="SimHei"/>
          <w:bCs/>
        </w:rPr>
        <w:tab/>
      </w:r>
      <w:r>
        <w:rPr>
          <w:rFonts w:eastAsia="SimHei" w:hint="eastAsia"/>
          <w:bCs/>
        </w:rPr>
        <w:t>国家激励方案</w:t>
      </w:r>
    </w:p>
    <w:p w:rsidR="00000000" w:rsidRDefault="00457650">
      <w:pPr>
        <w:widowControl/>
        <w:tabs>
          <w:tab w:val="left" w:pos="630"/>
        </w:tabs>
        <w:spacing w:after="240" w:line="360" w:lineRule="exact"/>
        <w:rPr>
          <w:rFonts w:hint="eastAsia"/>
        </w:rPr>
      </w:pPr>
      <w:r>
        <w:t>1108</w:t>
      </w:r>
      <w:r>
        <w:rPr>
          <w:rFonts w:hint="eastAsia"/>
        </w:rPr>
        <w:t>.</w:t>
      </w:r>
      <w:r>
        <w:rPr>
          <w:rFonts w:hint="eastAsia"/>
        </w:rPr>
        <w:tab/>
      </w:r>
      <w:r>
        <w:rPr>
          <w:rFonts w:hint="eastAsia"/>
        </w:rPr>
        <w:t>这是最近创立的一个方案，它的作用是促进作为有效落实社会和人力发展政策基本要素的国家行动，各州的联合责任，以及各州参与的社会发展措施的透明度和可靠性。另外，它还促进国家当局革新和发展消除贫穷的有效工具。该方案为实现这一目标规定了两种援助模式。</w:t>
      </w:r>
    </w:p>
    <w:p w:rsidR="00000000" w:rsidRDefault="00457650">
      <w:pPr>
        <w:widowControl/>
        <w:tabs>
          <w:tab w:val="left" w:pos="630"/>
        </w:tabs>
        <w:spacing w:after="240" w:line="360" w:lineRule="exact"/>
        <w:rPr>
          <w:rFonts w:hint="eastAsia"/>
        </w:rPr>
      </w:pPr>
      <w:r>
        <w:t>1109</w:t>
      </w:r>
      <w:r>
        <w:rPr>
          <w:rFonts w:hint="eastAsia"/>
        </w:rPr>
        <w:t>.</w:t>
      </w:r>
      <w:r>
        <w:rPr>
          <w:rFonts w:hint="eastAsia"/>
        </w:rPr>
        <w:tab/>
      </w:r>
      <w:r>
        <w:rPr>
          <w:rFonts w:hint="eastAsia"/>
        </w:rPr>
        <w:t>第一种模式包括向在州一级的工作、联合责任及透明度和问责制方面表现最好的各州提供资源，用于支持州的社会发展项目和方案。</w:t>
      </w:r>
    </w:p>
    <w:p w:rsidR="00000000" w:rsidRDefault="00457650">
      <w:pPr>
        <w:widowControl/>
        <w:tabs>
          <w:tab w:val="left" w:pos="630"/>
        </w:tabs>
        <w:spacing w:after="240" w:line="360" w:lineRule="exact"/>
        <w:rPr>
          <w:rFonts w:hint="eastAsia"/>
        </w:rPr>
      </w:pPr>
      <w:r>
        <w:t>1110</w:t>
      </w:r>
      <w:r>
        <w:rPr>
          <w:rFonts w:hint="eastAsia"/>
        </w:rPr>
        <w:t>.</w:t>
      </w:r>
      <w:r>
        <w:rPr>
          <w:rFonts w:hint="eastAsia"/>
        </w:rPr>
        <w:tab/>
      </w:r>
      <w:r>
        <w:rPr>
          <w:rFonts w:hint="eastAsia"/>
        </w:rPr>
        <w:t>第二种模式是在公开竞争的基础上，为各州合格的项目和方案提供支助，这类项目和方案很有可能成为有效的手段</w:t>
      </w:r>
      <w:r>
        <w:rPr>
          <w:rFonts w:hint="eastAsia"/>
        </w:rPr>
        <w:t>，促进贫穷或边缘化人群的社会和人力发展。</w:t>
      </w:r>
    </w:p>
    <w:p w:rsidR="00000000" w:rsidRDefault="00457650">
      <w:pPr>
        <w:widowControl/>
        <w:tabs>
          <w:tab w:val="left" w:pos="630"/>
        </w:tabs>
        <w:spacing w:after="240" w:line="360" w:lineRule="exact"/>
        <w:rPr>
          <w:rFonts w:eastAsia="SimHei" w:hint="eastAsia"/>
          <w:bCs/>
        </w:rPr>
      </w:pPr>
      <w:r>
        <w:rPr>
          <w:rFonts w:eastAsia="SimHei"/>
          <w:bCs/>
        </w:rPr>
        <w:tab/>
      </w:r>
      <w:r>
        <w:rPr>
          <w:rFonts w:eastAsia="SimHei" w:hint="eastAsia"/>
          <w:bCs/>
        </w:rPr>
        <w:t>社会投资联合方案</w:t>
      </w:r>
    </w:p>
    <w:p w:rsidR="00000000" w:rsidRDefault="00457650">
      <w:pPr>
        <w:widowControl/>
        <w:tabs>
          <w:tab w:val="left" w:pos="630"/>
        </w:tabs>
        <w:spacing w:after="240" w:line="360" w:lineRule="exact"/>
        <w:rPr>
          <w:rFonts w:hint="eastAsia"/>
        </w:rPr>
      </w:pPr>
      <w:r>
        <w:t>1111</w:t>
      </w:r>
      <w:r>
        <w:rPr>
          <w:rFonts w:hint="eastAsia"/>
        </w:rPr>
        <w:t>.</w:t>
      </w:r>
      <w:r>
        <w:rPr>
          <w:rFonts w:hint="eastAsia"/>
        </w:rPr>
        <w:tab/>
      </w:r>
      <w:r>
        <w:rPr>
          <w:rFonts w:hint="eastAsia"/>
        </w:rPr>
        <w:t>该方案旨在促使三级政府和有关机构共同承担责任，促进因性别或弱势而处于贫穷、被排斥、被轻视或不平等处境的人群的全面社会发展，为此将对各种项目和方案进行联合投资，并制定有关战略，以使男女居民能平等分享方案带来的资源、机会和福利。</w:t>
      </w:r>
    </w:p>
    <w:p w:rsidR="00000000" w:rsidRDefault="00457650">
      <w:pPr>
        <w:widowControl/>
        <w:tabs>
          <w:tab w:val="left" w:pos="630"/>
        </w:tabs>
        <w:spacing w:after="240" w:line="360" w:lineRule="exact"/>
        <w:rPr>
          <w:rFonts w:hint="eastAsia"/>
        </w:rPr>
      </w:pPr>
      <w:r>
        <w:t>1112</w:t>
      </w:r>
      <w:r>
        <w:rPr>
          <w:rFonts w:hint="eastAsia"/>
        </w:rPr>
        <w:t>.</w:t>
      </w:r>
      <w:r>
        <w:rPr>
          <w:rFonts w:hint="eastAsia"/>
        </w:rPr>
        <w:tab/>
      </w:r>
      <w:r>
        <w:rPr>
          <w:rFonts w:hint="eastAsia"/>
        </w:rPr>
        <w:t>该方案的目标包括减少赤贫，实现最贫穷和最弱势群体的机会平等；减少男女之间的不平等；促进贫穷人民的能力发展；加强社会机体；促进社区的参与和发展；为更好地落实公共社会政策措施，促进同样负有责任的不同机构之</w:t>
      </w:r>
      <w:r>
        <w:rPr>
          <w:rFonts w:hint="eastAsia"/>
        </w:rPr>
        <w:t>间的了解。</w:t>
      </w:r>
    </w:p>
    <w:p w:rsidR="00000000" w:rsidRDefault="00457650">
      <w:pPr>
        <w:widowControl/>
        <w:tabs>
          <w:tab w:val="left" w:pos="630"/>
        </w:tabs>
        <w:spacing w:after="240" w:line="360" w:lineRule="exact"/>
        <w:rPr>
          <w:rFonts w:hint="eastAsia"/>
        </w:rPr>
      </w:pPr>
      <w:r>
        <w:t>11</w:t>
      </w:r>
      <w:r>
        <w:rPr>
          <w:rFonts w:hint="eastAsia"/>
        </w:rPr>
        <w:t>1</w:t>
      </w:r>
      <w:r>
        <w:t>3.</w:t>
      </w:r>
      <w:r>
        <w:tab/>
      </w:r>
      <w:r>
        <w:rPr>
          <w:rFonts w:hint="eastAsia"/>
        </w:rPr>
        <w:t>该方案支持的项目与下列各种行动之一直接有关：</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社会：援助、有助于社会资本形成的人力促进和社会发展项目；</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经济：生产和营销项目，一般还包括促进经济效益、就业和可持续性的项目，以及为目标人群积累</w:t>
      </w:r>
      <w:r>
        <w:t>资产</w:t>
      </w:r>
      <w:r>
        <w:rPr>
          <w:rFonts w:hint="eastAsia"/>
        </w:rPr>
        <w:t>项目；</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体制的加强：旨在提高参与者能力，提供服务以及三级政府间联系的项目；</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技能发展：创造或加强技能、知识和公民参与价值的培训和技能发展项目；</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研究：为加强社会发展政策提供方法、提案和建议的项目或研究。</w:t>
      </w:r>
    </w:p>
    <w:p w:rsidR="00000000" w:rsidRDefault="00457650">
      <w:pPr>
        <w:widowControl/>
        <w:tabs>
          <w:tab w:val="left" w:pos="630"/>
        </w:tabs>
        <w:spacing w:after="240" w:line="360" w:lineRule="exact"/>
        <w:rPr>
          <w:rFonts w:hint="eastAsia"/>
        </w:rPr>
      </w:pPr>
      <w:r>
        <w:t>1114</w:t>
      </w:r>
      <w:r>
        <w:rPr>
          <w:rFonts w:hint="eastAsia"/>
        </w:rPr>
        <w:t>.</w:t>
      </w:r>
      <w:r>
        <w:rPr>
          <w:rFonts w:hint="eastAsia"/>
        </w:rPr>
        <w:tab/>
      </w:r>
      <w:r>
        <w:rPr>
          <w:rFonts w:hint="eastAsia"/>
        </w:rPr>
        <w:t>到</w:t>
      </w:r>
      <w:r>
        <w:t>2003</w:t>
      </w:r>
      <w:r>
        <w:rPr>
          <w:rFonts w:hint="eastAsia"/>
        </w:rPr>
        <w:t>年</w:t>
      </w:r>
      <w:r>
        <w:t>6</w:t>
      </w:r>
      <w:r>
        <w:rPr>
          <w:rFonts w:hint="eastAsia"/>
        </w:rPr>
        <w:t>月，已经向</w:t>
      </w:r>
      <w:r>
        <w:t>286</w:t>
      </w:r>
      <w:r>
        <w:rPr>
          <w:rFonts w:hint="eastAsia"/>
        </w:rPr>
        <w:t>个由民间社会、高等教育和研究机构以及市政府建议和</w:t>
      </w:r>
      <w:r>
        <w:rPr>
          <w:rFonts w:hint="eastAsia"/>
        </w:rPr>
        <w:t>执行的项目提供了支持，这些都被认为是机构共同承担的责任。</w:t>
      </w:r>
    </w:p>
    <w:p w:rsidR="00000000" w:rsidRDefault="00457650">
      <w:pPr>
        <w:widowControl/>
        <w:tabs>
          <w:tab w:val="left" w:pos="630"/>
        </w:tabs>
        <w:spacing w:after="240" w:line="360" w:lineRule="exact"/>
        <w:rPr>
          <w:rFonts w:ascii="SimHei" w:eastAsia="SimHei" w:hint="eastAsia"/>
          <w:bCs/>
        </w:rPr>
      </w:pPr>
      <w:r>
        <w:rPr>
          <w:rFonts w:ascii="SimHei" w:eastAsia="SimHei" w:hint="eastAsia"/>
          <w:bCs/>
        </w:rPr>
        <w:tab/>
      </w:r>
      <w:r>
        <w:rPr>
          <w:rFonts w:ascii="SimHei" w:eastAsia="SimHei" w:hint="eastAsia"/>
          <w:bCs/>
        </w:rPr>
        <w:t>公民主动性</w:t>
      </w:r>
      <w:r>
        <w:rPr>
          <w:rFonts w:ascii="SimHei" w:eastAsia="SimHei"/>
          <w:bCs/>
        </w:rPr>
        <w:t>3X1</w:t>
      </w:r>
      <w:r>
        <w:rPr>
          <w:rFonts w:ascii="SimHei" w:eastAsia="SimHei" w:hint="eastAsia"/>
          <w:bCs/>
        </w:rPr>
        <w:t>方案</w:t>
      </w:r>
    </w:p>
    <w:p w:rsidR="00000000" w:rsidRDefault="00457650">
      <w:pPr>
        <w:widowControl/>
        <w:tabs>
          <w:tab w:val="left" w:pos="630"/>
        </w:tabs>
        <w:spacing w:after="240" w:line="360" w:lineRule="exact"/>
        <w:rPr>
          <w:rFonts w:hint="eastAsia"/>
        </w:rPr>
      </w:pPr>
      <w:r>
        <w:t>1115</w:t>
      </w:r>
      <w:r>
        <w:rPr>
          <w:rFonts w:hint="eastAsia"/>
        </w:rPr>
        <w:t>.</w:t>
      </w:r>
      <w:r>
        <w:rPr>
          <w:rFonts w:hint="eastAsia"/>
        </w:rPr>
        <w:tab/>
      </w:r>
      <w:r>
        <w:rPr>
          <w:rFonts w:hint="eastAsia"/>
        </w:rPr>
        <w:t>公民主动性</w:t>
      </w:r>
      <w:r>
        <w:t>3X1</w:t>
      </w:r>
      <w:r>
        <w:rPr>
          <w:rFonts w:hint="eastAsia"/>
        </w:rPr>
        <w:t>方案大力支持并加强公民积极参与执行项目的行动，这有助于在联邦、州和市政当局的资助下，提高居民的生活水平。与此同时，该方案还努力促进定居国外的墨西哥人的身份认同，以及他们与原籍国的联系。</w:t>
      </w:r>
    </w:p>
    <w:p w:rsidR="00000000" w:rsidRDefault="00457650">
      <w:pPr>
        <w:widowControl/>
        <w:tabs>
          <w:tab w:val="left" w:pos="630"/>
        </w:tabs>
        <w:spacing w:after="240" w:line="360" w:lineRule="exact"/>
        <w:rPr>
          <w:rFonts w:hint="eastAsia"/>
        </w:rPr>
      </w:pPr>
      <w:r>
        <w:t>1116</w:t>
      </w:r>
      <w:r>
        <w:rPr>
          <w:rFonts w:hint="eastAsia"/>
        </w:rPr>
        <w:t>.</w:t>
      </w:r>
      <w:r>
        <w:rPr>
          <w:rFonts w:hint="eastAsia"/>
        </w:rPr>
        <w:tab/>
      </w:r>
      <w:r>
        <w:rPr>
          <w:rFonts w:hint="eastAsia"/>
        </w:rPr>
        <w:t>必须强调的是，这些需要资助的项目是移民组织主动发起的，得到了社区和三级政府一致赞同。</w:t>
      </w:r>
    </w:p>
    <w:p w:rsidR="00000000" w:rsidRDefault="00457650">
      <w:pPr>
        <w:widowControl/>
        <w:tabs>
          <w:tab w:val="left" w:pos="630"/>
        </w:tabs>
        <w:spacing w:after="240" w:line="360" w:lineRule="exact"/>
        <w:rPr>
          <w:rFonts w:hint="eastAsia"/>
        </w:rPr>
      </w:pPr>
      <w:r>
        <w:t>1117</w:t>
      </w:r>
      <w:r>
        <w:rPr>
          <w:rFonts w:hint="eastAsia"/>
        </w:rPr>
        <w:t>.</w:t>
      </w:r>
      <w:r>
        <w:rPr>
          <w:rFonts w:hint="eastAsia"/>
        </w:rPr>
        <w:tab/>
      </w:r>
      <w:r>
        <w:rPr>
          <w:rFonts w:hint="eastAsia"/>
        </w:rPr>
        <w:t>此外，该方案的主要目标是确保得到资助的项目能帮助克服基本的服务基础设施存在的不足，以及／或为居民创造就业机</w:t>
      </w:r>
      <w:r>
        <w:rPr>
          <w:rFonts w:hint="eastAsia"/>
        </w:rPr>
        <w:t>会和收入来源。该方案的基本原则是提高透明度和加强问责制，因为投入的资源都由公民自身进行审核。</w:t>
      </w:r>
    </w:p>
    <w:p w:rsidR="00000000" w:rsidRDefault="00457650">
      <w:pPr>
        <w:widowControl/>
        <w:tabs>
          <w:tab w:val="left" w:pos="630"/>
        </w:tabs>
        <w:spacing w:after="240" w:line="360" w:lineRule="exact"/>
        <w:rPr>
          <w:rFonts w:ascii="SimHei" w:eastAsia="SimHei" w:hint="eastAsia"/>
          <w:bCs/>
        </w:rPr>
      </w:pPr>
      <w:r>
        <w:rPr>
          <w:rFonts w:ascii="SimHei" w:eastAsia="SimHei" w:hint="eastAsia"/>
          <w:bCs/>
        </w:rPr>
        <w:tab/>
      </w:r>
      <w:r>
        <w:rPr>
          <w:rFonts w:ascii="SimHei" w:eastAsia="SimHei" w:hint="eastAsia"/>
          <w:bCs/>
        </w:rPr>
        <w:t>社会方案的外部评估</w:t>
      </w:r>
    </w:p>
    <w:p w:rsidR="00000000" w:rsidRDefault="00457650">
      <w:pPr>
        <w:widowControl/>
        <w:tabs>
          <w:tab w:val="left" w:pos="630"/>
        </w:tabs>
        <w:spacing w:after="240" w:line="360" w:lineRule="exact"/>
        <w:rPr>
          <w:rFonts w:hint="eastAsia"/>
        </w:rPr>
      </w:pPr>
      <w:r>
        <w:t>1118</w:t>
      </w:r>
      <w:r>
        <w:rPr>
          <w:rFonts w:hint="eastAsia"/>
        </w:rPr>
        <w:t>.</w:t>
      </w:r>
      <w:r>
        <w:rPr>
          <w:rFonts w:hint="eastAsia"/>
        </w:rPr>
        <w:tab/>
      </w:r>
      <w:r>
        <w:rPr>
          <w:rFonts w:hint="eastAsia"/>
        </w:rPr>
        <w:t>关于向墨西哥提出的社会方案评估建议，须指出，社会发展部根据联邦支出预算相关政令中的规定，已经在时间和形式上履行了所接受的承诺，向国民议会、财政和公共服务部呈交了社会方案外部评估结果，外部评估是依照社会发展部和作为其组成部分的部门组织的运作规则进行的。</w:t>
      </w:r>
    </w:p>
    <w:p w:rsidR="00000000" w:rsidRDefault="00457650">
      <w:pPr>
        <w:widowControl/>
        <w:tabs>
          <w:tab w:val="left" w:pos="630"/>
        </w:tabs>
        <w:spacing w:after="240" w:line="360" w:lineRule="exact"/>
        <w:rPr>
          <w:rFonts w:hint="eastAsia"/>
        </w:rPr>
      </w:pPr>
      <w:r>
        <w:t>1119</w:t>
      </w:r>
      <w:r>
        <w:rPr>
          <w:rFonts w:hint="eastAsia"/>
        </w:rPr>
        <w:t>.</w:t>
      </w:r>
      <w:r>
        <w:rPr>
          <w:rFonts w:hint="eastAsia"/>
        </w:rPr>
        <w:tab/>
      </w:r>
      <w:r>
        <w:rPr>
          <w:rFonts w:hint="eastAsia"/>
        </w:rPr>
        <w:t>所介绍的研究内容包括：对每个方案的相关性分析，其运作规则的遵守情况，方案覆盖面和重点的核查，对方案效益的说明，对方案在实</w:t>
      </w:r>
      <w:r>
        <w:rPr>
          <w:rFonts w:hint="eastAsia"/>
        </w:rPr>
        <w:t>现各项目标方面的效率和效果的分析，以及酌情对所分析项目成本效益的分析。这些研究对社会发展部很有帮助，使其能够修改运作规则，避免行动重复，并使资源得到了更有效的利用。</w:t>
      </w:r>
    </w:p>
    <w:p w:rsidR="00000000" w:rsidRDefault="00457650">
      <w:pPr>
        <w:widowControl/>
        <w:tabs>
          <w:tab w:val="left" w:pos="630"/>
        </w:tabs>
        <w:spacing w:after="240" w:line="360" w:lineRule="exact"/>
        <w:rPr>
          <w:rFonts w:hint="eastAsia"/>
        </w:rPr>
      </w:pPr>
      <w:r>
        <w:rPr>
          <w:rFonts w:hint="eastAsia"/>
        </w:rPr>
        <w:t>1120.</w:t>
      </w:r>
      <w:r>
        <w:rPr>
          <w:rFonts w:hint="eastAsia"/>
        </w:rPr>
        <w:tab/>
      </w:r>
      <w:r>
        <w:rPr>
          <w:rFonts w:hint="eastAsia"/>
        </w:rPr>
        <w:t>以下是由社会发展部直接管理的方案：</w:t>
      </w:r>
    </w:p>
    <w:p w:rsidR="00000000" w:rsidRDefault="00457650" w:rsidP="00457650">
      <w:pPr>
        <w:widowControl/>
        <w:tabs>
          <w:tab w:val="left" w:pos="630"/>
        </w:tabs>
        <w:spacing w:after="240" w:line="360" w:lineRule="exact"/>
        <w:ind w:leftChars="300" w:left="31680"/>
        <w:rPr>
          <w:rFonts w:hint="eastAsia"/>
        </w:rPr>
      </w:pPr>
      <w:r>
        <w:rPr>
          <w:rFonts w:hint="eastAsia"/>
        </w:rPr>
        <w:t>逐步改善住房条件储蓄金和补贴</w:t>
      </w:r>
    </w:p>
    <w:p w:rsidR="00000000" w:rsidRDefault="00457650" w:rsidP="00457650">
      <w:pPr>
        <w:widowControl/>
        <w:tabs>
          <w:tab w:val="left" w:pos="630"/>
        </w:tabs>
        <w:spacing w:after="240" w:line="360" w:lineRule="exact"/>
        <w:ind w:leftChars="300" w:left="31680"/>
        <w:rPr>
          <w:rFonts w:hint="eastAsia"/>
        </w:rPr>
      </w:pPr>
      <w:r>
        <w:rPr>
          <w:rFonts w:hint="eastAsia"/>
        </w:rPr>
        <w:t>对农业散工的关照</w:t>
      </w:r>
    </w:p>
    <w:p w:rsidR="00000000" w:rsidRDefault="00457650" w:rsidP="00457650">
      <w:pPr>
        <w:widowControl/>
        <w:tabs>
          <w:tab w:val="left" w:pos="630"/>
        </w:tabs>
        <w:spacing w:after="240" w:line="360" w:lineRule="exact"/>
        <w:ind w:leftChars="300" w:left="31680"/>
        <w:rPr>
          <w:rFonts w:hint="eastAsia"/>
        </w:rPr>
      </w:pPr>
      <w:r>
        <w:rPr>
          <w:rFonts w:hint="eastAsia"/>
        </w:rPr>
        <w:t>土著民族和社区的发展</w:t>
      </w:r>
    </w:p>
    <w:p w:rsidR="00000000" w:rsidRDefault="00457650" w:rsidP="00457650">
      <w:pPr>
        <w:widowControl/>
        <w:tabs>
          <w:tab w:val="left" w:pos="630"/>
        </w:tabs>
        <w:spacing w:after="240" w:line="360" w:lineRule="exact"/>
        <w:ind w:leftChars="300" w:left="31680"/>
        <w:rPr>
          <w:rFonts w:hint="eastAsia"/>
        </w:rPr>
      </w:pPr>
      <w:r>
        <w:rPr>
          <w:rFonts w:hint="eastAsia"/>
        </w:rPr>
        <w:t>临时就业</w:t>
      </w:r>
    </w:p>
    <w:p w:rsidR="00000000" w:rsidRDefault="00457650" w:rsidP="00457650">
      <w:pPr>
        <w:widowControl/>
        <w:tabs>
          <w:tab w:val="left" w:pos="630"/>
        </w:tabs>
        <w:spacing w:after="240" w:line="360" w:lineRule="exact"/>
        <w:ind w:leftChars="300" w:left="31680"/>
        <w:rPr>
          <w:rFonts w:hint="eastAsia"/>
        </w:rPr>
      </w:pPr>
      <w:r>
        <w:rPr>
          <w:rFonts w:hint="eastAsia"/>
        </w:rPr>
        <w:t>满足需求的国家行动</w:t>
      </w:r>
    </w:p>
    <w:p w:rsidR="00000000" w:rsidRDefault="00457650" w:rsidP="00457650">
      <w:pPr>
        <w:widowControl/>
        <w:tabs>
          <w:tab w:val="left" w:pos="630"/>
        </w:tabs>
        <w:spacing w:after="240" w:line="360" w:lineRule="exact"/>
        <w:ind w:leftChars="300" w:left="31680"/>
        <w:rPr>
          <w:rFonts w:hint="eastAsia"/>
        </w:rPr>
      </w:pPr>
      <w:r>
        <w:rPr>
          <w:rFonts w:hint="eastAsia"/>
        </w:rPr>
        <w:t>合法身份</w:t>
      </w:r>
    </w:p>
    <w:p w:rsidR="00000000" w:rsidRDefault="00457650" w:rsidP="00457650">
      <w:pPr>
        <w:widowControl/>
        <w:tabs>
          <w:tab w:val="left" w:pos="630"/>
        </w:tabs>
        <w:spacing w:after="240" w:line="360" w:lineRule="exact"/>
        <w:ind w:leftChars="300" w:left="31680"/>
        <w:rPr>
          <w:rFonts w:hint="eastAsia"/>
        </w:rPr>
      </w:pPr>
      <w:r>
        <w:rPr>
          <w:rFonts w:hint="eastAsia"/>
        </w:rPr>
        <w:t>公民主动性</w:t>
      </w:r>
      <w:r>
        <w:t>3X1</w:t>
      </w:r>
    </w:p>
    <w:p w:rsidR="00000000" w:rsidRDefault="00457650" w:rsidP="00457650">
      <w:pPr>
        <w:widowControl/>
        <w:tabs>
          <w:tab w:val="left" w:pos="630"/>
        </w:tabs>
        <w:spacing w:after="240" w:line="360" w:lineRule="exact"/>
        <w:ind w:leftChars="300" w:left="31680"/>
        <w:rPr>
          <w:rFonts w:hint="eastAsia"/>
        </w:rPr>
      </w:pPr>
      <w:r>
        <w:rPr>
          <w:rFonts w:hint="eastAsia"/>
        </w:rPr>
        <w:t>国家社会发展协会</w:t>
      </w:r>
    </w:p>
    <w:p w:rsidR="00000000" w:rsidRDefault="00457650" w:rsidP="00457650">
      <w:pPr>
        <w:widowControl/>
        <w:tabs>
          <w:tab w:val="left" w:pos="630"/>
        </w:tabs>
        <w:spacing w:after="240" w:line="360" w:lineRule="exact"/>
        <w:ind w:leftChars="300" w:left="31680"/>
        <w:rPr>
          <w:rFonts w:hint="eastAsia"/>
        </w:rPr>
      </w:pPr>
      <w:r>
        <w:rPr>
          <w:rFonts w:hint="eastAsia"/>
        </w:rPr>
        <w:t>加强民间社会和社会参与的培训</w:t>
      </w:r>
    </w:p>
    <w:p w:rsidR="00000000" w:rsidRDefault="00457650" w:rsidP="00457650">
      <w:pPr>
        <w:widowControl/>
        <w:tabs>
          <w:tab w:val="left" w:pos="630"/>
        </w:tabs>
        <w:spacing w:after="240" w:line="360" w:lineRule="exact"/>
        <w:ind w:leftChars="300" w:left="31680"/>
        <w:rPr>
          <w:rFonts w:hint="eastAsia"/>
        </w:rPr>
      </w:pPr>
      <w:r>
        <w:rPr>
          <w:rFonts w:hint="eastAsia"/>
        </w:rPr>
        <w:t>联合社会投资</w:t>
      </w:r>
    </w:p>
    <w:p w:rsidR="00000000" w:rsidRDefault="00457650" w:rsidP="00457650">
      <w:pPr>
        <w:widowControl/>
        <w:tabs>
          <w:tab w:val="left" w:pos="630"/>
        </w:tabs>
        <w:spacing w:after="240" w:line="360" w:lineRule="exact"/>
        <w:ind w:leftChars="300" w:left="31680"/>
        <w:rPr>
          <w:rFonts w:hint="eastAsia"/>
        </w:rPr>
      </w:pPr>
      <w:r>
        <w:rPr>
          <w:rFonts w:hint="eastAsia"/>
        </w:rPr>
        <w:t>当地发展研究</w:t>
      </w:r>
    </w:p>
    <w:p w:rsidR="00000000" w:rsidRDefault="00457650" w:rsidP="00457650">
      <w:pPr>
        <w:widowControl/>
        <w:tabs>
          <w:tab w:val="left" w:pos="630"/>
        </w:tabs>
        <w:spacing w:after="240" w:line="360" w:lineRule="exact"/>
        <w:ind w:leftChars="300" w:left="31680"/>
        <w:rPr>
          <w:rFonts w:hint="eastAsia"/>
        </w:rPr>
      </w:pPr>
      <w:r>
        <w:rPr>
          <w:rFonts w:hint="eastAsia"/>
        </w:rPr>
        <w:t>加强市政一级的社会管理制度</w:t>
      </w:r>
    </w:p>
    <w:p w:rsidR="00000000" w:rsidRDefault="00457650" w:rsidP="00457650">
      <w:pPr>
        <w:widowControl/>
        <w:tabs>
          <w:tab w:val="left" w:pos="630"/>
        </w:tabs>
        <w:spacing w:after="240" w:line="360" w:lineRule="exact"/>
        <w:ind w:leftChars="300" w:left="31680"/>
        <w:rPr>
          <w:rFonts w:hint="eastAsia"/>
        </w:rPr>
      </w:pPr>
      <w:r>
        <w:rPr>
          <w:rFonts w:hint="eastAsia"/>
        </w:rPr>
        <w:t>墨西哥青年</w:t>
      </w:r>
    </w:p>
    <w:p w:rsidR="00000000" w:rsidRDefault="00457650" w:rsidP="00457650">
      <w:pPr>
        <w:widowControl/>
        <w:tabs>
          <w:tab w:val="left" w:pos="630"/>
        </w:tabs>
        <w:spacing w:after="240" w:line="360" w:lineRule="exact"/>
        <w:ind w:leftChars="300" w:left="31680"/>
        <w:rPr>
          <w:rFonts w:hint="eastAsia"/>
        </w:rPr>
      </w:pPr>
      <w:r>
        <w:rPr>
          <w:rFonts w:hint="eastAsia"/>
        </w:rPr>
        <w:t>微型地区</w:t>
      </w:r>
    </w:p>
    <w:p w:rsidR="00000000" w:rsidRDefault="00457650" w:rsidP="00457650">
      <w:pPr>
        <w:widowControl/>
        <w:tabs>
          <w:tab w:val="left" w:pos="630"/>
        </w:tabs>
        <w:spacing w:after="240" w:line="360" w:lineRule="exact"/>
        <w:ind w:leftChars="300" w:left="31680"/>
        <w:rPr>
          <w:rFonts w:hint="eastAsia"/>
        </w:rPr>
      </w:pPr>
      <w:r>
        <w:rPr>
          <w:rFonts w:hint="eastAsia"/>
        </w:rPr>
        <w:t>女户主</w:t>
      </w:r>
    </w:p>
    <w:p w:rsidR="00000000" w:rsidRDefault="00457650" w:rsidP="00457650">
      <w:pPr>
        <w:widowControl/>
        <w:tabs>
          <w:tab w:val="left" w:pos="630"/>
        </w:tabs>
        <w:spacing w:after="240" w:line="360" w:lineRule="exact"/>
        <w:ind w:leftChars="300" w:left="31680"/>
        <w:rPr>
          <w:rFonts w:hint="eastAsia"/>
        </w:rPr>
      </w:pPr>
      <w:r>
        <w:rPr>
          <w:rFonts w:hint="eastAsia"/>
        </w:rPr>
        <w:t>生产机会</w:t>
      </w:r>
    </w:p>
    <w:p w:rsidR="00000000" w:rsidRDefault="00457650" w:rsidP="00457650">
      <w:pPr>
        <w:widowControl/>
        <w:tabs>
          <w:tab w:val="left" w:pos="630"/>
        </w:tabs>
        <w:spacing w:after="240" w:line="360" w:lineRule="exact"/>
        <w:ind w:leftChars="300" w:left="31680"/>
        <w:rPr>
          <w:rFonts w:hint="eastAsia"/>
        </w:rPr>
      </w:pPr>
      <w:r>
        <w:rPr>
          <w:rFonts w:hint="eastAsia"/>
        </w:rPr>
        <w:t>为偏僻地区和土著人社区采取</w:t>
      </w:r>
      <w:r>
        <w:rPr>
          <w:rFonts w:hint="eastAsia"/>
        </w:rPr>
        <w:t>的地区措施</w:t>
      </w:r>
    </w:p>
    <w:p w:rsidR="00000000" w:rsidRDefault="00457650" w:rsidP="00457650">
      <w:pPr>
        <w:widowControl/>
        <w:tabs>
          <w:tab w:val="left" w:pos="630"/>
        </w:tabs>
        <w:spacing w:after="240" w:line="360" w:lineRule="exact"/>
        <w:ind w:leftChars="300" w:left="31680"/>
        <w:rPr>
          <w:rFonts w:hint="eastAsia"/>
        </w:rPr>
      </w:pPr>
      <w:r>
        <w:rPr>
          <w:rFonts w:hint="eastAsia"/>
        </w:rPr>
        <w:t>消除城市贫穷</w:t>
      </w:r>
    </w:p>
    <w:p w:rsidR="00000000" w:rsidRDefault="00457650" w:rsidP="00457650">
      <w:pPr>
        <w:widowControl/>
        <w:tabs>
          <w:tab w:val="left" w:pos="630"/>
        </w:tabs>
        <w:spacing w:after="240" w:line="360" w:lineRule="exact"/>
        <w:ind w:leftChars="300" w:left="31680"/>
        <w:rPr>
          <w:rFonts w:hint="eastAsia"/>
        </w:rPr>
      </w:pPr>
      <w:r>
        <w:rPr>
          <w:rFonts w:hint="eastAsia"/>
        </w:rPr>
        <w:t>部门实体</w:t>
      </w:r>
    </w:p>
    <w:p w:rsidR="00000000" w:rsidRDefault="00457650" w:rsidP="00457650">
      <w:pPr>
        <w:widowControl/>
        <w:tabs>
          <w:tab w:val="left" w:pos="630"/>
        </w:tabs>
        <w:spacing w:after="240" w:line="360" w:lineRule="exact"/>
        <w:ind w:leftChars="300" w:left="31680"/>
        <w:rPr>
          <w:rFonts w:hint="eastAsia"/>
        </w:rPr>
      </w:pPr>
      <w:r>
        <w:rPr>
          <w:rFonts w:hint="eastAsia"/>
        </w:rPr>
        <w:t>贫瘠地区国家委员会</w:t>
      </w:r>
    </w:p>
    <w:p w:rsidR="00000000" w:rsidRDefault="00457650" w:rsidP="00457650">
      <w:pPr>
        <w:widowControl/>
        <w:tabs>
          <w:tab w:val="left" w:pos="630"/>
        </w:tabs>
        <w:spacing w:after="240" w:line="360" w:lineRule="exact"/>
        <w:ind w:leftChars="300" w:left="31680"/>
        <w:rPr>
          <w:rFonts w:hint="eastAsia"/>
        </w:rPr>
      </w:pPr>
      <w:r>
        <w:rPr>
          <w:rFonts w:hint="eastAsia"/>
        </w:rPr>
        <w:t>人的机会发展</w:t>
      </w:r>
    </w:p>
    <w:p w:rsidR="00000000" w:rsidRDefault="00457650" w:rsidP="00457650">
      <w:pPr>
        <w:widowControl/>
        <w:tabs>
          <w:tab w:val="left" w:pos="630"/>
        </w:tabs>
        <w:spacing w:after="240" w:line="360" w:lineRule="exact"/>
        <w:ind w:leftChars="300" w:left="31680"/>
        <w:rPr>
          <w:rFonts w:hint="eastAsia"/>
        </w:rPr>
      </w:pPr>
      <w:r>
        <w:t>DICONSA</w:t>
      </w:r>
    </w:p>
    <w:p w:rsidR="00000000" w:rsidRDefault="00457650" w:rsidP="00457650">
      <w:pPr>
        <w:widowControl/>
        <w:tabs>
          <w:tab w:val="left" w:pos="630"/>
        </w:tabs>
        <w:spacing w:after="240" w:line="360" w:lineRule="exact"/>
        <w:ind w:leftChars="300" w:left="31680"/>
        <w:rPr>
          <w:rFonts w:hint="eastAsia"/>
        </w:rPr>
      </w:pPr>
      <w:r>
        <w:rPr>
          <w:rFonts w:hint="eastAsia"/>
        </w:rPr>
        <w:t>农村供应</w:t>
      </w:r>
    </w:p>
    <w:p w:rsidR="00000000" w:rsidRDefault="00457650" w:rsidP="00457650">
      <w:pPr>
        <w:widowControl/>
        <w:tabs>
          <w:tab w:val="left" w:pos="630"/>
        </w:tabs>
        <w:spacing w:after="240" w:line="360" w:lineRule="exact"/>
        <w:ind w:leftChars="300" w:left="31680"/>
        <w:rPr>
          <w:rFonts w:hint="eastAsia"/>
        </w:rPr>
      </w:pPr>
      <w:r>
        <w:rPr>
          <w:rFonts w:hint="eastAsia"/>
        </w:rPr>
        <w:t>国家提高工艺技术水平基金</w:t>
      </w:r>
    </w:p>
    <w:p w:rsidR="00000000" w:rsidRDefault="00457650" w:rsidP="00457650">
      <w:pPr>
        <w:widowControl/>
        <w:tabs>
          <w:tab w:val="left" w:pos="630"/>
        </w:tabs>
        <w:spacing w:after="240" w:line="360" w:lineRule="exact"/>
        <w:ind w:leftChars="300" w:left="31680"/>
        <w:rPr>
          <w:rFonts w:hint="eastAsia"/>
        </w:rPr>
      </w:pPr>
      <w:r>
        <w:rPr>
          <w:rFonts w:hint="eastAsia"/>
        </w:rPr>
        <w:t>国家老年人协会</w:t>
      </w:r>
    </w:p>
    <w:p w:rsidR="00000000" w:rsidRDefault="00457650" w:rsidP="00457650">
      <w:pPr>
        <w:widowControl/>
        <w:tabs>
          <w:tab w:val="left" w:pos="630"/>
        </w:tabs>
        <w:spacing w:after="240" w:line="360" w:lineRule="exact"/>
        <w:ind w:leftChars="300" w:left="31680"/>
        <w:rPr>
          <w:rFonts w:hint="eastAsia"/>
        </w:rPr>
      </w:pPr>
      <w:r>
        <w:rPr>
          <w:rFonts w:hint="eastAsia"/>
        </w:rPr>
        <w:t>专家参与有关行动</w:t>
      </w:r>
    </w:p>
    <w:p w:rsidR="00000000" w:rsidRDefault="00457650" w:rsidP="00457650">
      <w:pPr>
        <w:widowControl/>
        <w:tabs>
          <w:tab w:val="left" w:pos="630"/>
        </w:tabs>
        <w:spacing w:after="240" w:line="360" w:lineRule="exact"/>
        <w:ind w:leftChars="300" w:left="31680"/>
        <w:rPr>
          <w:rFonts w:hint="eastAsia"/>
        </w:rPr>
      </w:pPr>
      <w:r>
        <w:rPr>
          <w:rFonts w:hint="eastAsia"/>
        </w:rPr>
        <w:t>国家土著研究所</w:t>
      </w:r>
    </w:p>
    <w:p w:rsidR="00000000" w:rsidRDefault="00457650" w:rsidP="00457650">
      <w:pPr>
        <w:widowControl/>
        <w:tabs>
          <w:tab w:val="left" w:pos="630"/>
        </w:tabs>
        <w:spacing w:after="240" w:line="360" w:lineRule="exact"/>
        <w:ind w:leftChars="300" w:left="31680"/>
        <w:rPr>
          <w:rFonts w:hint="eastAsia"/>
        </w:rPr>
      </w:pPr>
      <w:r>
        <w:rPr>
          <w:rFonts w:hint="eastAsia"/>
        </w:rPr>
        <w:t>社会福利</w:t>
      </w:r>
    </w:p>
    <w:p w:rsidR="00000000" w:rsidRDefault="00457650" w:rsidP="00457650">
      <w:pPr>
        <w:widowControl/>
        <w:tabs>
          <w:tab w:val="left" w:pos="630"/>
        </w:tabs>
        <w:spacing w:after="240" w:line="360" w:lineRule="exact"/>
        <w:ind w:leftChars="300" w:left="31680"/>
        <w:rPr>
          <w:rFonts w:hint="eastAsia"/>
        </w:rPr>
      </w:pPr>
      <w:r>
        <w:rPr>
          <w:rFonts w:hint="eastAsia"/>
        </w:rPr>
        <w:t>土著民族的经济和生产发展</w:t>
      </w:r>
    </w:p>
    <w:p w:rsidR="00000000" w:rsidRDefault="00457650" w:rsidP="00457650">
      <w:pPr>
        <w:widowControl/>
        <w:tabs>
          <w:tab w:val="left" w:pos="630"/>
        </w:tabs>
        <w:spacing w:after="240" w:line="360" w:lineRule="exact"/>
        <w:ind w:leftChars="300" w:left="31680"/>
        <w:rPr>
          <w:rFonts w:hint="eastAsia"/>
        </w:rPr>
      </w:pPr>
      <w:r>
        <w:rPr>
          <w:rFonts w:hint="eastAsia"/>
        </w:rPr>
        <w:t>学校宿舍的管理</w:t>
      </w:r>
    </w:p>
    <w:p w:rsidR="00000000" w:rsidRDefault="00457650" w:rsidP="00457650">
      <w:pPr>
        <w:widowControl/>
        <w:tabs>
          <w:tab w:val="left" w:pos="630"/>
        </w:tabs>
        <w:spacing w:after="240" w:line="360" w:lineRule="exact"/>
        <w:ind w:leftChars="300" w:left="31680"/>
        <w:rPr>
          <w:rFonts w:hint="eastAsia"/>
        </w:rPr>
      </w:pPr>
      <w:r>
        <w:rPr>
          <w:rFonts w:hint="eastAsia"/>
        </w:rPr>
        <w:t>土著文化的促进</w:t>
      </w:r>
    </w:p>
    <w:p w:rsidR="00000000" w:rsidRDefault="00457650" w:rsidP="00457650">
      <w:pPr>
        <w:widowControl/>
        <w:tabs>
          <w:tab w:val="left" w:pos="630"/>
        </w:tabs>
        <w:spacing w:after="240" w:line="360" w:lineRule="exact"/>
        <w:ind w:leftChars="300" w:left="31680"/>
        <w:rPr>
          <w:rFonts w:hint="eastAsia"/>
        </w:rPr>
      </w:pPr>
      <w:r>
        <w:rPr>
          <w:rFonts w:hint="eastAsia"/>
        </w:rPr>
        <w:t>促进和保障公正</w:t>
      </w:r>
    </w:p>
    <w:p w:rsidR="00000000" w:rsidRDefault="00457650" w:rsidP="00457650">
      <w:pPr>
        <w:widowControl/>
        <w:tabs>
          <w:tab w:val="left" w:pos="630"/>
        </w:tabs>
        <w:spacing w:after="240" w:line="360" w:lineRule="exact"/>
        <w:ind w:leftChars="300" w:left="31680"/>
        <w:rPr>
          <w:rFonts w:hint="eastAsia"/>
        </w:rPr>
      </w:pPr>
      <w:r>
        <w:rPr>
          <w:rFonts w:hint="eastAsia"/>
        </w:rPr>
        <w:t>学校宿舍的维修和配置</w:t>
      </w:r>
    </w:p>
    <w:p w:rsidR="00000000" w:rsidRDefault="00457650" w:rsidP="00457650">
      <w:pPr>
        <w:widowControl/>
        <w:tabs>
          <w:tab w:val="left" w:pos="630"/>
        </w:tabs>
        <w:spacing w:after="240" w:line="360" w:lineRule="exact"/>
        <w:ind w:leftChars="300" w:left="31680"/>
        <w:rPr>
          <w:rFonts w:hint="eastAsia"/>
        </w:rPr>
      </w:pPr>
      <w:r>
        <w:t>LICONSA</w:t>
      </w:r>
    </w:p>
    <w:p w:rsidR="00000000" w:rsidRDefault="00457650" w:rsidP="00457650">
      <w:pPr>
        <w:widowControl/>
        <w:tabs>
          <w:tab w:val="left" w:pos="630"/>
        </w:tabs>
        <w:spacing w:after="240" w:line="360" w:lineRule="exact"/>
        <w:ind w:leftChars="300" w:left="31680"/>
        <w:rPr>
          <w:rFonts w:hint="eastAsia"/>
        </w:rPr>
      </w:pPr>
      <w:r>
        <w:rPr>
          <w:rFonts w:hint="eastAsia"/>
        </w:rPr>
        <w:t>社会牛奶供应</w:t>
      </w:r>
    </w:p>
    <w:p w:rsidR="00000000" w:rsidRDefault="00457650" w:rsidP="00457650">
      <w:pPr>
        <w:widowControl/>
        <w:tabs>
          <w:tab w:val="left" w:pos="630"/>
        </w:tabs>
        <w:spacing w:after="240" w:line="360" w:lineRule="exact"/>
        <w:ind w:leftChars="300" w:left="31680"/>
        <w:rPr>
          <w:rFonts w:hint="eastAsia"/>
        </w:rPr>
      </w:pPr>
      <w:r>
        <w:rPr>
          <w:rFonts w:hint="eastAsia"/>
        </w:rPr>
        <w:t>玉米饼供应</w:t>
      </w:r>
    </w:p>
    <w:p w:rsidR="00000000" w:rsidRDefault="00457650">
      <w:pPr>
        <w:widowControl/>
        <w:tabs>
          <w:tab w:val="left" w:pos="630"/>
        </w:tabs>
        <w:spacing w:after="240" w:line="360" w:lineRule="exact"/>
        <w:rPr>
          <w:rFonts w:hint="eastAsia"/>
        </w:rPr>
      </w:pPr>
      <w:r>
        <w:rPr>
          <w:rFonts w:hint="eastAsia"/>
        </w:rPr>
        <w:t>1121.</w:t>
      </w:r>
      <w:r>
        <w:rPr>
          <w:rFonts w:hint="eastAsia"/>
        </w:rPr>
        <w:tab/>
      </w:r>
      <w:r>
        <w:t>2003</w:t>
      </w:r>
      <w:r>
        <w:rPr>
          <w:rFonts w:hint="eastAsia"/>
        </w:rPr>
        <w:t>年由社会发展部直接管理的方案为：</w:t>
      </w:r>
    </w:p>
    <w:p w:rsidR="00000000" w:rsidRDefault="00457650" w:rsidP="00457650">
      <w:pPr>
        <w:widowControl/>
        <w:tabs>
          <w:tab w:val="left" w:pos="630"/>
        </w:tabs>
        <w:spacing w:after="240" w:line="360" w:lineRule="exact"/>
        <w:ind w:leftChars="300" w:left="31680"/>
        <w:rPr>
          <w:rFonts w:hint="eastAsia"/>
        </w:rPr>
      </w:pPr>
      <w:r>
        <w:rPr>
          <w:rFonts w:hint="eastAsia"/>
        </w:rPr>
        <w:t>关照农业散工</w:t>
      </w:r>
    </w:p>
    <w:p w:rsidR="00000000" w:rsidRDefault="00457650" w:rsidP="00457650">
      <w:pPr>
        <w:widowControl/>
        <w:tabs>
          <w:tab w:val="left" w:pos="630"/>
        </w:tabs>
        <w:spacing w:after="240" w:line="360" w:lineRule="exact"/>
        <w:ind w:leftChars="300" w:left="31680"/>
        <w:rPr>
          <w:rFonts w:hint="eastAsia"/>
        </w:rPr>
      </w:pPr>
      <w:r>
        <w:rPr>
          <w:rFonts w:hint="eastAsia"/>
        </w:rPr>
        <w:t>临时就业</w:t>
      </w:r>
    </w:p>
    <w:p w:rsidR="00000000" w:rsidRDefault="00457650" w:rsidP="00457650">
      <w:pPr>
        <w:widowControl/>
        <w:tabs>
          <w:tab w:val="left" w:pos="630"/>
        </w:tabs>
        <w:spacing w:after="240" w:line="360" w:lineRule="exact"/>
        <w:ind w:leftChars="300" w:left="31680"/>
        <w:rPr>
          <w:rFonts w:hint="eastAsia"/>
        </w:rPr>
      </w:pPr>
      <w:r>
        <w:rPr>
          <w:rFonts w:hint="eastAsia"/>
        </w:rPr>
        <w:t>公民主动性</w:t>
      </w:r>
      <w:r>
        <w:t>3X1</w:t>
      </w:r>
    </w:p>
    <w:p w:rsidR="00000000" w:rsidRDefault="00457650" w:rsidP="00457650">
      <w:pPr>
        <w:widowControl/>
        <w:tabs>
          <w:tab w:val="left" w:pos="630"/>
        </w:tabs>
        <w:spacing w:after="240" w:line="360" w:lineRule="exact"/>
        <w:ind w:leftChars="300" w:left="31680"/>
        <w:rPr>
          <w:rFonts w:hint="eastAsia"/>
        </w:rPr>
      </w:pPr>
      <w:r>
        <w:rPr>
          <w:rFonts w:hint="eastAsia"/>
        </w:rPr>
        <w:t>墨西哥青年</w:t>
      </w:r>
    </w:p>
    <w:p w:rsidR="00000000" w:rsidRDefault="00457650" w:rsidP="00457650">
      <w:pPr>
        <w:widowControl/>
        <w:tabs>
          <w:tab w:val="left" w:pos="630"/>
        </w:tabs>
        <w:spacing w:after="240" w:line="360" w:lineRule="exact"/>
        <w:ind w:leftChars="300" w:left="31680"/>
        <w:rPr>
          <w:rFonts w:hint="eastAsia"/>
        </w:rPr>
      </w:pPr>
      <w:r>
        <w:rPr>
          <w:rFonts w:hint="eastAsia"/>
        </w:rPr>
        <w:t>当地发展（微型地区）</w:t>
      </w:r>
    </w:p>
    <w:p w:rsidR="00000000" w:rsidRDefault="00457650" w:rsidP="00457650">
      <w:pPr>
        <w:widowControl/>
        <w:tabs>
          <w:tab w:val="left" w:pos="630"/>
        </w:tabs>
        <w:spacing w:after="240" w:line="360" w:lineRule="exact"/>
        <w:ind w:leftChars="300" w:left="31680"/>
        <w:rPr>
          <w:rFonts w:hint="eastAsia"/>
        </w:rPr>
      </w:pPr>
      <w:r>
        <w:rPr>
          <w:rFonts w:hint="eastAsia"/>
        </w:rPr>
        <w:t>生产性选择</w:t>
      </w:r>
    </w:p>
    <w:p w:rsidR="00000000" w:rsidRDefault="00457650">
      <w:pPr>
        <w:widowControl/>
        <w:tabs>
          <w:tab w:val="left" w:pos="630"/>
        </w:tabs>
        <w:spacing w:after="240" w:line="360" w:lineRule="exact"/>
        <w:rPr>
          <w:rFonts w:eastAsia="SimHei" w:hint="eastAsia"/>
        </w:rPr>
      </w:pPr>
      <w:r>
        <w:rPr>
          <w:rFonts w:eastAsia="SimHei"/>
        </w:rPr>
        <w:tab/>
      </w:r>
      <w:r>
        <w:rPr>
          <w:rFonts w:eastAsia="SimHei" w:hint="eastAsia"/>
        </w:rPr>
        <w:t>社会方案的内部评估</w:t>
      </w:r>
    </w:p>
    <w:p w:rsidR="00000000" w:rsidRDefault="00457650">
      <w:pPr>
        <w:widowControl/>
        <w:tabs>
          <w:tab w:val="left" w:pos="630"/>
        </w:tabs>
        <w:spacing w:after="240" w:line="360" w:lineRule="exact"/>
        <w:rPr>
          <w:rFonts w:hint="eastAsia"/>
        </w:rPr>
      </w:pPr>
      <w:r>
        <w:t>1122</w:t>
      </w:r>
      <w:r>
        <w:rPr>
          <w:rFonts w:hint="eastAsia"/>
        </w:rPr>
        <w:t>.</w:t>
      </w:r>
      <w:r>
        <w:rPr>
          <w:rFonts w:hint="eastAsia"/>
        </w:rPr>
        <w:tab/>
      </w:r>
      <w:r>
        <w:rPr>
          <w:rFonts w:hint="eastAsia"/>
        </w:rPr>
        <w:t>此外，作为内部评</w:t>
      </w:r>
      <w:r>
        <w:rPr>
          <w:rFonts w:hint="eastAsia"/>
        </w:rPr>
        <w:t>估战略的一部分，社会发展部对地区发展方案进行了评估，以计量支出管理、受益人口和目标实现等方面的效率。这一进程也包括对评估和管理指数的分析、对实施问题的确认及其选择性解决建议的提出，这有助于提高工作绩效和给贫穷人口带来更多的福利。</w:t>
      </w:r>
    </w:p>
    <w:p w:rsidR="00000000" w:rsidRDefault="00457650">
      <w:pPr>
        <w:widowControl/>
        <w:tabs>
          <w:tab w:val="left" w:pos="630"/>
        </w:tabs>
        <w:spacing w:after="240" w:line="360" w:lineRule="exact"/>
        <w:rPr>
          <w:rFonts w:hint="eastAsia"/>
        </w:rPr>
      </w:pPr>
      <w:r>
        <w:t>1123</w:t>
      </w:r>
      <w:r>
        <w:rPr>
          <w:rFonts w:hint="eastAsia"/>
        </w:rPr>
        <w:t>.</w:t>
      </w:r>
      <w:r>
        <w:rPr>
          <w:rFonts w:hint="eastAsia"/>
        </w:rPr>
        <w:tab/>
      </w:r>
      <w:r>
        <w:rPr>
          <w:rFonts w:hint="eastAsia"/>
        </w:rPr>
        <w:t>通过所有这些计量方法，社会发展部使资源的利用变得透明化，并让社会了解实施方案的资金使用情况，以及这些方案对贫穷人口的影响。</w:t>
      </w:r>
    </w:p>
    <w:p w:rsidR="00000000" w:rsidRDefault="00457650">
      <w:pPr>
        <w:widowControl/>
        <w:tabs>
          <w:tab w:val="left" w:pos="630"/>
        </w:tabs>
        <w:spacing w:after="240" w:line="360" w:lineRule="exact"/>
        <w:rPr>
          <w:rFonts w:hint="eastAsia"/>
        </w:rPr>
      </w:pPr>
      <w:r>
        <w:t>1124</w:t>
      </w:r>
      <w:r>
        <w:rPr>
          <w:rFonts w:hint="eastAsia"/>
        </w:rPr>
        <w:t>.</w:t>
      </w:r>
      <w:r>
        <w:rPr>
          <w:rFonts w:hint="eastAsia"/>
        </w:rPr>
        <w:tab/>
      </w:r>
      <w:r>
        <w:rPr>
          <w:rFonts w:hint="eastAsia"/>
        </w:rPr>
        <w:t>为了与社会建立更加和谐的关系，社会发展部正在发挥社会发展问题公民咨询委员会的作用，建立该机构为了设法帮助开展除贫运动，使之成为在共同承</w:t>
      </w:r>
      <w:r>
        <w:rPr>
          <w:rFonts w:hint="eastAsia"/>
        </w:rPr>
        <w:t>担责任的基础上开展的一项综合活动，以此促进公共部门、社会部门和私营部门之间的持续对话。</w:t>
      </w:r>
    </w:p>
    <w:p w:rsidR="00000000" w:rsidRDefault="00457650">
      <w:pPr>
        <w:widowControl/>
        <w:tabs>
          <w:tab w:val="left" w:pos="630"/>
        </w:tabs>
        <w:spacing w:after="240" w:line="360" w:lineRule="exact"/>
        <w:rPr>
          <w:rFonts w:hint="eastAsia"/>
        </w:rPr>
      </w:pPr>
      <w:r>
        <w:rPr>
          <w:rFonts w:hint="eastAsia"/>
        </w:rPr>
        <w:t>1125.</w:t>
      </w:r>
      <w:r>
        <w:rPr>
          <w:rFonts w:hint="eastAsia"/>
        </w:rPr>
        <w:tab/>
      </w:r>
      <w:r>
        <w:rPr>
          <w:rFonts w:hint="eastAsia"/>
        </w:rPr>
        <w:t>该委员会于</w:t>
      </w:r>
      <w:r>
        <w:t>1998</w:t>
      </w:r>
      <w:r>
        <w:rPr>
          <w:rFonts w:hint="eastAsia"/>
        </w:rPr>
        <w:t>年开始工作，在其各项主要目标中，以下几项尤其值得提及：</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就国家社会发展政策的执行、定向和评估发表意见，并提出建议；</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鼓励公民和社会组织参与国家社会发展政策的监测、实施和评估；</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促进公共部门、社会部门和私营部门之间继续开展对话</w:t>
      </w:r>
      <w:r>
        <w:rPr>
          <w:rFonts w:hint="eastAsia"/>
          <w:b/>
          <w:bCs/>
        </w:rPr>
        <w:t>，</w:t>
      </w:r>
      <w:r>
        <w:rPr>
          <w:rFonts w:hint="eastAsia"/>
        </w:rPr>
        <w:t>寻找各种方法协助公共机构和民间社会改进除贫行动方针。</w:t>
      </w:r>
    </w:p>
    <w:p w:rsidR="00000000" w:rsidRDefault="00457650">
      <w:pPr>
        <w:widowControl/>
        <w:tabs>
          <w:tab w:val="left" w:pos="630"/>
        </w:tabs>
        <w:spacing w:after="240" w:line="360" w:lineRule="exact"/>
        <w:rPr>
          <w:rFonts w:hint="eastAsia"/>
        </w:rPr>
      </w:pPr>
      <w:r>
        <w:t>1126</w:t>
      </w:r>
      <w:r>
        <w:rPr>
          <w:rFonts w:hint="eastAsia"/>
        </w:rPr>
        <w:t>.</w:t>
      </w:r>
      <w:r>
        <w:rPr>
          <w:rFonts w:hint="eastAsia"/>
        </w:rPr>
        <w:tab/>
      </w:r>
      <w:r>
        <w:rPr>
          <w:rFonts w:hint="eastAsia"/>
        </w:rPr>
        <w:t>咨询委员会自建立以来已取得了重大进展，尤其是在扩大社会参与、问责制和制定加强民主的国家社会政策方面。</w:t>
      </w:r>
    </w:p>
    <w:p w:rsidR="00000000" w:rsidRDefault="00457650">
      <w:pPr>
        <w:widowControl/>
        <w:tabs>
          <w:tab w:val="left" w:pos="630"/>
        </w:tabs>
        <w:spacing w:after="240" w:line="360" w:lineRule="exact"/>
        <w:rPr>
          <w:rFonts w:hint="eastAsia"/>
        </w:rPr>
      </w:pPr>
      <w:r>
        <w:t>1127</w:t>
      </w:r>
      <w:r>
        <w:rPr>
          <w:rFonts w:hint="eastAsia"/>
        </w:rPr>
        <w:t>.</w:t>
      </w:r>
      <w:r>
        <w:rPr>
          <w:rFonts w:hint="eastAsia"/>
        </w:rPr>
        <w:tab/>
      </w:r>
      <w:r>
        <w:rPr>
          <w:rFonts w:hint="eastAsia"/>
        </w:rPr>
        <w:t>为了加强社会政策的制定，必须了解贫穷者对自身问题的看法，以及他们希望采取的解决办法，更重要的是要了解他们对贫穷的看法。为此社会发展部进行了题为“听穷人说些什么”的调查。</w:t>
      </w:r>
    </w:p>
    <w:p w:rsidR="00000000" w:rsidRDefault="00457650">
      <w:pPr>
        <w:widowControl/>
        <w:tabs>
          <w:tab w:val="left" w:pos="630"/>
        </w:tabs>
        <w:spacing w:after="240" w:line="360" w:lineRule="exact"/>
        <w:rPr>
          <w:rFonts w:hint="eastAsia"/>
        </w:rPr>
      </w:pPr>
      <w:r>
        <w:t>1128</w:t>
      </w:r>
      <w:r>
        <w:rPr>
          <w:rFonts w:hint="eastAsia"/>
        </w:rPr>
        <w:t>.</w:t>
      </w:r>
      <w:r>
        <w:rPr>
          <w:rFonts w:hint="eastAsia"/>
        </w:rPr>
        <w:tab/>
      </w:r>
      <w:r>
        <w:rPr>
          <w:rFonts w:hint="eastAsia"/>
        </w:rPr>
        <w:t>这项调查旨在记录当前墨西哥贫穷人口的说法和想法，于</w:t>
      </w:r>
      <w:r>
        <w:t>2003</w:t>
      </w:r>
      <w:r>
        <w:rPr>
          <w:rFonts w:hint="eastAsia"/>
        </w:rPr>
        <w:t>年</w:t>
      </w:r>
      <w:r>
        <w:t>7</w:t>
      </w:r>
      <w:r>
        <w:rPr>
          <w:rFonts w:hint="eastAsia"/>
        </w:rPr>
        <w:t>月进行，由社会发展部设计。为了完成这项调查，根据正式要求，采访了</w:t>
      </w:r>
      <w:r>
        <w:t>3</w:t>
      </w:r>
      <w:r>
        <w:rPr>
          <w:rFonts w:hint="eastAsia"/>
        </w:rPr>
        <w:t xml:space="preserve"> </w:t>
      </w:r>
      <w:r>
        <w:t>000</w:t>
      </w:r>
      <w:r>
        <w:rPr>
          <w:rFonts w:hint="eastAsia"/>
        </w:rPr>
        <w:t>个在营养、能力和资产方面都缺乏的家庭。</w:t>
      </w:r>
    </w:p>
    <w:p w:rsidR="00000000" w:rsidRDefault="00457650">
      <w:pPr>
        <w:widowControl/>
        <w:tabs>
          <w:tab w:val="left" w:pos="630"/>
        </w:tabs>
        <w:spacing w:after="240" w:line="360" w:lineRule="exact"/>
        <w:rPr>
          <w:rFonts w:hint="eastAsia"/>
        </w:rPr>
      </w:pPr>
      <w:r>
        <w:rPr>
          <w:rFonts w:hint="eastAsia"/>
        </w:rPr>
        <w:t>1129.</w:t>
      </w:r>
      <w:r>
        <w:rPr>
          <w:rFonts w:hint="eastAsia"/>
        </w:rPr>
        <w:tab/>
      </w:r>
      <w:r>
        <w:rPr>
          <w:rFonts w:hint="eastAsia"/>
        </w:rPr>
        <w:t>调查的目的如下：</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收集关于贫穷人口一般特点的信息；</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了解这些人对福利和社会公正等问题的看法；</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了解关于贫穷人口对弱势和歧视行为的看</w:t>
      </w:r>
      <w:r>
        <w:rPr>
          <w:rFonts w:hint="eastAsia"/>
        </w:rPr>
        <w:t>法；</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了解贫穷人口对于公共机构活动的看法，以及他们对社会支助的评价。</w:t>
      </w:r>
    </w:p>
    <w:p w:rsidR="00000000" w:rsidRDefault="00457650">
      <w:pPr>
        <w:widowControl/>
        <w:tabs>
          <w:tab w:val="left" w:pos="630"/>
        </w:tabs>
        <w:spacing w:after="240" w:line="360" w:lineRule="exact"/>
        <w:rPr>
          <w:rFonts w:hint="eastAsia"/>
        </w:rPr>
      </w:pPr>
      <w:r>
        <w:t>1130</w:t>
      </w:r>
      <w:r>
        <w:rPr>
          <w:rFonts w:hint="eastAsia"/>
        </w:rPr>
        <w:t>.</w:t>
      </w:r>
      <w:r>
        <w:rPr>
          <w:rFonts w:hint="eastAsia"/>
        </w:rPr>
        <w:tab/>
      </w:r>
      <w:r>
        <w:rPr>
          <w:rFonts w:hint="eastAsia"/>
        </w:rPr>
        <w:t>“倾听穷人的声音”调查结果提供了非常宝贵的信息，有助于改善社会发展部主管方案的设计和执行，并提高这些方案对受益者的影响。</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hint="eastAsia"/>
          <w:b/>
        </w:rPr>
        <w:t xml:space="preserve">32. </w:t>
      </w:r>
      <w:r>
        <w:rPr>
          <w:rFonts w:ascii="KaiTi_GB2312" w:eastAsia="KaiTi_GB2312" w:hint="eastAsia"/>
          <w:b/>
        </w:rPr>
        <w:t>委员会建议缔约国采取有效措施，加强打击腐败的力度，因为这个问题对充分实现《公约》所规定的权利具有消极影响，包括针对造成腐败的行为所采取的法律行动。</w:t>
      </w:r>
    </w:p>
    <w:p w:rsidR="00000000" w:rsidRDefault="00457650">
      <w:pPr>
        <w:widowControl/>
        <w:tabs>
          <w:tab w:val="left" w:pos="630"/>
        </w:tabs>
        <w:spacing w:after="240" w:line="360" w:lineRule="exact"/>
        <w:rPr>
          <w:rFonts w:hint="eastAsia"/>
        </w:rPr>
      </w:pPr>
      <w:r>
        <w:rPr>
          <w:rFonts w:hint="eastAsia"/>
        </w:rPr>
        <w:t>1131.</w:t>
      </w:r>
      <w:r>
        <w:rPr>
          <w:rFonts w:hint="eastAsia"/>
        </w:rPr>
        <w:tab/>
      </w:r>
      <w:r>
        <w:rPr>
          <w:rFonts w:hint="eastAsia"/>
        </w:rPr>
        <w:t>见对第</w:t>
      </w:r>
      <w:r>
        <w:t>19</w:t>
      </w:r>
      <w:r>
        <w:rPr>
          <w:rFonts w:hint="eastAsia"/>
        </w:rPr>
        <w:t>条意见的答复。</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hint="eastAsia"/>
          <w:b/>
        </w:rPr>
        <w:t xml:space="preserve">33. </w:t>
      </w:r>
      <w:r>
        <w:rPr>
          <w:rFonts w:ascii="KaiTi_GB2312" w:eastAsia="KaiTi_GB2312" w:hint="eastAsia"/>
          <w:b/>
        </w:rPr>
        <w:t>委员会建议缔约国对发展资源的分配应该采取一种公平的方式，不要受到地理位置和相关群体的影响。</w:t>
      </w:r>
    </w:p>
    <w:p w:rsidR="00000000" w:rsidRDefault="00457650">
      <w:pPr>
        <w:widowControl/>
        <w:tabs>
          <w:tab w:val="left" w:pos="630"/>
        </w:tabs>
        <w:spacing w:after="240" w:line="360" w:lineRule="exact"/>
        <w:rPr>
          <w:rFonts w:hint="eastAsia"/>
        </w:rPr>
      </w:pPr>
      <w:r>
        <w:t>1132</w:t>
      </w:r>
      <w:r>
        <w:rPr>
          <w:rFonts w:hint="eastAsia"/>
        </w:rPr>
        <w:t>.</w:t>
      </w:r>
      <w:r>
        <w:rPr>
          <w:rFonts w:hint="eastAsia"/>
        </w:rPr>
        <w:tab/>
      </w:r>
      <w:r>
        <w:rPr>
          <w:rFonts w:hint="eastAsia"/>
        </w:rPr>
        <w:t>对</w:t>
      </w:r>
      <w:r>
        <w:rPr>
          <w:rFonts w:hint="eastAsia"/>
        </w:rPr>
        <w:t>于联邦政府专用于社会开支的资源，墨西哥对旨在实现人力和社会发展的预算一直给予有利的考虑，用于促进社会发展的开支就证实了这一点，这类支出作为计划开支的一部分，近年来一直在增长。</w:t>
      </w:r>
      <w:r>
        <w:t>1998</w:t>
      </w:r>
      <w:r>
        <w:rPr>
          <w:rFonts w:hint="eastAsia"/>
        </w:rPr>
        <w:t>年，</w:t>
      </w:r>
      <w:r>
        <w:t>6 005.83</w:t>
      </w:r>
      <w:r>
        <w:rPr>
          <w:rFonts w:hint="eastAsia"/>
        </w:rPr>
        <w:t>亿比索用于加强社会发展职能，占计划开支的</w:t>
      </w:r>
      <w:r>
        <w:t>57.86%</w:t>
      </w:r>
      <w:r>
        <w:rPr>
          <w:rFonts w:hint="eastAsia"/>
        </w:rPr>
        <w:t>；</w:t>
      </w:r>
      <w:r>
        <w:t>2003</w:t>
      </w:r>
      <w:r>
        <w:rPr>
          <w:rFonts w:hint="eastAsia"/>
        </w:rPr>
        <w:t>年的相应款额为</w:t>
      </w:r>
      <w:r>
        <w:t>6 819.556</w:t>
      </w:r>
      <w:r>
        <w:rPr>
          <w:rFonts w:hint="eastAsia"/>
        </w:rPr>
        <w:t>亿比索，占计划开支的</w:t>
      </w:r>
      <w:r>
        <w:t>61.6%</w:t>
      </w:r>
      <w:r>
        <w:rPr>
          <w:rFonts w:hint="eastAsia"/>
        </w:rPr>
        <w:t>。</w:t>
      </w:r>
    </w:p>
    <w:p w:rsidR="00000000" w:rsidRDefault="00457650">
      <w:pPr>
        <w:widowControl/>
        <w:tabs>
          <w:tab w:val="left" w:pos="630"/>
        </w:tabs>
        <w:spacing w:after="240" w:line="360" w:lineRule="exact"/>
        <w:rPr>
          <w:rFonts w:hint="eastAsia"/>
        </w:rPr>
      </w:pPr>
      <w:r>
        <w:t>1133</w:t>
      </w:r>
      <w:r>
        <w:rPr>
          <w:rFonts w:hint="eastAsia"/>
        </w:rPr>
        <w:t>.</w:t>
      </w:r>
      <w:r>
        <w:rPr>
          <w:rFonts w:hint="eastAsia"/>
        </w:rPr>
        <w:tab/>
      </w:r>
      <w:r>
        <w:rPr>
          <w:rFonts w:hint="eastAsia"/>
        </w:rPr>
        <w:t>另外，用于加强社会发展功能的开支作为国内生产总值（国内总产值）的一部分，在</w:t>
      </w:r>
      <w:r>
        <w:t>1998</w:t>
      </w:r>
      <w:r>
        <w:rPr>
          <w:rFonts w:hint="eastAsia"/>
        </w:rPr>
        <w:t>－</w:t>
      </w:r>
      <w:r>
        <w:t>2003</w:t>
      </w:r>
      <w:r>
        <w:rPr>
          <w:rFonts w:hint="eastAsia"/>
        </w:rPr>
        <w:t>年从</w:t>
      </w:r>
      <w:r>
        <w:t>9.17%</w:t>
      </w:r>
      <w:r>
        <w:rPr>
          <w:rFonts w:hint="eastAsia"/>
        </w:rPr>
        <w:t>增长到</w:t>
      </w:r>
      <w:r>
        <w:t>10.4%</w:t>
      </w:r>
      <w:r>
        <w:rPr>
          <w:rFonts w:hint="eastAsia"/>
        </w:rPr>
        <w:t>。</w:t>
      </w:r>
    </w:p>
    <w:p w:rsidR="00000000" w:rsidRDefault="00457650">
      <w:pPr>
        <w:widowControl/>
        <w:tabs>
          <w:tab w:val="left" w:pos="630"/>
        </w:tabs>
        <w:spacing w:after="240" w:line="360" w:lineRule="exact"/>
        <w:jc w:val="center"/>
        <w:rPr>
          <w:rFonts w:eastAsia="SimHei" w:hint="eastAsia"/>
          <w:bCs/>
        </w:rPr>
      </w:pPr>
      <w:r>
        <w:rPr>
          <w:rFonts w:eastAsia="SimHei" w:hint="eastAsia"/>
          <w:bCs/>
        </w:rPr>
        <w:t>墨西哥社会开支趋势</w:t>
      </w:r>
    </w:p>
    <w:p w:rsidR="00000000" w:rsidRDefault="00457650">
      <w:pPr>
        <w:widowControl/>
        <w:tabs>
          <w:tab w:val="left" w:pos="630"/>
        </w:tabs>
        <w:spacing w:after="240" w:line="360" w:lineRule="exact"/>
        <w:rPr>
          <w:rFonts w:hint="eastAsia"/>
          <w:b/>
        </w:rPr>
      </w:pPr>
      <w:r>
        <w:rPr>
          <w:b/>
          <w:noProof/>
          <w:sz w:val="20"/>
        </w:rPr>
        <w:pict>
          <v:shape id="_x0000_s1188" type="#_x0000_t202" style="position:absolute;left:0;text-align:left;margin-left:54pt;margin-top:1.2pt;width:389.4pt;height:239.2pt;z-index:31">
            <v:textbox>
              <w:txbxContent>
                <w:p w:rsidR="00000000" w:rsidRDefault="00457650">
                  <w:pPr>
                    <w:jc w:val="center"/>
                    <w:rPr>
                      <w:rFonts w:eastAsia="SimHei" w:hint="eastAsia"/>
                      <w:bCs/>
                    </w:rPr>
                  </w:pPr>
                  <w:r>
                    <w:rPr>
                      <w:rFonts w:eastAsia="SimHei" w:hint="eastAsia"/>
                      <w:bCs/>
                    </w:rPr>
                    <w:t>社会开支占国内总产值的百分比</w:t>
                  </w:r>
                </w:p>
                <w:p w:rsidR="00000000" w:rsidRDefault="00457650">
                  <w:pPr>
                    <w:rPr>
                      <w:rFonts w:hint="eastAsia"/>
                    </w:rPr>
                  </w:pPr>
                  <w:r>
                    <w:object w:dxaOrig="7485" w:dyaOrig="3855">
                      <v:shape id="_x0000_i1042" type="#_x0000_t75" style="width:374.25pt;height:192.75pt" o:ole="">
                        <v:imagedata r:id="rId172" o:title=""/>
                      </v:shape>
                      <o:OLEObject Type="Embed" ProgID="Excel.Chart.8" ShapeID="_x0000_i1042" DrawAspect="Content" ObjectID="_1394895088" r:id="rId173">
                        <o:FieldCodes>\s</o:FieldCodes>
                      </o:OLEObject>
                    </w:object>
                  </w:r>
                </w:p>
                <w:p w:rsidR="00000000" w:rsidRDefault="00457650" w:rsidP="00457650">
                  <w:pPr>
                    <w:ind w:firstLineChars="300" w:firstLine="31680"/>
                    <w:rPr>
                      <w:rFonts w:hint="eastAsia"/>
                      <w:bCs/>
                      <w:sz w:val="18"/>
                    </w:rPr>
                  </w:pPr>
                  <w:r>
                    <w:rPr>
                      <w:rFonts w:hint="eastAsia"/>
                      <w:bCs/>
                      <w:sz w:val="18"/>
                      <w:vertAlign w:val="superscript"/>
                    </w:rPr>
                    <w:t>e</w:t>
                  </w:r>
                  <w:r>
                    <w:rPr>
                      <w:rFonts w:hint="eastAsia"/>
                      <w:bCs/>
                      <w:sz w:val="18"/>
                    </w:rPr>
                    <w:t xml:space="preserve">  </w:t>
                  </w:r>
                  <w:r>
                    <w:rPr>
                      <w:rFonts w:hint="eastAsia"/>
                      <w:bCs/>
                      <w:sz w:val="18"/>
                    </w:rPr>
                    <w:t>支出估计数</w:t>
                  </w:r>
                </w:p>
              </w:txbxContent>
            </v:textbox>
          </v:shape>
        </w:pict>
      </w:r>
    </w:p>
    <w:p w:rsidR="00000000" w:rsidRDefault="00457650">
      <w:pPr>
        <w:widowControl/>
        <w:tabs>
          <w:tab w:val="left" w:pos="630"/>
        </w:tabs>
        <w:spacing w:after="240" w:line="360" w:lineRule="exact"/>
        <w:rPr>
          <w:rFonts w:hint="eastAsia"/>
          <w:b/>
        </w:rPr>
      </w:pPr>
    </w:p>
    <w:p w:rsidR="00000000" w:rsidRDefault="00457650">
      <w:pPr>
        <w:widowControl/>
        <w:tabs>
          <w:tab w:val="left" w:pos="630"/>
        </w:tabs>
        <w:spacing w:after="240" w:line="360" w:lineRule="exact"/>
        <w:rPr>
          <w:rFonts w:hint="eastAsia"/>
          <w:b/>
        </w:rPr>
      </w:pPr>
    </w:p>
    <w:p w:rsidR="00000000" w:rsidRDefault="00457650">
      <w:pPr>
        <w:widowControl/>
        <w:tabs>
          <w:tab w:val="left" w:pos="630"/>
        </w:tabs>
        <w:spacing w:after="240" w:line="360" w:lineRule="exact"/>
        <w:rPr>
          <w:rFonts w:hint="eastAsia"/>
          <w:b/>
        </w:rPr>
      </w:pPr>
    </w:p>
    <w:p w:rsidR="00000000" w:rsidRDefault="00457650">
      <w:pPr>
        <w:widowControl/>
        <w:tabs>
          <w:tab w:val="left" w:pos="630"/>
        </w:tabs>
        <w:spacing w:after="240" w:line="360" w:lineRule="exact"/>
        <w:rPr>
          <w:rFonts w:hint="eastAsia"/>
          <w:b/>
        </w:rPr>
      </w:pPr>
    </w:p>
    <w:p w:rsidR="00000000" w:rsidRDefault="00457650">
      <w:pPr>
        <w:widowControl/>
        <w:tabs>
          <w:tab w:val="left" w:pos="630"/>
        </w:tabs>
        <w:spacing w:after="240" w:line="360" w:lineRule="exact"/>
        <w:rPr>
          <w:rFonts w:hint="eastAsia"/>
          <w:b/>
        </w:rPr>
      </w:pPr>
      <w:r>
        <w:rPr>
          <w:b/>
          <w:noProof/>
          <w:sz w:val="20"/>
        </w:rPr>
        <w:pict>
          <v:shape id="_x0000_s1189" type="#_x0000_t202" style="position:absolute;left:0;text-align:left;margin-left:388.5pt;margin-top:27.95pt;width:30pt;height:20.8pt;z-index:32" filled="f" stroked="f">
            <v:textbox>
              <w:txbxContent>
                <w:p w:rsidR="00000000" w:rsidRDefault="00457650">
                  <w:pPr>
                    <w:rPr>
                      <w:rFonts w:hint="eastAsia"/>
                      <w:vertAlign w:val="superscript"/>
                    </w:rPr>
                  </w:pPr>
                  <w:r>
                    <w:rPr>
                      <w:rFonts w:hint="eastAsia"/>
                      <w:vertAlign w:val="superscript"/>
                    </w:rPr>
                    <w:t>e</w:t>
                  </w:r>
                </w:p>
              </w:txbxContent>
            </v:textbox>
          </v:shape>
        </w:pict>
      </w:r>
    </w:p>
    <w:p w:rsidR="00000000" w:rsidRDefault="00457650">
      <w:pPr>
        <w:widowControl/>
        <w:tabs>
          <w:tab w:val="left" w:pos="630"/>
        </w:tabs>
        <w:spacing w:after="240" w:line="360" w:lineRule="exact"/>
        <w:rPr>
          <w:rFonts w:hint="eastAsia"/>
          <w:b/>
        </w:rPr>
      </w:pPr>
    </w:p>
    <w:p w:rsidR="00000000" w:rsidRDefault="00457650">
      <w:pPr>
        <w:pStyle w:val="50"/>
        <w:widowControl/>
        <w:tabs>
          <w:tab w:val="left" w:pos="630"/>
        </w:tabs>
        <w:adjustRightInd w:val="0"/>
        <w:spacing w:beforeLines="0" w:before="0" w:afterLines="0" w:after="0" w:line="360" w:lineRule="exact"/>
        <w:textAlignment w:val="baseline"/>
        <w:rPr>
          <w:rFonts w:hint="eastAsia"/>
          <w:b w:val="0"/>
        </w:rPr>
      </w:pPr>
    </w:p>
    <w:p w:rsidR="00000000" w:rsidRDefault="00457650">
      <w:pPr>
        <w:pStyle w:val="50"/>
        <w:widowControl/>
        <w:tabs>
          <w:tab w:val="left" w:pos="630"/>
        </w:tabs>
        <w:adjustRightInd w:val="0"/>
        <w:spacing w:beforeLines="0" w:before="0" w:afterLines="0" w:after="0" w:line="360" w:lineRule="exact"/>
        <w:textAlignment w:val="baseline"/>
        <w:rPr>
          <w:rFonts w:hint="eastAsia"/>
          <w:kern w:val="0"/>
          <w:szCs w:val="20"/>
        </w:rPr>
      </w:pPr>
    </w:p>
    <w:p w:rsidR="00000000" w:rsidRDefault="00457650" w:rsidP="00457650">
      <w:pPr>
        <w:widowControl/>
        <w:tabs>
          <w:tab w:val="left" w:pos="630"/>
        </w:tabs>
        <w:spacing w:after="240" w:line="360" w:lineRule="exact"/>
        <w:ind w:firstLineChars="600" w:firstLine="31680"/>
        <w:rPr>
          <w:rFonts w:hint="eastAsia"/>
          <w:sz w:val="18"/>
        </w:rPr>
      </w:pPr>
      <w:r>
        <w:rPr>
          <w:rFonts w:eastAsia="KaiTi_GB2312" w:hint="eastAsia"/>
          <w:sz w:val="18"/>
        </w:rPr>
        <w:t>资</w:t>
      </w:r>
      <w:r>
        <w:rPr>
          <w:rFonts w:eastAsia="KaiTi_GB2312" w:hint="eastAsia"/>
          <w:sz w:val="18"/>
        </w:rPr>
        <w:t>料来源</w:t>
      </w:r>
      <w:r>
        <w:rPr>
          <w:rFonts w:hint="eastAsia"/>
          <w:sz w:val="18"/>
        </w:rPr>
        <w:t>：财政和公共信贷部，联邦各年度开支预算草案，《第三项政府报告》。</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hint="eastAsia"/>
          <w:b/>
        </w:rPr>
        <w:t>34.</w:t>
      </w:r>
      <w:r>
        <w:rPr>
          <w:rFonts w:ascii="KaiTi_GB2312" w:eastAsia="KaiTi_GB2312" w:hint="eastAsia"/>
          <w:b/>
        </w:rPr>
        <w:tab/>
      </w:r>
      <w:r>
        <w:rPr>
          <w:rFonts w:ascii="KaiTi_GB2312" w:eastAsia="KaiTi_GB2312" w:hint="eastAsia"/>
          <w:b/>
        </w:rPr>
        <w:t>委员会要求缔约国在与国际金融机构进行谈判，以及落实结构调整方案及影响外债偿还和融入全球自由市场经济等的整体经济政策时，考虑到它们对人们享有经济、社会和文化权利的影响，尤其是对社会最弱势群体的影响。</w:t>
      </w:r>
    </w:p>
    <w:p w:rsidR="00000000" w:rsidRDefault="00457650">
      <w:pPr>
        <w:widowControl/>
        <w:tabs>
          <w:tab w:val="left" w:pos="630"/>
        </w:tabs>
        <w:spacing w:after="240" w:line="360" w:lineRule="exact"/>
        <w:rPr>
          <w:rFonts w:hint="eastAsia"/>
        </w:rPr>
      </w:pPr>
      <w:r>
        <w:t>1134</w:t>
      </w:r>
      <w:r>
        <w:rPr>
          <w:rFonts w:hint="eastAsia"/>
        </w:rPr>
        <w:t>.</w:t>
      </w:r>
      <w:r>
        <w:rPr>
          <w:rFonts w:hint="eastAsia"/>
        </w:rPr>
        <w:tab/>
      </w:r>
      <w:r>
        <w:rPr>
          <w:rFonts w:hint="eastAsia"/>
        </w:rPr>
        <w:t>墨西哥政府优先考虑的是创造经济条件，提供消除贫穷的资源，减少地区差别，提高墨西哥在当前国际环境中的竞争力。国家认真推行了一项经济政策，不仅在粮食、卫生、教育和住宅方面，而且还在文化和娱乐方面，致力于永久性提高人民的生活水平</w:t>
      </w:r>
      <w:r>
        <w:rPr>
          <w:rFonts w:hint="eastAsia"/>
        </w:rPr>
        <w:t>和生活质量，并使个人能得到充分和平等的发展。</w:t>
      </w:r>
    </w:p>
    <w:p w:rsidR="00000000" w:rsidRDefault="00457650">
      <w:pPr>
        <w:widowControl/>
        <w:tabs>
          <w:tab w:val="left" w:pos="630"/>
        </w:tabs>
        <w:spacing w:after="240" w:line="360" w:lineRule="exact"/>
        <w:rPr>
          <w:rFonts w:hint="eastAsia"/>
        </w:rPr>
      </w:pPr>
      <w:r>
        <w:t>1135</w:t>
      </w:r>
      <w:r>
        <w:rPr>
          <w:rFonts w:hint="eastAsia"/>
        </w:rPr>
        <w:t>.</w:t>
      </w:r>
      <w:r>
        <w:rPr>
          <w:rFonts w:hint="eastAsia"/>
        </w:rPr>
        <w:tab/>
      </w:r>
      <w:r>
        <w:rPr>
          <w:rFonts w:hint="eastAsia"/>
        </w:rPr>
        <w:t>经济政策旨在营造一种鼓励和肯定私营机构投资决策的整体经济环境。处理公共财政时的审慎和纪律是实现这一目标的有效手段，有助于控制通货膨胀、减少金融市场的压力，预防借债成本的增长，并促进投资收益项目。另外，利率的降低使社会开支预算的增长成为可能。</w:t>
      </w:r>
    </w:p>
    <w:p w:rsidR="00000000" w:rsidRDefault="00457650">
      <w:pPr>
        <w:widowControl/>
        <w:tabs>
          <w:tab w:val="left" w:pos="630"/>
        </w:tabs>
        <w:spacing w:after="240" w:line="360" w:lineRule="exact"/>
        <w:rPr>
          <w:rFonts w:hint="eastAsia"/>
        </w:rPr>
      </w:pPr>
      <w:r>
        <w:t>1136</w:t>
      </w:r>
      <w:r>
        <w:rPr>
          <w:rFonts w:hint="eastAsia"/>
        </w:rPr>
        <w:t>.</w:t>
      </w:r>
      <w:r>
        <w:rPr>
          <w:rFonts w:hint="eastAsia"/>
        </w:rPr>
        <w:tab/>
      </w:r>
      <w:r>
        <w:rPr>
          <w:rFonts w:hint="eastAsia"/>
        </w:rPr>
        <w:t>财政政策反映了对逐步减少公共赤字，从而达到预算平衡的承诺。联邦支出预算考虑了谨慎的措施，在公共收入的趋势与预测有所不同的情况下，通过支出调节机制实现预算平衡。这些机制在实现财政目标方面具有明显的效力，</w:t>
      </w:r>
      <w:r>
        <w:rPr>
          <w:rFonts w:hint="eastAsia"/>
        </w:rPr>
        <w:t>与此同时，在对全国的教育、卫生、机会平等、农村发展和基础建设发展具有战略意义的领域，始终优先考虑它们的开支。</w:t>
      </w:r>
    </w:p>
    <w:p w:rsidR="00000000" w:rsidRDefault="00457650">
      <w:pPr>
        <w:widowControl/>
        <w:tabs>
          <w:tab w:val="left" w:pos="630"/>
        </w:tabs>
        <w:spacing w:after="240" w:line="360" w:lineRule="exact"/>
        <w:rPr>
          <w:rFonts w:hint="eastAsia"/>
        </w:rPr>
      </w:pPr>
      <w:r>
        <w:t>1137</w:t>
      </w:r>
      <w:r>
        <w:rPr>
          <w:rFonts w:hint="eastAsia"/>
        </w:rPr>
        <w:t>.</w:t>
      </w:r>
      <w:r>
        <w:rPr>
          <w:rFonts w:hint="eastAsia"/>
        </w:rPr>
        <w:tab/>
      </w:r>
      <w:r>
        <w:rPr>
          <w:rFonts w:hint="eastAsia"/>
        </w:rPr>
        <w:t>开支政策对直接造福于公民的支出项目给予优先考虑：社会发展支出得到增加，尤其是在教育、卫生和社会保障方面，用于消除贫穷计划的各种资源也在不断增长，这使政府得以充分履行职能。</w:t>
      </w:r>
    </w:p>
    <w:p w:rsidR="00000000" w:rsidRDefault="00457650">
      <w:pPr>
        <w:widowControl/>
        <w:tabs>
          <w:tab w:val="left" w:pos="630"/>
        </w:tabs>
        <w:spacing w:after="240" w:line="360" w:lineRule="exact"/>
        <w:rPr>
          <w:rFonts w:hint="eastAsia"/>
        </w:rPr>
      </w:pPr>
      <w:r>
        <w:t>1138</w:t>
      </w:r>
      <w:r>
        <w:rPr>
          <w:rFonts w:hint="eastAsia"/>
        </w:rPr>
        <w:t>.</w:t>
      </w:r>
      <w:r>
        <w:rPr>
          <w:rFonts w:hint="eastAsia"/>
        </w:rPr>
        <w:tab/>
      </w:r>
      <w:r>
        <w:rPr>
          <w:rFonts w:hint="eastAsia"/>
        </w:rPr>
        <w:t>同时也在努力增加联邦各州和市政以及欠发展群体的支出，通过在联邦、各州和市政间更合理地分配资源和责任加强联邦制度；农村发展给予以优先考虑，包括履行联邦政府对《全国农村地区协议》中生产者组织所作的承诺。</w:t>
      </w:r>
    </w:p>
    <w:p w:rsidR="00000000" w:rsidRDefault="00457650">
      <w:pPr>
        <w:widowControl/>
        <w:tabs>
          <w:tab w:val="left" w:pos="630"/>
        </w:tabs>
        <w:spacing w:after="240" w:line="360" w:lineRule="exact"/>
        <w:rPr>
          <w:rFonts w:hint="eastAsia"/>
        </w:rPr>
      </w:pPr>
      <w:r>
        <w:t>113</w:t>
      </w:r>
      <w:r>
        <w:t>9</w:t>
      </w:r>
      <w:r>
        <w:rPr>
          <w:rFonts w:hint="eastAsia"/>
        </w:rPr>
        <w:t>.</w:t>
      </w:r>
      <w:r>
        <w:rPr>
          <w:rFonts w:hint="eastAsia"/>
        </w:rPr>
        <w:tab/>
      </w:r>
      <w:r>
        <w:rPr>
          <w:rFonts w:hint="eastAsia"/>
        </w:rPr>
        <w:t>有必要推行合理的公共借贷政策，以落实适当的财政措施，并在中期内进一步实现整体经济环境的稳定。为了这一目标，我们应该继续利用国际金融组织提供的有利筹资条件，着重促进有利于国家经济和社会发展的投资项目和改革项目。</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hint="eastAsia"/>
          <w:b/>
        </w:rPr>
        <w:t>35.</w:t>
      </w:r>
      <w:r>
        <w:rPr>
          <w:rFonts w:ascii="KaiTi_GB2312" w:eastAsia="KaiTi_GB2312" w:hint="eastAsia"/>
          <w:b/>
        </w:rPr>
        <w:tab/>
      </w:r>
      <w:r>
        <w:rPr>
          <w:rFonts w:ascii="KaiTi_GB2312" w:eastAsia="KaiTi_GB2312" w:hint="eastAsia"/>
          <w:b/>
        </w:rPr>
        <w:t>委员会建议缔约国继续加强努力，减轻执行</w:t>
      </w:r>
      <w:r>
        <w:rPr>
          <w:rFonts w:ascii="KaiTi_GB2312" w:eastAsia="KaiTi_GB2312"/>
          <w:b/>
        </w:rPr>
        <w:t>NAFTA</w:t>
      </w:r>
      <w:r>
        <w:rPr>
          <w:rFonts w:ascii="KaiTi_GB2312" w:eastAsia="KaiTi_GB2312" w:hint="eastAsia"/>
          <w:b/>
        </w:rPr>
        <w:t>有可能给某些弱势群体造成的任何负面影响。</w:t>
      </w:r>
    </w:p>
    <w:p w:rsidR="00000000" w:rsidRDefault="00457650">
      <w:pPr>
        <w:widowControl/>
        <w:tabs>
          <w:tab w:val="left" w:pos="630"/>
        </w:tabs>
        <w:spacing w:after="240" w:line="360" w:lineRule="exact"/>
        <w:rPr>
          <w:rFonts w:hint="eastAsia"/>
        </w:rPr>
      </w:pPr>
      <w:r>
        <w:t>1140</w:t>
      </w:r>
      <w:r>
        <w:rPr>
          <w:rFonts w:hint="eastAsia"/>
        </w:rPr>
        <w:t>.</w:t>
      </w:r>
      <w:r>
        <w:rPr>
          <w:rFonts w:hint="eastAsia"/>
        </w:rPr>
        <w:tab/>
      </w:r>
      <w:r>
        <w:rPr>
          <w:rFonts w:hint="eastAsia"/>
        </w:rPr>
        <w:t>众所周知，尽管在加入北美自由贸易协定后出现了经济增长，但各个地区之间仍然存在一些不平等。该协定成功地为发展奠定了重要基础，这主要指边缘地区和国家中心地区；但是其他地区仍未实现这一增长。为</w:t>
      </w:r>
      <w:r>
        <w:rPr>
          <w:rFonts w:hint="eastAsia"/>
        </w:rPr>
        <w:t>了应对在国内某些地区已经恶化的、自由贸易协议所带来的负面影响，墨西哥政府已采取措施，包括制定侧重消除贫穷和不平等的境内综合发展政策。</w:t>
      </w:r>
    </w:p>
    <w:p w:rsidR="00000000" w:rsidRDefault="00457650">
      <w:pPr>
        <w:widowControl/>
        <w:tabs>
          <w:tab w:val="left" w:pos="630"/>
        </w:tabs>
        <w:spacing w:after="240" w:line="360" w:lineRule="exact"/>
        <w:rPr>
          <w:rFonts w:hint="eastAsia"/>
        </w:rPr>
      </w:pPr>
      <w:r>
        <w:t>1141</w:t>
      </w:r>
      <w:r>
        <w:rPr>
          <w:rFonts w:hint="eastAsia"/>
        </w:rPr>
        <w:t>.</w:t>
      </w:r>
      <w:r>
        <w:rPr>
          <w:rFonts w:hint="eastAsia"/>
        </w:rPr>
        <w:tab/>
      </w:r>
      <w:r>
        <w:rPr>
          <w:rFonts w:hint="eastAsia"/>
        </w:rPr>
        <w:t>墨西哥政府重申了关于将地区发展和领土政策置于政治议程之首的意向和承诺。有关地区发展的内容被纳入了《</w:t>
      </w:r>
      <w:r>
        <w:t>2001</w:t>
      </w:r>
      <w:r>
        <w:rPr>
          <w:rFonts w:hint="eastAsia"/>
        </w:rPr>
        <w:t>－</w:t>
      </w:r>
      <w:r>
        <w:t>2006</w:t>
      </w:r>
      <w:r>
        <w:rPr>
          <w:rFonts w:hint="eastAsia"/>
        </w:rPr>
        <w:t>年国家发展计划》，导致了合众国总统办公厅战略计划和地区发展办公厅的建立，从中可以看到政府在这方面的努力。该办公厅在促进地区发展中发挥了首要作用，其主要目标是促进长期领土政策的制定，以及评估、协调和完成旨在增进地区发展的政策和计划。它还有助于国家与市政</w:t>
      </w:r>
      <w:r>
        <w:rPr>
          <w:rFonts w:hint="eastAsia"/>
        </w:rPr>
        <w:t>府之间的协调，着眼于促进在全国范围内推动平衡经济增长的、全方位的地区发展。</w:t>
      </w:r>
    </w:p>
    <w:p w:rsidR="00000000" w:rsidRDefault="00457650">
      <w:pPr>
        <w:widowControl/>
        <w:tabs>
          <w:tab w:val="left" w:pos="630"/>
        </w:tabs>
        <w:spacing w:after="240" w:line="360" w:lineRule="exact"/>
        <w:rPr>
          <w:rFonts w:hint="eastAsia"/>
        </w:rPr>
      </w:pPr>
      <w:r>
        <w:t>1142</w:t>
      </w:r>
      <w:r>
        <w:rPr>
          <w:rFonts w:hint="eastAsia"/>
        </w:rPr>
        <w:t>.</w:t>
      </w:r>
      <w:r>
        <w:rPr>
          <w:rFonts w:hint="eastAsia"/>
        </w:rPr>
        <w:tab/>
      </w:r>
      <w:r>
        <w:rPr>
          <w:rFonts w:hint="eastAsia"/>
        </w:rPr>
        <w:t>还有其他一些旨在促进地区发展的领土发展倡议，其中之一就是</w:t>
      </w:r>
      <w:r>
        <w:t>普埃布拉－巴拿马计划</w:t>
      </w:r>
      <w:r>
        <w:rPr>
          <w:rFonts w:hint="eastAsia"/>
        </w:rPr>
        <w:t>，其目标是促进国内南部和东南部地区的发展和连通。还有一个国家城市发展和领土规划方案，其主要目标是促进全国经济的有序增长，由此减少地区间的差异。</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hint="eastAsia"/>
          <w:b/>
        </w:rPr>
        <w:t>36.</w:t>
      </w:r>
      <w:r>
        <w:rPr>
          <w:rFonts w:ascii="KaiTi_GB2312" w:eastAsia="KaiTi_GB2312" w:hint="eastAsia"/>
          <w:b/>
        </w:rPr>
        <w:tab/>
      </w:r>
      <w:r>
        <w:rPr>
          <w:rFonts w:ascii="KaiTi_GB2312" w:eastAsia="KaiTi_GB2312" w:hint="eastAsia"/>
          <w:b/>
        </w:rPr>
        <w:t>委员会要求缔约国采取有效措施，确保遵守《经济、社会、文化权利国际公约》第</w:t>
      </w:r>
      <w:r>
        <w:rPr>
          <w:rFonts w:ascii="KaiTi_GB2312" w:eastAsia="KaiTi_GB2312"/>
          <w:b/>
        </w:rPr>
        <w:t>7</w:t>
      </w:r>
      <w:r>
        <w:rPr>
          <w:rFonts w:ascii="KaiTi_GB2312" w:eastAsia="KaiTi_GB2312" w:hint="eastAsia"/>
          <w:b/>
        </w:rPr>
        <w:t>条（</w:t>
      </w:r>
      <w:r>
        <w:rPr>
          <w:rFonts w:ascii="KaiTi_GB2312" w:eastAsia="KaiTi_GB2312"/>
          <w:b/>
        </w:rPr>
        <w:t>a</w:t>
      </w:r>
      <w:r>
        <w:rPr>
          <w:rFonts w:ascii="KaiTi_GB2312" w:eastAsia="KaiTi_GB2312" w:hint="eastAsia"/>
          <w:b/>
        </w:rPr>
        <w:t>）（二），这一点反映在《墨西哥合众国宪法》第</w:t>
      </w:r>
      <w:r>
        <w:rPr>
          <w:rFonts w:ascii="KaiTi_GB2312" w:eastAsia="KaiTi_GB2312"/>
          <w:b/>
        </w:rPr>
        <w:t>123</w:t>
      </w:r>
      <w:r>
        <w:rPr>
          <w:rFonts w:ascii="KaiTi_GB2312" w:eastAsia="KaiTi_GB2312" w:hint="eastAsia"/>
          <w:b/>
        </w:rPr>
        <w:t>条第六部分关于正式规定的基本口粮篮的内容中。</w:t>
      </w:r>
    </w:p>
    <w:p w:rsidR="00000000" w:rsidRDefault="00457650">
      <w:pPr>
        <w:widowControl/>
        <w:tabs>
          <w:tab w:val="left" w:pos="630"/>
        </w:tabs>
        <w:spacing w:after="240" w:line="360" w:lineRule="exact"/>
        <w:rPr>
          <w:rFonts w:hint="eastAsia"/>
        </w:rPr>
      </w:pPr>
      <w:r>
        <w:t>1143</w:t>
      </w:r>
      <w:r>
        <w:rPr>
          <w:rFonts w:hint="eastAsia"/>
        </w:rPr>
        <w:t>.</w:t>
      </w:r>
      <w:r>
        <w:rPr>
          <w:rFonts w:hint="eastAsia"/>
        </w:rPr>
        <w:tab/>
      </w:r>
      <w:r>
        <w:rPr>
          <w:rFonts w:hint="eastAsia"/>
        </w:rPr>
        <w:t>见对第</w:t>
      </w:r>
      <w:r>
        <w:t>2</w:t>
      </w:r>
      <w:r>
        <w:t>0</w:t>
      </w:r>
      <w:r>
        <w:rPr>
          <w:rFonts w:hint="eastAsia"/>
        </w:rPr>
        <w:t>条意见的回复。</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hint="eastAsia"/>
          <w:b/>
        </w:rPr>
        <w:t>37.</w:t>
      </w:r>
      <w:r>
        <w:rPr>
          <w:rFonts w:ascii="KaiTi_GB2312" w:eastAsia="KaiTi_GB2312" w:hint="eastAsia"/>
          <w:b/>
        </w:rPr>
        <w:tab/>
      </w:r>
      <w:r>
        <w:rPr>
          <w:rFonts w:ascii="KaiTi_GB2312" w:eastAsia="KaiTi_GB2312" w:hint="eastAsia"/>
          <w:b/>
        </w:rPr>
        <w:t>委员会还敦促缔约国采取直接措施，保护边境加工业中的女性劳动者，包括禁止要求即将上岗的工人提供未孕诊断书，并对不予配合的雇主采取法律行动。</w:t>
      </w:r>
    </w:p>
    <w:p w:rsidR="00000000" w:rsidRDefault="00457650">
      <w:pPr>
        <w:widowControl/>
        <w:tabs>
          <w:tab w:val="left" w:pos="630"/>
        </w:tabs>
        <w:spacing w:after="240" w:line="360" w:lineRule="exact"/>
        <w:rPr>
          <w:rFonts w:hint="eastAsia"/>
        </w:rPr>
      </w:pPr>
      <w:r>
        <w:t>1144</w:t>
      </w:r>
      <w:r>
        <w:rPr>
          <w:rFonts w:hint="eastAsia"/>
        </w:rPr>
        <w:t>.</w:t>
      </w:r>
      <w:r>
        <w:rPr>
          <w:rFonts w:hint="eastAsia"/>
        </w:rPr>
        <w:tab/>
      </w:r>
      <w:r>
        <w:rPr>
          <w:rFonts w:hint="eastAsia"/>
        </w:rPr>
        <w:t>在工作领域，劳工和社会福利部正在开展一项持续性的运动，消除在就业方面对女性的歧视，并促进带有社会性别观点的培训。在所采取的各种积极措施中，应该特别提及以下几项：（</w:t>
      </w:r>
      <w:r>
        <w:t>1</w:t>
      </w:r>
      <w:r>
        <w:rPr>
          <w:rFonts w:hint="eastAsia"/>
        </w:rPr>
        <w:t>）与不同的企业、州政府和妇女协会签署了</w:t>
      </w:r>
      <w:r>
        <w:t>13</w:t>
      </w:r>
      <w:r>
        <w:rPr>
          <w:rFonts w:hint="eastAsia"/>
        </w:rPr>
        <w:t>项协议，规定禁止以出示未孕证明作为受雇的条件；并涉及了家庭责任和哺乳问题；（</w:t>
      </w:r>
      <w:r>
        <w:t>2</w:t>
      </w:r>
      <w:r>
        <w:rPr>
          <w:rFonts w:hint="eastAsia"/>
        </w:rPr>
        <w:t>）通过宣传权利和义务的广播节目、海报和信件，在女性中</w:t>
      </w:r>
      <w:r>
        <w:rPr>
          <w:rFonts w:hint="eastAsia"/>
        </w:rPr>
        <w:t>间传播有关劳动权利的知识；（</w:t>
      </w:r>
      <w:r>
        <w:t>3</w:t>
      </w:r>
      <w:r>
        <w:rPr>
          <w:rFonts w:hint="eastAsia"/>
        </w:rPr>
        <w:t>）组织了两个活动：举行了第一届全国劳动妇女大会，讨论产妇保护问题；发起了实现性别平等和消除工作中的性骚扰及暴力的工会运动。</w:t>
      </w:r>
    </w:p>
    <w:p w:rsidR="00000000" w:rsidRDefault="00457650">
      <w:pPr>
        <w:widowControl/>
        <w:tabs>
          <w:tab w:val="left" w:pos="630"/>
        </w:tabs>
        <w:spacing w:after="240" w:line="360" w:lineRule="exact"/>
        <w:rPr>
          <w:rFonts w:hint="eastAsia"/>
        </w:rPr>
      </w:pPr>
      <w:r>
        <w:t>1145</w:t>
      </w:r>
      <w:r>
        <w:rPr>
          <w:rFonts w:hint="eastAsia"/>
        </w:rPr>
        <w:t>.</w:t>
      </w:r>
      <w:r>
        <w:rPr>
          <w:rFonts w:hint="eastAsia"/>
        </w:rPr>
        <w:tab/>
      </w:r>
      <w:r>
        <w:rPr>
          <w:rFonts w:hint="eastAsia"/>
        </w:rPr>
        <w:t>另外，对《墨西哥合众国宪法》中关于劳动问题的大量条款、《社会安全法》以及《联邦劳动法》的修改有待批准；这些修改旨在防止雇主要求女性提供未孕证明作为从业的基本条件。</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hint="eastAsia"/>
          <w:b/>
        </w:rPr>
        <w:t>38.</w:t>
      </w:r>
      <w:r>
        <w:rPr>
          <w:rFonts w:ascii="KaiTi_GB2312" w:eastAsia="KaiTi_GB2312" w:hint="eastAsia"/>
          <w:b/>
        </w:rPr>
        <w:tab/>
      </w:r>
      <w:r>
        <w:rPr>
          <w:rFonts w:ascii="KaiTi_GB2312" w:eastAsia="KaiTi_GB2312" w:hint="eastAsia"/>
          <w:b/>
        </w:rPr>
        <w:t>委员会建议缔约国考虑批准国际劳工组织《</w:t>
      </w:r>
      <w:r>
        <w:rPr>
          <w:rFonts w:ascii="KaiTi_GB2312" w:eastAsia="KaiTi_GB2312"/>
          <w:b/>
        </w:rPr>
        <w:t>1973</w:t>
      </w:r>
      <w:r>
        <w:rPr>
          <w:rFonts w:ascii="KaiTi_GB2312" w:eastAsia="KaiTi_GB2312" w:hint="eastAsia"/>
          <w:b/>
        </w:rPr>
        <w:t>年最低年龄公约》（第</w:t>
      </w:r>
      <w:r>
        <w:rPr>
          <w:rFonts w:ascii="KaiTi_GB2312" w:eastAsia="KaiTi_GB2312"/>
          <w:b/>
        </w:rPr>
        <w:t>138</w:t>
      </w:r>
      <w:r>
        <w:rPr>
          <w:rFonts w:ascii="KaiTi_GB2312" w:eastAsia="KaiTi_GB2312" w:hint="eastAsia"/>
          <w:b/>
        </w:rPr>
        <w:t>号公约）。</w:t>
      </w:r>
    </w:p>
    <w:p w:rsidR="00000000" w:rsidRDefault="00457650">
      <w:pPr>
        <w:widowControl/>
        <w:tabs>
          <w:tab w:val="left" w:pos="630"/>
        </w:tabs>
        <w:spacing w:after="240" w:line="360" w:lineRule="exact"/>
        <w:rPr>
          <w:rFonts w:hint="eastAsia"/>
        </w:rPr>
      </w:pPr>
      <w:r>
        <w:t>1146</w:t>
      </w:r>
      <w:r>
        <w:rPr>
          <w:rFonts w:hint="eastAsia"/>
        </w:rPr>
        <w:t>.</w:t>
      </w:r>
      <w:r>
        <w:rPr>
          <w:rFonts w:hint="eastAsia"/>
        </w:rPr>
        <w:tab/>
      </w:r>
      <w:r>
        <w:rPr>
          <w:rFonts w:hint="eastAsia"/>
        </w:rPr>
        <w:t>劳工和社会保障部促进了各生产部门对这一主题的讨论；这是提出国内规章条例改革提案</w:t>
      </w:r>
      <w:r>
        <w:rPr>
          <w:rFonts w:hint="eastAsia"/>
        </w:rPr>
        <w:t>的必要步骤。</w:t>
      </w:r>
    </w:p>
    <w:p w:rsidR="00000000" w:rsidRDefault="00457650">
      <w:pPr>
        <w:widowControl/>
        <w:tabs>
          <w:tab w:val="left" w:pos="630"/>
        </w:tabs>
        <w:spacing w:after="240" w:line="360" w:lineRule="exact"/>
        <w:rPr>
          <w:rFonts w:hint="eastAsia"/>
        </w:rPr>
      </w:pPr>
      <w:r>
        <w:t>1147</w:t>
      </w:r>
      <w:r>
        <w:rPr>
          <w:rFonts w:hint="eastAsia"/>
        </w:rPr>
        <w:t>.</w:t>
      </w:r>
      <w:r>
        <w:rPr>
          <w:rFonts w:hint="eastAsia"/>
        </w:rPr>
        <w:tab/>
      </w:r>
      <w:r>
        <w:rPr>
          <w:rFonts w:hint="eastAsia"/>
        </w:rPr>
        <w:t>国家立法有些规定与第</w:t>
      </w:r>
      <w:r>
        <w:t>138</w:t>
      </w:r>
      <w:r>
        <w:rPr>
          <w:rFonts w:hint="eastAsia"/>
        </w:rPr>
        <w:t>号《最低年龄公约》的内容不相符，因此将会妨碍该公约的批准。</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b/>
        </w:rPr>
        <w:t>39</w:t>
      </w:r>
      <w:r>
        <w:rPr>
          <w:rFonts w:ascii="KaiTi_GB2312" w:eastAsia="KaiTi_GB2312" w:hint="eastAsia"/>
          <w:b/>
        </w:rPr>
        <w:t>．委员会要求缔约国履行《公约》第</w:t>
      </w:r>
      <w:r>
        <w:rPr>
          <w:rFonts w:ascii="KaiTi_GB2312" w:eastAsia="KaiTi_GB2312"/>
          <w:b/>
        </w:rPr>
        <w:t>8</w:t>
      </w:r>
      <w:r>
        <w:rPr>
          <w:rFonts w:ascii="KaiTi_GB2312" w:eastAsia="KaiTi_GB2312" w:hint="eastAsia"/>
          <w:b/>
        </w:rPr>
        <w:t>条规定的义务，撤销对该条的保留。</w:t>
      </w:r>
    </w:p>
    <w:p w:rsidR="00000000" w:rsidRDefault="00457650">
      <w:pPr>
        <w:widowControl/>
        <w:tabs>
          <w:tab w:val="left" w:pos="630"/>
        </w:tabs>
        <w:spacing w:after="240" w:line="360" w:lineRule="exact"/>
        <w:rPr>
          <w:rFonts w:hint="eastAsia"/>
        </w:rPr>
      </w:pPr>
      <w:r>
        <w:rPr>
          <w:rFonts w:hint="eastAsia"/>
        </w:rPr>
        <w:t>1148.</w:t>
      </w:r>
      <w:r>
        <w:rPr>
          <w:rFonts w:hint="eastAsia"/>
        </w:rPr>
        <w:tab/>
      </w:r>
      <w:r>
        <w:rPr>
          <w:rFonts w:hint="eastAsia"/>
        </w:rPr>
        <w:t>见对第</w:t>
      </w:r>
      <w:r>
        <w:t>23</w:t>
      </w:r>
      <w:r>
        <w:rPr>
          <w:rFonts w:hint="eastAsia"/>
        </w:rPr>
        <w:t>条意见的答复。</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b/>
        </w:rPr>
        <w:t>40</w:t>
      </w:r>
      <w:r>
        <w:rPr>
          <w:rFonts w:ascii="KaiTi_GB2312" w:eastAsia="KaiTi_GB2312" w:hint="eastAsia"/>
          <w:b/>
        </w:rPr>
        <w:t>．委员会敦促缔约国采取更有效的措施应对国内的暴力行为，尤其是国内针对妇女的暴力，以及流浪儿童的严重问题。委员会还敦促缔约国从根本上解决这些问题。</w:t>
      </w:r>
    </w:p>
    <w:p w:rsidR="00000000" w:rsidRDefault="00457650">
      <w:pPr>
        <w:widowControl/>
        <w:tabs>
          <w:tab w:val="left" w:pos="630"/>
        </w:tabs>
        <w:spacing w:after="240" w:line="360" w:lineRule="exact"/>
        <w:rPr>
          <w:rFonts w:hint="eastAsia"/>
        </w:rPr>
      </w:pPr>
      <w:r>
        <w:t>1149</w:t>
      </w:r>
      <w:r>
        <w:rPr>
          <w:rFonts w:hint="eastAsia"/>
        </w:rPr>
        <w:t>.</w:t>
      </w:r>
      <w:r>
        <w:rPr>
          <w:rFonts w:hint="eastAsia"/>
        </w:rPr>
        <w:tab/>
      </w:r>
      <w:r>
        <w:rPr>
          <w:rFonts w:hint="eastAsia"/>
        </w:rPr>
        <w:t>国家人权委员会负责实施妇女、儿童和家庭事务计划，确保对提交的关于侵犯妇女和儿童人权的投诉给予有效的关注。与此同时，它力求加强现行</w:t>
      </w:r>
      <w:r>
        <w:rPr>
          <w:rFonts w:hint="eastAsia"/>
        </w:rPr>
        <w:t>立法和管理方面的措施，以此消除对妇女和儿童所有形式的歧视及暴力行为。</w:t>
      </w:r>
    </w:p>
    <w:p w:rsidR="00000000" w:rsidRDefault="00457650">
      <w:pPr>
        <w:widowControl/>
        <w:tabs>
          <w:tab w:val="left" w:pos="630"/>
        </w:tabs>
        <w:spacing w:after="240" w:line="360" w:lineRule="exact"/>
        <w:rPr>
          <w:rFonts w:hint="eastAsia"/>
        </w:rPr>
      </w:pPr>
      <w:r>
        <w:t>1150</w:t>
      </w:r>
      <w:r>
        <w:rPr>
          <w:rFonts w:hint="eastAsia"/>
        </w:rPr>
        <w:t>.</w:t>
      </w:r>
      <w:r>
        <w:rPr>
          <w:rFonts w:hint="eastAsia"/>
        </w:rPr>
        <w:tab/>
      </w:r>
      <w:r>
        <w:rPr>
          <w:rFonts w:hint="eastAsia"/>
        </w:rPr>
        <w:t>另外，</w:t>
      </w:r>
      <w:r>
        <w:t>2001</w:t>
      </w:r>
      <w:r>
        <w:rPr>
          <w:rFonts w:hint="eastAsia"/>
        </w:rPr>
        <w:t>年建立了国家妇女协会，旨在创立和发展远离暴力与歧视、平等公正的文化，这种文化有助于所有墨西哥妇女的全面发展，并让男性和女性都能充分享有他们的全部权利。</w:t>
      </w:r>
    </w:p>
    <w:p w:rsidR="00000000" w:rsidRDefault="00457650">
      <w:pPr>
        <w:widowControl/>
        <w:tabs>
          <w:tab w:val="left" w:pos="630"/>
        </w:tabs>
        <w:spacing w:after="240" w:line="360" w:lineRule="exact"/>
        <w:rPr>
          <w:rFonts w:hint="eastAsia"/>
        </w:rPr>
      </w:pPr>
      <w:r>
        <w:t>1151</w:t>
      </w:r>
      <w:r>
        <w:rPr>
          <w:rFonts w:hint="eastAsia"/>
        </w:rPr>
        <w:t>.</w:t>
      </w:r>
      <w:r>
        <w:rPr>
          <w:rFonts w:hint="eastAsia"/>
        </w:rPr>
        <w:tab/>
      </w:r>
      <w:r>
        <w:rPr>
          <w:rFonts w:hint="eastAsia"/>
        </w:rPr>
        <w:t>国家家庭综合发展系统通过照顾儿童和预防针对他们的家庭暴力和虐待计划，为在学校、托儿所、医院和其他机构中负责照看未成年人的人员，包括社会中的家长群体，进一步组织了教育和培训活动，以提高他们对家庭暴力的认识，并提高照料、教育和培训未成年人的质量。</w:t>
      </w:r>
    </w:p>
    <w:p w:rsidR="00000000" w:rsidRDefault="00457650">
      <w:pPr>
        <w:widowControl/>
        <w:tabs>
          <w:tab w:val="left" w:pos="630"/>
        </w:tabs>
        <w:spacing w:after="240" w:line="360" w:lineRule="exact"/>
        <w:rPr>
          <w:rFonts w:hint="eastAsia"/>
        </w:rPr>
      </w:pPr>
      <w:r>
        <w:t>1152</w:t>
      </w:r>
      <w:r>
        <w:rPr>
          <w:rFonts w:hint="eastAsia"/>
        </w:rPr>
        <w:t>.</w:t>
      </w:r>
      <w:r>
        <w:rPr>
          <w:rFonts w:hint="eastAsia"/>
        </w:rPr>
        <w:tab/>
      </w:r>
      <w:r>
        <w:rPr>
          <w:rFonts w:hint="eastAsia"/>
        </w:rPr>
        <w:t>为履行对照看流浪男孩、女孩和青年的规定的承诺，墨西哥政府为这类群体制定了一项被称为“从街头到生活”的全国范围的预防和照管计划，旨在“促进公共、私营和社会各部门工作的联系和协调，进行预防并照管流浪儿童，以便在中长期内提供全面的照顾和解决这些问题的办法”。</w:t>
      </w:r>
    </w:p>
    <w:p w:rsidR="00000000" w:rsidRDefault="00457650">
      <w:pPr>
        <w:widowControl/>
        <w:tabs>
          <w:tab w:val="left" w:pos="630"/>
        </w:tabs>
        <w:spacing w:after="240" w:line="360" w:lineRule="exact"/>
        <w:rPr>
          <w:rFonts w:hint="eastAsia"/>
        </w:rPr>
      </w:pPr>
      <w:r>
        <w:t>1153</w:t>
      </w:r>
      <w:r>
        <w:rPr>
          <w:rFonts w:hint="eastAsia"/>
        </w:rPr>
        <w:t>.</w:t>
      </w:r>
      <w:r>
        <w:rPr>
          <w:rFonts w:hint="eastAsia"/>
        </w:rPr>
        <w:tab/>
      </w:r>
      <w:r>
        <w:rPr>
          <w:rFonts w:hint="eastAsia"/>
        </w:rPr>
        <w:t>该计划已在</w:t>
      </w:r>
      <w:r>
        <w:t>8</w:t>
      </w:r>
      <w:r>
        <w:rPr>
          <w:rFonts w:hint="eastAsia"/>
        </w:rPr>
        <w:t>个州和</w:t>
      </w:r>
      <w:r>
        <w:t>136</w:t>
      </w:r>
      <w:r>
        <w:rPr>
          <w:rFonts w:hint="eastAsia"/>
        </w:rPr>
        <w:t>个城市启动；参加的民间社会组织达到</w:t>
      </w:r>
      <w:r>
        <w:t>83</w:t>
      </w:r>
      <w:r>
        <w:rPr>
          <w:rFonts w:hint="eastAsia"/>
        </w:rPr>
        <w:t>个；</w:t>
      </w:r>
      <w:r>
        <w:t>2003</w:t>
      </w:r>
      <w:r>
        <w:rPr>
          <w:rFonts w:hint="eastAsia"/>
        </w:rPr>
        <w:t>年，</w:t>
      </w:r>
      <w:r>
        <w:t>36</w:t>
      </w:r>
      <w:r>
        <w:rPr>
          <w:rFonts w:hint="eastAsia"/>
        </w:rPr>
        <w:t xml:space="preserve"> </w:t>
      </w:r>
      <w:r>
        <w:t>992</w:t>
      </w:r>
      <w:r>
        <w:rPr>
          <w:rFonts w:hint="eastAsia"/>
        </w:rPr>
        <w:t>个流浪男孩、女孩和青年受益于该计划的</w:t>
      </w:r>
      <w:r>
        <w:t>129</w:t>
      </w:r>
      <w:r>
        <w:rPr>
          <w:rFonts w:hint="eastAsia"/>
        </w:rPr>
        <w:t>个具体项目、</w:t>
      </w:r>
      <w:r>
        <w:t>11</w:t>
      </w:r>
      <w:r>
        <w:rPr>
          <w:rFonts w:hint="eastAsia"/>
        </w:rPr>
        <w:t>项调查和</w:t>
      </w:r>
      <w:r>
        <w:t>140</w:t>
      </w:r>
      <w:r>
        <w:rPr>
          <w:rFonts w:hint="eastAsia"/>
        </w:rPr>
        <w:t>个奖学金计划。</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b/>
        </w:rPr>
        <w:t>41</w:t>
      </w:r>
      <w:r>
        <w:rPr>
          <w:rFonts w:ascii="KaiTi_GB2312" w:eastAsia="KaiTi_GB2312" w:hint="eastAsia"/>
          <w:b/>
        </w:rPr>
        <w:t>．委员会敦促缔约国加强其努力，以人们，尤其是社会最贫穷阶层可</w:t>
      </w:r>
      <w:r>
        <w:rPr>
          <w:rFonts w:ascii="KaiTi_GB2312" w:eastAsia="KaiTi_GB2312" w:hint="eastAsia"/>
          <w:b/>
        </w:rPr>
        <w:t>以负担的价格，提供适当的住房。委员会希望能提供关于强行驱逐的租户数量、以及采取这些行动的手段的更多详细资料。委员会建议缔约国建立有关机制，记录驱逐租户的情况及其后续行动，对强行驱逐采取及时的补救措施，并在其第四次定期报告中向委员会报告这一问题。</w:t>
      </w:r>
    </w:p>
    <w:p w:rsidR="00000000" w:rsidRDefault="00457650">
      <w:pPr>
        <w:widowControl/>
        <w:tabs>
          <w:tab w:val="left" w:pos="630"/>
        </w:tabs>
        <w:spacing w:after="240" w:line="360" w:lineRule="exact"/>
        <w:rPr>
          <w:rFonts w:hint="eastAsia"/>
        </w:rPr>
      </w:pPr>
      <w:r>
        <w:t>1154</w:t>
      </w:r>
      <w:r>
        <w:rPr>
          <w:rFonts w:hint="eastAsia"/>
        </w:rPr>
        <w:t>.</w:t>
      </w:r>
      <w:r>
        <w:rPr>
          <w:rFonts w:hint="eastAsia"/>
        </w:rPr>
        <w:tab/>
      </w:r>
      <w:r>
        <w:rPr>
          <w:rFonts w:hint="eastAsia"/>
        </w:rPr>
        <w:t>关于这一建议，我们必须指出，联邦政府正在大力推行的住房政策旨在进一步创造条件，保证更多的家庭真正有权过上尊严体面的生活，它也在努力进行打基础的工作，使所有住房筹资机构都能够提供更多的贷款，并创造条件解决住房短缺问题。</w:t>
      </w:r>
    </w:p>
    <w:p w:rsidR="00000000" w:rsidRDefault="00457650">
      <w:pPr>
        <w:widowControl/>
        <w:tabs>
          <w:tab w:val="left" w:pos="630"/>
        </w:tabs>
        <w:spacing w:after="240" w:line="360" w:lineRule="exact"/>
        <w:rPr>
          <w:rFonts w:hint="eastAsia"/>
        </w:rPr>
      </w:pPr>
      <w:r>
        <w:t>1155</w:t>
      </w:r>
      <w:r>
        <w:rPr>
          <w:rFonts w:hint="eastAsia"/>
        </w:rPr>
        <w:t>.</w:t>
      </w:r>
      <w:r>
        <w:rPr>
          <w:rFonts w:hint="eastAsia"/>
        </w:rPr>
        <w:tab/>
      </w:r>
      <w:r>
        <w:rPr>
          <w:rFonts w:hint="eastAsia"/>
        </w:rPr>
        <w:t>联合国特别报告员</w:t>
      </w:r>
      <w:r>
        <w:t>Milo</w:t>
      </w:r>
      <w:r>
        <w:t>on Kothari</w:t>
      </w:r>
      <w:r>
        <w:rPr>
          <w:rFonts w:hint="eastAsia"/>
        </w:rPr>
        <w:t>先生负责处理提供适当住房的问题，适当的住房权是享受美满生活的权利和不受歧视的权利的组成部分，因此他建议，墨西哥应该就驱逐租户问题组建全国和地方特别工作组，吸收民间社会参加，对驱逐行为进行监测并收集相关信息，并讨论解决这些问题的各种选择办法。</w:t>
      </w:r>
    </w:p>
    <w:p w:rsidR="00000000" w:rsidRDefault="00457650">
      <w:pPr>
        <w:widowControl/>
        <w:tabs>
          <w:tab w:val="left" w:pos="630"/>
        </w:tabs>
        <w:spacing w:after="240" w:line="360" w:lineRule="exact"/>
        <w:rPr>
          <w:rFonts w:hint="eastAsia"/>
        </w:rPr>
      </w:pPr>
      <w:r>
        <w:t>1156</w:t>
      </w:r>
      <w:r>
        <w:rPr>
          <w:rFonts w:hint="eastAsia"/>
        </w:rPr>
        <w:t>.</w:t>
      </w:r>
      <w:r>
        <w:rPr>
          <w:rFonts w:hint="eastAsia"/>
        </w:rPr>
        <w:tab/>
      </w:r>
      <w:r>
        <w:rPr>
          <w:rFonts w:hint="eastAsia"/>
        </w:rPr>
        <w:t>为了落实这一建议，</w:t>
      </w:r>
      <w:r>
        <w:t>2004</w:t>
      </w:r>
      <w:r>
        <w:rPr>
          <w:rFonts w:hint="eastAsia"/>
        </w:rPr>
        <w:t>年</w:t>
      </w:r>
      <w:r>
        <w:t>5</w:t>
      </w:r>
      <w:r>
        <w:rPr>
          <w:rFonts w:hint="eastAsia"/>
        </w:rPr>
        <w:t>月</w:t>
      </w:r>
      <w:r>
        <w:t>7</w:t>
      </w:r>
      <w:r>
        <w:rPr>
          <w:rFonts w:hint="eastAsia"/>
        </w:rPr>
        <w:t>日，政府人权政策委员会经济、社会和文化权利小组委员会决定组建一个特别工作组处理关于住房权利的各种问题，特别是强制驱逐租户的问题。</w:t>
      </w:r>
    </w:p>
    <w:p w:rsidR="00000000" w:rsidRDefault="00457650">
      <w:pPr>
        <w:widowControl/>
        <w:tabs>
          <w:tab w:val="left" w:pos="630"/>
        </w:tabs>
        <w:spacing w:after="240" w:line="360" w:lineRule="exact"/>
        <w:rPr>
          <w:rFonts w:hint="eastAsia"/>
        </w:rPr>
      </w:pPr>
      <w:r>
        <w:t>1157</w:t>
      </w:r>
      <w:r>
        <w:rPr>
          <w:rFonts w:hint="eastAsia"/>
        </w:rPr>
        <w:t>.</w:t>
      </w:r>
      <w:r>
        <w:rPr>
          <w:rFonts w:hint="eastAsia"/>
        </w:rPr>
        <w:tab/>
      </w:r>
      <w:r>
        <w:rPr>
          <w:rFonts w:hint="eastAsia"/>
        </w:rPr>
        <w:t>迄今为止，特别工作组已根据经济、社会和文化权利委员会的一般评论</w:t>
      </w:r>
      <w:r>
        <w:rPr>
          <w:rFonts w:hint="eastAsia"/>
        </w:rPr>
        <w:t>意见，从概念上阐释了“强制驱逐租户”这一术语，并取得了进展，这得到了负责处理各种强制驱逐行为的当局的确定。为此，特别工作组准备让联邦司法部参加其会议，以便利用该机构的经验提高其分析能力，并讨论如何通过司法手段保证住房权利的方法。</w:t>
      </w:r>
    </w:p>
    <w:p w:rsidR="00000000" w:rsidRDefault="00457650">
      <w:pPr>
        <w:widowControl/>
        <w:tabs>
          <w:tab w:val="left" w:pos="630"/>
        </w:tabs>
        <w:spacing w:after="240" w:line="360" w:lineRule="exact"/>
        <w:rPr>
          <w:rFonts w:hint="eastAsia"/>
        </w:rPr>
      </w:pPr>
      <w:r>
        <w:t>1158</w:t>
      </w:r>
      <w:r>
        <w:rPr>
          <w:rFonts w:hint="eastAsia"/>
        </w:rPr>
        <w:t>.</w:t>
      </w:r>
      <w:r>
        <w:rPr>
          <w:rFonts w:hint="eastAsia"/>
        </w:rPr>
        <w:tab/>
      </w:r>
      <w:r>
        <w:rPr>
          <w:rFonts w:hint="eastAsia"/>
        </w:rPr>
        <w:t>另外，通过</w:t>
      </w:r>
      <w:r>
        <w:t>Contigo</w:t>
      </w:r>
      <w:r>
        <w:rPr>
          <w:rFonts w:hint="eastAsia"/>
        </w:rPr>
        <w:t>全面发展战略的</w:t>
      </w:r>
      <w:r>
        <w:t xml:space="preserve"> </w:t>
      </w:r>
      <w:r>
        <w:rPr>
          <w:rFonts w:hint="eastAsia"/>
        </w:rPr>
        <w:t>“资产形成”部分，尝试着通过建筑住宅和改善现有住房计划等手段为人口提供援助，以便巩固家庭</w:t>
      </w:r>
      <w:r>
        <w:t>资产</w:t>
      </w:r>
      <w:r>
        <w:rPr>
          <w:rFonts w:hint="eastAsia"/>
        </w:rPr>
        <w:t>，促进住房领域的流动性。</w:t>
      </w:r>
    </w:p>
    <w:p w:rsidR="00000000" w:rsidRDefault="00457650">
      <w:pPr>
        <w:widowControl/>
        <w:tabs>
          <w:tab w:val="left" w:pos="630"/>
        </w:tabs>
        <w:spacing w:after="240" w:line="360" w:lineRule="exact"/>
        <w:rPr>
          <w:rFonts w:hint="eastAsia"/>
        </w:rPr>
      </w:pPr>
      <w:r>
        <w:t>1159</w:t>
      </w:r>
      <w:r>
        <w:rPr>
          <w:rFonts w:hint="eastAsia"/>
        </w:rPr>
        <w:t>.</w:t>
      </w:r>
      <w:r>
        <w:rPr>
          <w:rFonts w:hint="eastAsia"/>
        </w:rPr>
        <w:tab/>
      </w:r>
      <w:r>
        <w:rPr>
          <w:rFonts w:hint="eastAsia"/>
        </w:rPr>
        <w:t>应该提及的是，</w:t>
      </w:r>
      <w:r>
        <w:t>2001</w:t>
      </w:r>
      <w:r>
        <w:rPr>
          <w:rFonts w:hint="eastAsia"/>
        </w:rPr>
        <w:t>年</w:t>
      </w:r>
      <w:r>
        <w:t>7</w:t>
      </w:r>
      <w:r>
        <w:rPr>
          <w:rFonts w:hint="eastAsia"/>
        </w:rPr>
        <w:t>月</w:t>
      </w:r>
      <w:r>
        <w:t>26</w:t>
      </w:r>
      <w:r>
        <w:rPr>
          <w:rFonts w:hint="eastAsia"/>
        </w:rPr>
        <w:t>日成立了国家住房促进委员会，这是社会发展部下属一个拥有技术自主权的机</w:t>
      </w:r>
      <w:r>
        <w:rPr>
          <w:rFonts w:hint="eastAsia"/>
        </w:rPr>
        <w:t>构，其目标旨在设计、协调、促进和执行联邦政府的住房政策和计划，也鼓励其他机构，如国家工人社会保障和服务机构住房基金、住房资金运营和银行融资机构以及国家工人住房基金协会，为实现部门住房计划的目标做出贡献。</w:t>
      </w:r>
    </w:p>
    <w:p w:rsidR="00000000" w:rsidRDefault="00457650">
      <w:pPr>
        <w:widowControl/>
        <w:tabs>
          <w:tab w:val="left" w:pos="630"/>
        </w:tabs>
        <w:spacing w:after="240" w:line="360" w:lineRule="exact"/>
        <w:rPr>
          <w:rFonts w:hint="eastAsia"/>
        </w:rPr>
      </w:pPr>
      <w:r>
        <w:t>1160</w:t>
      </w:r>
      <w:r>
        <w:rPr>
          <w:rFonts w:hint="eastAsia"/>
        </w:rPr>
        <w:t>.</w:t>
      </w:r>
      <w:r>
        <w:rPr>
          <w:rFonts w:hint="eastAsia"/>
        </w:rPr>
        <w:tab/>
      </w:r>
      <w:r>
        <w:rPr>
          <w:rFonts w:hint="eastAsia"/>
        </w:rPr>
        <w:t>因此，在同年</w:t>
      </w:r>
      <w:r>
        <w:t>8</w:t>
      </w:r>
      <w:r>
        <w:rPr>
          <w:rFonts w:hint="eastAsia"/>
        </w:rPr>
        <w:t>月，建立了国家住房委员会，作为一个协商和咨询论坛，住房建造和融资方面的主要行动者，以及住房建设中互动的其他参与者，使住房建设和融资运作有序进行且最优化。</w:t>
      </w:r>
    </w:p>
    <w:p w:rsidR="00000000" w:rsidRDefault="00457650">
      <w:pPr>
        <w:widowControl/>
        <w:tabs>
          <w:tab w:val="left" w:pos="630"/>
        </w:tabs>
        <w:spacing w:after="240" w:line="360" w:lineRule="exact"/>
        <w:rPr>
          <w:rFonts w:hint="eastAsia"/>
        </w:rPr>
      </w:pPr>
      <w:r>
        <w:t>1161</w:t>
      </w:r>
      <w:r>
        <w:rPr>
          <w:rFonts w:hint="eastAsia"/>
        </w:rPr>
        <w:t>.</w:t>
      </w:r>
      <w:r>
        <w:rPr>
          <w:rFonts w:hint="eastAsia"/>
        </w:rPr>
        <w:tab/>
      </w:r>
      <w:r>
        <w:rPr>
          <w:rFonts w:hint="eastAsia"/>
        </w:rPr>
        <w:t>另外，本届政府为确定国家的住房政策方针制定了一系列战略和指南，现列举如下：</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将各机构联系起来，强化住房部门；</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增加并</w:t>
      </w:r>
      <w:r>
        <w:rPr>
          <w:rFonts w:hint="eastAsia"/>
        </w:rPr>
        <w:t>巩固公共和私人住房资金；</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为最迫切需要住房的人群提供社会援助，改善城乡住房条件，巩固</w:t>
      </w:r>
      <w:r>
        <w:t>资产</w:t>
      </w:r>
      <w:r>
        <w:rPr>
          <w:rFonts w:hint="eastAsia"/>
        </w:rPr>
        <w:t>所有权的法律确定性；</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按住房标准减少房税并放松住房管制；</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预留适合居住的土地，发展住房基础设施建设和相关服务；</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发展技术，在原料供应方面开展竞争，为了促进生产实现住房标准化，并颁发合格证。</w:t>
      </w:r>
    </w:p>
    <w:p w:rsidR="00000000" w:rsidRDefault="00457650">
      <w:pPr>
        <w:widowControl/>
        <w:tabs>
          <w:tab w:val="left" w:pos="630"/>
        </w:tabs>
        <w:spacing w:after="240" w:line="360" w:lineRule="exact"/>
        <w:rPr>
          <w:rFonts w:hint="eastAsia"/>
        </w:rPr>
      </w:pPr>
      <w:r>
        <w:t>1162</w:t>
      </w:r>
      <w:r>
        <w:rPr>
          <w:rFonts w:hint="eastAsia"/>
        </w:rPr>
        <w:t>.</w:t>
      </w:r>
      <w:r>
        <w:rPr>
          <w:rFonts w:hint="eastAsia"/>
        </w:rPr>
        <w:tab/>
      </w:r>
      <w:r>
        <w:rPr>
          <w:rFonts w:hint="eastAsia"/>
        </w:rPr>
        <w:t>联邦政府注意到住房领域面临的、主要来自人口增长的挑战，并认识到有必要集中所需的财政资源，为支持和促进住房的各种联邦方案提供补贴，将它们整合为由社会发展部下属机构国家人民住房信托基金管理的单一方案。</w:t>
      </w:r>
    </w:p>
    <w:p w:rsidR="00000000" w:rsidRDefault="00457650">
      <w:pPr>
        <w:widowControl/>
        <w:tabs>
          <w:tab w:val="left" w:pos="630"/>
        </w:tabs>
        <w:spacing w:after="240" w:line="360" w:lineRule="exact"/>
        <w:rPr>
          <w:rFonts w:hint="eastAsia"/>
        </w:rPr>
      </w:pPr>
      <w:r>
        <w:t>1163</w:t>
      </w:r>
      <w:r>
        <w:rPr>
          <w:rFonts w:hint="eastAsia"/>
        </w:rPr>
        <w:t>.</w:t>
      </w:r>
      <w:r>
        <w:rPr>
          <w:rFonts w:hint="eastAsia"/>
        </w:rPr>
        <w:tab/>
      </w:r>
      <w:r>
        <w:rPr>
          <w:rFonts w:hint="eastAsia"/>
        </w:rPr>
        <w:t>为了满足各种</w:t>
      </w:r>
      <w:r>
        <w:rPr>
          <w:rFonts w:hint="eastAsia"/>
        </w:rPr>
        <w:t>需要，并减少住房短缺现象，成立了不断改善住房条件储蓄、补贴和信贷方案（称为“</w:t>
      </w:r>
      <w:r>
        <w:t>Tu Casa</w:t>
      </w:r>
      <w:r>
        <w:rPr>
          <w:rFonts w:hint="eastAsia"/>
        </w:rPr>
        <w:t>”），在共同承担责任的基础上，与各级政府和社会部门协调，满足需要新住房或者改善或增大现有住房的低收入人群的需要；为此，将通过直接补贴、信贷或其他来源的捐助增加受益人的存款。下文对该方案作了介绍。</w:t>
      </w:r>
    </w:p>
    <w:p w:rsidR="00000000" w:rsidRDefault="00457650">
      <w:pPr>
        <w:widowControl/>
        <w:tabs>
          <w:tab w:val="left" w:pos="630"/>
        </w:tabs>
        <w:spacing w:after="240" w:line="360" w:lineRule="exact"/>
        <w:rPr>
          <w:rFonts w:hint="eastAsia"/>
        </w:rPr>
      </w:pPr>
      <w:r>
        <w:t>1164</w:t>
      </w:r>
      <w:r>
        <w:rPr>
          <w:rFonts w:hint="eastAsia"/>
        </w:rPr>
        <w:t>.</w:t>
      </w:r>
      <w:r>
        <w:rPr>
          <w:rFonts w:hint="eastAsia"/>
        </w:rPr>
        <w:tab/>
      </w:r>
      <w:r>
        <w:rPr>
          <w:rFonts w:hint="eastAsia"/>
        </w:rPr>
        <w:t>自</w:t>
      </w:r>
      <w:r>
        <w:t>2002</w:t>
      </w:r>
      <w:r>
        <w:rPr>
          <w:rFonts w:hint="eastAsia"/>
        </w:rPr>
        <w:t>年以来，根据与社会发展部达成的一项协议，住房信托基金一直负责管理不断提高住房条件存款、补贴和信贷方案，该方案于</w:t>
      </w:r>
      <w:r>
        <w:t>2003</w:t>
      </w:r>
      <w:r>
        <w:rPr>
          <w:rFonts w:hint="eastAsia"/>
        </w:rPr>
        <w:t>年成为“</w:t>
      </w:r>
      <w:r>
        <w:t>Tu Casa</w:t>
      </w:r>
      <w:r>
        <w:rPr>
          <w:rFonts w:hint="eastAsia"/>
        </w:rPr>
        <w:t>”方案。</w:t>
      </w:r>
    </w:p>
    <w:p w:rsidR="00000000" w:rsidRDefault="00457650">
      <w:pPr>
        <w:widowControl/>
        <w:tabs>
          <w:tab w:val="left" w:pos="630"/>
        </w:tabs>
        <w:spacing w:after="240" w:line="360" w:lineRule="exact"/>
        <w:rPr>
          <w:rFonts w:hint="eastAsia"/>
        </w:rPr>
      </w:pPr>
      <w:r>
        <w:t>1165</w:t>
      </w:r>
      <w:r>
        <w:rPr>
          <w:rFonts w:hint="eastAsia"/>
        </w:rPr>
        <w:t>.</w:t>
      </w:r>
      <w:r>
        <w:rPr>
          <w:rFonts w:hint="eastAsia"/>
        </w:rPr>
        <w:tab/>
      </w:r>
      <w:r>
        <w:rPr>
          <w:rFonts w:hint="eastAsia"/>
        </w:rPr>
        <w:t>逐步改善住房条件储蓄、补贴和信贷方案满足了</w:t>
      </w:r>
      <w:r>
        <w:rPr>
          <w:rFonts w:hint="eastAsia"/>
        </w:rPr>
        <w:t>赤贫群体的住房需要，它根据存款和直接补贴综合计划，提供配有基本排水系统、饮用水和供电装置的住房，同时促使联邦和州以及市政府和受益人共同承担责任：</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在</w:t>
      </w:r>
      <w:r>
        <w:t>2002</w:t>
      </w:r>
      <w:r>
        <w:rPr>
          <w:rFonts w:hint="eastAsia"/>
        </w:rPr>
        <w:t>财政年度，总共</w:t>
      </w:r>
      <w:r>
        <w:rPr>
          <w:rFonts w:hint="eastAsia"/>
        </w:rPr>
        <w:t>8</w:t>
      </w:r>
      <w:r>
        <w:t>.979</w:t>
      </w:r>
      <w:r>
        <w:rPr>
          <w:rFonts w:hint="eastAsia"/>
        </w:rPr>
        <w:t>亿比索用于向</w:t>
      </w:r>
      <w:r>
        <w:t>121</w:t>
      </w:r>
      <w:r>
        <w:rPr>
          <w:rFonts w:hint="eastAsia"/>
        </w:rPr>
        <w:t xml:space="preserve"> </w:t>
      </w:r>
      <w:r>
        <w:t>168</w:t>
      </w:r>
      <w:r>
        <w:rPr>
          <w:rFonts w:hint="eastAsia"/>
        </w:rPr>
        <w:t>个家庭提供同等份数的补贴，这笔费用占当局预算的</w:t>
      </w:r>
      <w:r>
        <w:t>93.8%</w:t>
      </w:r>
      <w:r>
        <w:rPr>
          <w:rFonts w:hint="eastAsia"/>
        </w:rPr>
        <w:t>（</w:t>
      </w:r>
      <w:r>
        <w:t>9.575</w:t>
      </w:r>
      <w:r>
        <w:rPr>
          <w:rFonts w:hint="eastAsia"/>
        </w:rPr>
        <w:t>亿比索）。</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在</w:t>
      </w:r>
      <w:r>
        <w:t>2002</w:t>
      </w:r>
      <w:r>
        <w:rPr>
          <w:rFonts w:hint="eastAsia"/>
        </w:rPr>
        <w:t>年</w:t>
      </w:r>
      <w:r>
        <w:t>9</w:t>
      </w:r>
      <w:r>
        <w:rPr>
          <w:rFonts w:hint="eastAsia"/>
        </w:rPr>
        <w:t>月至</w:t>
      </w:r>
      <w:r>
        <w:t>2003</w:t>
      </w:r>
      <w:r>
        <w:rPr>
          <w:rFonts w:hint="eastAsia"/>
        </w:rPr>
        <w:t>年</w:t>
      </w:r>
      <w:r>
        <w:t>8</w:t>
      </w:r>
      <w:r>
        <w:rPr>
          <w:rFonts w:hint="eastAsia"/>
        </w:rPr>
        <w:t>月，划拨了</w:t>
      </w:r>
      <w:r>
        <w:t>172</w:t>
      </w:r>
      <w:r>
        <w:rPr>
          <w:rFonts w:hint="eastAsia"/>
        </w:rPr>
        <w:t xml:space="preserve"> </w:t>
      </w:r>
      <w:r>
        <w:t>693</w:t>
      </w:r>
      <w:r>
        <w:rPr>
          <w:rFonts w:hint="eastAsia"/>
        </w:rPr>
        <w:t>笔补贴，</w:t>
      </w:r>
      <w:r>
        <w:t>39</w:t>
      </w:r>
      <w:r>
        <w:rPr>
          <w:rFonts w:hint="eastAsia"/>
        </w:rPr>
        <w:t xml:space="preserve"> </w:t>
      </w:r>
      <w:r>
        <w:t>904</w:t>
      </w:r>
      <w:r>
        <w:rPr>
          <w:rFonts w:hint="eastAsia"/>
        </w:rPr>
        <w:t>笔用于逐步改善住房条件，</w:t>
      </w:r>
      <w:r>
        <w:t>132</w:t>
      </w:r>
      <w:r>
        <w:rPr>
          <w:rFonts w:hint="eastAsia"/>
        </w:rPr>
        <w:t xml:space="preserve"> </w:t>
      </w:r>
      <w:r>
        <w:t>789</w:t>
      </w:r>
      <w:r>
        <w:rPr>
          <w:rFonts w:hint="eastAsia"/>
        </w:rPr>
        <w:t>笔用于改善住房条件。投资总额为</w:t>
      </w:r>
      <w:r>
        <w:t>17.999</w:t>
      </w:r>
      <w:r>
        <w:rPr>
          <w:rFonts w:hint="eastAsia"/>
        </w:rPr>
        <w:t>亿比索，其中</w:t>
      </w:r>
      <w:r>
        <w:rPr>
          <w:rFonts w:hint="eastAsia"/>
        </w:rPr>
        <w:t>13</w:t>
      </w:r>
      <w:r>
        <w:t>.053</w:t>
      </w:r>
      <w:r>
        <w:rPr>
          <w:rFonts w:hint="eastAsia"/>
        </w:rPr>
        <w:t>亿用于逐步改善住房条件方案，</w:t>
      </w:r>
      <w:r>
        <w:t>4.946</w:t>
      </w:r>
      <w:r>
        <w:rPr>
          <w:rFonts w:hint="eastAsia"/>
        </w:rPr>
        <w:t>亿比索用于</w:t>
      </w:r>
      <w:r>
        <w:rPr>
          <w:rFonts w:hint="eastAsia"/>
        </w:rPr>
        <w:t>改善住房条件。</w:t>
      </w:r>
    </w:p>
    <w:p w:rsidR="00000000" w:rsidRDefault="00457650">
      <w:pPr>
        <w:widowControl/>
        <w:tabs>
          <w:tab w:val="left" w:pos="630"/>
        </w:tabs>
        <w:spacing w:after="240" w:line="360" w:lineRule="exact"/>
        <w:rPr>
          <w:rFonts w:hint="eastAsia"/>
        </w:rPr>
      </w:pPr>
      <w:r>
        <w:t>1166</w:t>
      </w:r>
      <w:r>
        <w:rPr>
          <w:rFonts w:hint="eastAsia"/>
        </w:rPr>
        <w:t>.</w:t>
      </w:r>
      <w:r>
        <w:rPr>
          <w:rFonts w:hint="eastAsia"/>
        </w:rPr>
        <w:tab/>
      </w:r>
      <w:r>
        <w:rPr>
          <w:rFonts w:hint="eastAsia"/>
        </w:rPr>
        <w:t>另外，为了鼓励提高国家有关机构作为融资机构的效率，在联邦一级为扩大所提供服务的覆盖范围进行了变革，进行了旨在建立一个允许住房建设增长，并确保这些增长持续稳定的基础启动结构，对其服务的运作规则做了修改，并对其运营领域做了调整。</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在</w:t>
      </w:r>
      <w:r>
        <w:t>2002</w:t>
      </w:r>
      <w:r>
        <w:rPr>
          <w:rFonts w:hint="eastAsia"/>
        </w:rPr>
        <w:t>年底，所有向劳动者发放抵押贷款的国家、州和市政住房机构，商业银行、发展银行和其他机构，合起来总共划拨了</w:t>
      </w:r>
      <w:r>
        <w:t>624</w:t>
      </w:r>
      <w:r>
        <w:rPr>
          <w:rFonts w:hint="eastAsia"/>
        </w:rPr>
        <w:t xml:space="preserve"> </w:t>
      </w:r>
      <w:r>
        <w:t>928</w:t>
      </w:r>
      <w:r>
        <w:rPr>
          <w:rFonts w:hint="eastAsia"/>
        </w:rPr>
        <w:t>项贷款和补贴，其中</w:t>
      </w:r>
      <w:r>
        <w:t>63.2%</w:t>
      </w:r>
      <w:r>
        <w:rPr>
          <w:rFonts w:hint="eastAsia"/>
        </w:rPr>
        <w:t>用于购置住房，剩下的</w:t>
      </w:r>
      <w:r>
        <w:t>36.8%</w:t>
      </w:r>
      <w:r>
        <w:rPr>
          <w:rFonts w:hint="eastAsia"/>
        </w:rPr>
        <w:t>用于改善住房条件和其他最高限额的信用贷款。上述总共投入的资金大约</w:t>
      </w:r>
      <w:r>
        <w:t>8</w:t>
      </w:r>
      <w:r>
        <w:rPr>
          <w:rFonts w:hint="eastAsia"/>
        </w:rPr>
        <w:t xml:space="preserve"> </w:t>
      </w:r>
      <w:r>
        <w:t>250</w:t>
      </w:r>
      <w:r>
        <w:rPr>
          <w:rFonts w:hint="eastAsia"/>
        </w:rPr>
        <w:t>万比索。</w:t>
      </w:r>
    </w:p>
    <w:p w:rsidR="00000000" w:rsidRDefault="00457650">
      <w:pPr>
        <w:widowControl/>
        <w:tabs>
          <w:tab w:val="left" w:pos="630"/>
        </w:tabs>
        <w:spacing w:after="240" w:line="360" w:lineRule="exact"/>
        <w:rPr>
          <w:rFonts w:hint="eastAsia"/>
        </w:rPr>
      </w:pPr>
      <w:r>
        <w:t>1167</w:t>
      </w:r>
      <w:r>
        <w:rPr>
          <w:rFonts w:hint="eastAsia"/>
        </w:rPr>
        <w:t>.</w:t>
      </w:r>
      <w:r>
        <w:rPr>
          <w:rFonts w:hint="eastAsia"/>
        </w:rPr>
        <w:tab/>
      </w:r>
      <w:r>
        <w:t>2003</w:t>
      </w:r>
      <w:r>
        <w:rPr>
          <w:rFonts w:hint="eastAsia"/>
        </w:rPr>
        <w:t>年</w:t>
      </w:r>
      <w:r>
        <w:t>12</w:t>
      </w:r>
      <w:r>
        <w:rPr>
          <w:rFonts w:hint="eastAsia"/>
        </w:rPr>
        <w:t>月，住房机构初步报告了</w:t>
      </w:r>
      <w:r>
        <w:t>692</w:t>
      </w:r>
      <w:r>
        <w:rPr>
          <w:rFonts w:hint="eastAsia"/>
        </w:rPr>
        <w:t xml:space="preserve"> </w:t>
      </w:r>
      <w:r>
        <w:t>607</w:t>
      </w:r>
      <w:r>
        <w:rPr>
          <w:rFonts w:hint="eastAsia"/>
        </w:rPr>
        <w:t>笔贷款和各种补贴；</w:t>
      </w:r>
      <w:r>
        <w:t>72.2%</w:t>
      </w:r>
      <w:r>
        <w:rPr>
          <w:rFonts w:hint="eastAsia"/>
        </w:rPr>
        <w:t>用于购置住房，</w:t>
      </w:r>
      <w:r>
        <w:t>27.8%</w:t>
      </w:r>
      <w:r>
        <w:rPr>
          <w:rFonts w:hint="eastAsia"/>
        </w:rPr>
        <w:t>用于改善住房条件和其他形式的融资活动，总金额超过</w:t>
      </w:r>
      <w:r>
        <w:t>1</w:t>
      </w:r>
      <w:r>
        <w:rPr>
          <w:rFonts w:hint="eastAsia"/>
        </w:rPr>
        <w:t xml:space="preserve"> </w:t>
      </w:r>
      <w:r>
        <w:t>110</w:t>
      </w:r>
      <w:r>
        <w:rPr>
          <w:rFonts w:hint="eastAsia"/>
        </w:rPr>
        <w:t>亿比索。</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b/>
        </w:rPr>
        <w:t>42</w:t>
      </w:r>
      <w:r>
        <w:rPr>
          <w:rFonts w:ascii="KaiTi_GB2312" w:eastAsia="KaiTi_GB2312" w:hint="eastAsia"/>
          <w:b/>
        </w:rPr>
        <w:t>．委员会敦促缔约国继续采取有效措施，确保所有儿童都能得到基本卫生保健服务，消除营养不良现象，尤其是那些居住在农村和边缘地区的少数民族儿童。</w:t>
      </w:r>
    </w:p>
    <w:p w:rsidR="00000000" w:rsidRDefault="00457650">
      <w:pPr>
        <w:widowControl/>
        <w:tabs>
          <w:tab w:val="left" w:pos="630"/>
        </w:tabs>
        <w:spacing w:after="240" w:line="360" w:lineRule="exact"/>
        <w:rPr>
          <w:rFonts w:hint="eastAsia"/>
        </w:rPr>
      </w:pPr>
      <w:r>
        <w:t>1168</w:t>
      </w:r>
      <w:r>
        <w:rPr>
          <w:rFonts w:hint="eastAsia"/>
        </w:rPr>
        <w:t>.</w:t>
      </w:r>
      <w:r>
        <w:rPr>
          <w:rFonts w:hint="eastAsia"/>
        </w:rPr>
        <w:tab/>
      </w:r>
      <w:r>
        <w:t>2003</w:t>
      </w:r>
      <w:r>
        <w:rPr>
          <w:rFonts w:hint="eastAsia"/>
        </w:rPr>
        <w:t>年</w:t>
      </w:r>
      <w:r>
        <w:t>4</w:t>
      </w:r>
      <w:r>
        <w:rPr>
          <w:rFonts w:hint="eastAsia"/>
        </w:rPr>
        <w:t>月，联盟议会批准了规定建立社会健康保护系统的《一般健康法》修正案，这有助于纠正卫生保健方面的不公平现象，保护并非社会保障体系成员的家庭。</w:t>
      </w:r>
    </w:p>
    <w:p w:rsidR="00000000" w:rsidRDefault="00457650">
      <w:pPr>
        <w:widowControl/>
        <w:tabs>
          <w:tab w:val="left" w:pos="630"/>
        </w:tabs>
        <w:spacing w:after="240" w:line="360" w:lineRule="exact"/>
        <w:rPr>
          <w:rFonts w:hint="eastAsia"/>
        </w:rPr>
      </w:pPr>
      <w:r>
        <w:t>1169</w:t>
      </w:r>
      <w:r>
        <w:rPr>
          <w:rFonts w:hint="eastAsia"/>
        </w:rPr>
        <w:t>.</w:t>
      </w:r>
      <w:r>
        <w:rPr>
          <w:rFonts w:hint="eastAsia"/>
        </w:rPr>
        <w:tab/>
      </w:r>
      <w:r>
        <w:rPr>
          <w:rFonts w:hint="eastAsia"/>
        </w:rPr>
        <w:t>该</w:t>
      </w:r>
      <w:r>
        <w:rPr>
          <w:rFonts w:hint="eastAsia"/>
        </w:rPr>
        <w:t>系统的运作部分是人民健康保险计划，它已在</w:t>
      </w:r>
      <w:r>
        <w:t>5</w:t>
      </w:r>
      <w:r>
        <w:rPr>
          <w:rFonts w:hint="eastAsia"/>
        </w:rPr>
        <w:t>个州开始试行。</w:t>
      </w:r>
      <w:r>
        <w:t>2002</w:t>
      </w:r>
      <w:r>
        <w:rPr>
          <w:rFonts w:hint="eastAsia"/>
        </w:rPr>
        <w:t>年其覆盖面扩大到了</w:t>
      </w:r>
      <w:r>
        <w:t>20</w:t>
      </w:r>
      <w:r>
        <w:rPr>
          <w:rFonts w:hint="eastAsia"/>
        </w:rPr>
        <w:t>个州，</w:t>
      </w:r>
      <w:r>
        <w:t>2003</w:t>
      </w:r>
      <w:r>
        <w:rPr>
          <w:rFonts w:hint="eastAsia"/>
        </w:rPr>
        <w:t>年又增加了</w:t>
      </w:r>
      <w:r>
        <w:t>4</w:t>
      </w:r>
      <w:r>
        <w:rPr>
          <w:rFonts w:hint="eastAsia"/>
        </w:rPr>
        <w:t>个，迄今已有</w:t>
      </w:r>
      <w:r>
        <w:t>24</w:t>
      </w:r>
      <w:r>
        <w:rPr>
          <w:rFonts w:hint="eastAsia"/>
        </w:rPr>
        <w:t>个州签署了计划执行协作协议。到</w:t>
      </w:r>
      <w:r>
        <w:t>2003</w:t>
      </w:r>
      <w:r>
        <w:rPr>
          <w:rFonts w:hint="eastAsia"/>
        </w:rPr>
        <w:t>年底，这</w:t>
      </w:r>
      <w:r>
        <w:t xml:space="preserve"> 24</w:t>
      </w:r>
      <w:r>
        <w:rPr>
          <w:rFonts w:hint="eastAsia"/>
        </w:rPr>
        <w:t>个州中约有</w:t>
      </w:r>
      <w:r>
        <w:t>622</w:t>
      </w:r>
      <w:r>
        <w:rPr>
          <w:rFonts w:hint="eastAsia"/>
        </w:rPr>
        <w:t xml:space="preserve"> </w:t>
      </w:r>
      <w:r>
        <w:t>819</w:t>
      </w:r>
      <w:r>
        <w:rPr>
          <w:rFonts w:hint="eastAsia"/>
        </w:rPr>
        <w:t>个家庭已经登记加入保障计划。</w:t>
      </w:r>
    </w:p>
    <w:p w:rsidR="00000000" w:rsidRDefault="00457650">
      <w:pPr>
        <w:widowControl/>
        <w:tabs>
          <w:tab w:val="left" w:pos="630"/>
        </w:tabs>
        <w:spacing w:after="240" w:line="360" w:lineRule="exact"/>
        <w:rPr>
          <w:rFonts w:hint="eastAsia"/>
        </w:rPr>
      </w:pPr>
      <w:r>
        <w:t>1170</w:t>
      </w:r>
      <w:r>
        <w:rPr>
          <w:rFonts w:hint="eastAsia"/>
        </w:rPr>
        <w:t>.</w:t>
      </w:r>
      <w:r>
        <w:rPr>
          <w:rFonts w:hint="eastAsia"/>
        </w:rPr>
        <w:tab/>
      </w:r>
      <w:r>
        <w:rPr>
          <w:rFonts w:hint="eastAsia"/>
        </w:rPr>
        <w:t>同年进行了</w:t>
      </w:r>
      <w:r>
        <w:t>140</w:t>
      </w:r>
      <w:r>
        <w:rPr>
          <w:rFonts w:hint="eastAsia"/>
        </w:rPr>
        <w:t>万次外部初级咨询和</w:t>
      </w:r>
      <w:r>
        <w:t>266</w:t>
      </w:r>
      <w:r>
        <w:rPr>
          <w:rFonts w:hint="eastAsia"/>
        </w:rPr>
        <w:t xml:space="preserve"> </w:t>
      </w:r>
      <w:r>
        <w:t>000</w:t>
      </w:r>
      <w:r>
        <w:rPr>
          <w:rFonts w:hint="eastAsia"/>
        </w:rPr>
        <w:t>次以上的专家咨询。到</w:t>
      </w:r>
      <w:r>
        <w:t>2003</w:t>
      </w:r>
      <w:r>
        <w:rPr>
          <w:rFonts w:hint="eastAsia"/>
        </w:rPr>
        <w:t>年</w:t>
      </w:r>
      <w:r>
        <w:t>9</w:t>
      </w:r>
      <w:r>
        <w:rPr>
          <w:rFonts w:hint="eastAsia"/>
        </w:rPr>
        <w:t>月，人民健康保险计划中包括了</w:t>
      </w:r>
      <w:r>
        <w:t>938</w:t>
      </w:r>
      <w:r>
        <w:rPr>
          <w:rFonts w:hint="eastAsia"/>
        </w:rPr>
        <w:t>家健康中心和</w:t>
      </w:r>
      <w:r>
        <w:t>111</w:t>
      </w:r>
      <w:r>
        <w:rPr>
          <w:rFonts w:hint="eastAsia"/>
        </w:rPr>
        <w:t>家普通和综合医院。</w:t>
      </w:r>
    </w:p>
    <w:p w:rsidR="00000000" w:rsidRDefault="00457650">
      <w:pPr>
        <w:widowControl/>
        <w:tabs>
          <w:tab w:val="left" w:pos="630"/>
        </w:tabs>
        <w:spacing w:after="240" w:line="360" w:lineRule="exact"/>
        <w:rPr>
          <w:rFonts w:hint="eastAsia"/>
        </w:rPr>
      </w:pPr>
      <w:r>
        <w:t>1171</w:t>
      </w:r>
      <w:r>
        <w:rPr>
          <w:rFonts w:hint="eastAsia"/>
        </w:rPr>
        <w:t>.</w:t>
      </w:r>
      <w:r>
        <w:rPr>
          <w:rFonts w:hint="eastAsia"/>
        </w:rPr>
        <w:tab/>
      </w:r>
      <w:r>
        <w:rPr>
          <w:rFonts w:hint="eastAsia"/>
        </w:rPr>
        <w:t>人民健康保险计划为资源最少的家庭提供帮助，</w:t>
      </w:r>
      <w:r>
        <w:t xml:space="preserve"> 98%</w:t>
      </w:r>
      <w:r>
        <w:rPr>
          <w:rFonts w:hint="eastAsia"/>
        </w:rPr>
        <w:t>的家庭其成员收入占前四个十分点。</w:t>
      </w:r>
    </w:p>
    <w:p w:rsidR="00000000" w:rsidRDefault="00457650">
      <w:pPr>
        <w:widowControl/>
        <w:tabs>
          <w:tab w:val="left" w:pos="630"/>
        </w:tabs>
        <w:spacing w:after="240" w:line="360" w:lineRule="exact"/>
        <w:rPr>
          <w:rFonts w:hint="eastAsia"/>
        </w:rPr>
      </w:pPr>
      <w:r>
        <w:t>1172</w:t>
      </w:r>
      <w:r>
        <w:rPr>
          <w:rFonts w:hint="eastAsia"/>
        </w:rPr>
        <w:t>.</w:t>
      </w:r>
      <w:r>
        <w:rPr>
          <w:rFonts w:hint="eastAsia"/>
        </w:rPr>
        <w:tab/>
      </w:r>
      <w:r>
        <w:rPr>
          <w:rFonts w:hint="eastAsia"/>
        </w:rPr>
        <w:t>作为土</w:t>
      </w:r>
      <w:r>
        <w:rPr>
          <w:rFonts w:hint="eastAsia"/>
        </w:rPr>
        <w:t>著民族健康和营养计划活动的一部分，在</w:t>
      </w:r>
      <w:r>
        <w:t>21</w:t>
      </w:r>
      <w:r>
        <w:rPr>
          <w:rFonts w:hint="eastAsia"/>
        </w:rPr>
        <w:t>个联邦州中的</w:t>
      </w:r>
      <w:r>
        <w:t>594</w:t>
      </w:r>
      <w:r>
        <w:rPr>
          <w:rFonts w:hint="eastAsia"/>
        </w:rPr>
        <w:t>个市，向土著人民中的</w:t>
      </w:r>
      <w:r>
        <w:t>400</w:t>
      </w:r>
      <w:r>
        <w:rPr>
          <w:rFonts w:hint="eastAsia"/>
        </w:rPr>
        <w:t xml:space="preserve"> </w:t>
      </w:r>
      <w:r>
        <w:t>641</w:t>
      </w:r>
      <w:r>
        <w:rPr>
          <w:rFonts w:hint="eastAsia"/>
        </w:rPr>
        <w:t>名</w:t>
      </w:r>
      <w:r>
        <w:t>6</w:t>
      </w:r>
      <w:r>
        <w:rPr>
          <w:rFonts w:hint="eastAsia"/>
        </w:rPr>
        <w:t>个月至</w:t>
      </w:r>
      <w:r>
        <w:t>2</w:t>
      </w:r>
      <w:r>
        <w:rPr>
          <w:rFonts w:hint="eastAsia"/>
        </w:rPr>
        <w:t>岁的儿童，以及</w:t>
      </w:r>
      <w:r>
        <w:t>217</w:t>
      </w:r>
      <w:r>
        <w:rPr>
          <w:rFonts w:hint="eastAsia"/>
        </w:rPr>
        <w:t xml:space="preserve"> </w:t>
      </w:r>
      <w:r>
        <w:t>492</w:t>
      </w:r>
      <w:r>
        <w:rPr>
          <w:rFonts w:hint="eastAsia"/>
        </w:rPr>
        <w:t>名怀孕和哺乳妇女分发了多种维生素和矿物质。</w:t>
      </w:r>
    </w:p>
    <w:p w:rsidR="00000000" w:rsidRDefault="00457650">
      <w:pPr>
        <w:widowControl/>
        <w:tabs>
          <w:tab w:val="left" w:pos="630"/>
        </w:tabs>
        <w:spacing w:after="240" w:line="360" w:lineRule="exact"/>
        <w:rPr>
          <w:rFonts w:hint="eastAsia"/>
        </w:rPr>
      </w:pPr>
      <w:r>
        <w:t>1173</w:t>
      </w:r>
      <w:r>
        <w:rPr>
          <w:rFonts w:hint="eastAsia"/>
        </w:rPr>
        <w:t>.</w:t>
      </w:r>
      <w:r>
        <w:rPr>
          <w:rFonts w:hint="eastAsia"/>
        </w:rPr>
        <w:tab/>
      </w:r>
      <w:r>
        <w:t>2003</w:t>
      </w:r>
      <w:r>
        <w:rPr>
          <w:rFonts w:hint="eastAsia"/>
        </w:rPr>
        <w:t>年加强了为</w:t>
      </w:r>
      <w:r>
        <w:t>6</w:t>
      </w:r>
      <w:r>
        <w:rPr>
          <w:rFonts w:hint="eastAsia"/>
        </w:rPr>
        <w:t>个月至</w:t>
      </w:r>
      <w:r>
        <w:t>2</w:t>
      </w:r>
      <w:r>
        <w:rPr>
          <w:rFonts w:hint="eastAsia"/>
        </w:rPr>
        <w:t>岁儿童提供多种维生素补充剂的工作，改善了这类药物的口感，以使他们更愿意服用。</w:t>
      </w:r>
    </w:p>
    <w:p w:rsidR="00000000" w:rsidRDefault="00457650">
      <w:pPr>
        <w:widowControl/>
        <w:tabs>
          <w:tab w:val="left" w:pos="630"/>
        </w:tabs>
        <w:spacing w:after="240" w:line="360" w:lineRule="exact"/>
        <w:rPr>
          <w:rFonts w:hint="eastAsia"/>
        </w:rPr>
      </w:pPr>
      <w:r>
        <w:t>1174</w:t>
      </w:r>
      <w:r>
        <w:rPr>
          <w:rFonts w:hint="eastAsia"/>
        </w:rPr>
        <w:t>．按土著民族健康和营养计划保健部分对农村地区这方面进展情况进行的外部评估显示，在</w:t>
      </w:r>
      <w:r>
        <w:t>1997</w:t>
      </w:r>
      <w:r>
        <w:rPr>
          <w:rFonts w:hint="eastAsia"/>
        </w:rPr>
        <w:t>年至</w:t>
      </w:r>
      <w:r>
        <w:t>2002</w:t>
      </w:r>
      <w:r>
        <w:rPr>
          <w:rFonts w:hint="eastAsia"/>
        </w:rPr>
        <w:t>年期间，关于</w:t>
      </w:r>
      <w:r>
        <w:t>5</w:t>
      </w:r>
      <w:r>
        <w:rPr>
          <w:rFonts w:hint="eastAsia"/>
        </w:rPr>
        <w:t>岁以下相关儿童营养状况的咨询增加了</w:t>
      </w:r>
      <w:r>
        <w:t>49</w:t>
      </w:r>
      <w:r>
        <w:rPr>
          <w:rFonts w:hint="eastAsia"/>
        </w:rPr>
        <w:t>％。</w:t>
      </w:r>
    </w:p>
    <w:p w:rsidR="00000000" w:rsidRDefault="00457650">
      <w:pPr>
        <w:widowControl/>
        <w:tabs>
          <w:tab w:val="left" w:pos="630"/>
        </w:tabs>
        <w:spacing w:after="240" w:line="380" w:lineRule="exact"/>
        <w:rPr>
          <w:rFonts w:hint="eastAsia"/>
        </w:rPr>
      </w:pPr>
      <w:r>
        <w:rPr>
          <w:rFonts w:hint="eastAsia"/>
        </w:rPr>
        <w:t>1175.</w:t>
      </w:r>
      <w:r>
        <w:rPr>
          <w:rFonts w:hint="eastAsia"/>
        </w:rPr>
        <w:tab/>
      </w:r>
      <w:r>
        <w:rPr>
          <w:rFonts w:hint="eastAsia"/>
        </w:rPr>
        <w:t>家庭综合发展系统实施了以下举措：</w:t>
      </w:r>
    </w:p>
    <w:p w:rsidR="00000000" w:rsidRDefault="00457650">
      <w:pPr>
        <w:widowControl/>
        <w:tabs>
          <w:tab w:val="left" w:pos="630"/>
        </w:tabs>
        <w:spacing w:after="240" w:line="380" w:lineRule="exact"/>
        <w:rPr>
          <w:rFonts w:hint="eastAsia"/>
        </w:rPr>
      </w:pPr>
      <w:r>
        <w:t>117</w:t>
      </w:r>
      <w:r>
        <w:t>6</w:t>
      </w:r>
      <w:r>
        <w:rPr>
          <w:rFonts w:hint="eastAsia"/>
        </w:rPr>
        <w:t>.</w:t>
      </w:r>
      <w:r>
        <w:rPr>
          <w:rFonts w:hint="eastAsia"/>
        </w:rPr>
        <w:tab/>
      </w:r>
      <w:r>
        <w:t>2003</w:t>
      </w:r>
      <w:r>
        <w:rPr>
          <w:rFonts w:hint="eastAsia"/>
        </w:rPr>
        <w:t>年，为</w:t>
      </w:r>
      <w:r>
        <w:t>5</w:t>
      </w:r>
      <w:r>
        <w:rPr>
          <w:rFonts w:hint="eastAsia"/>
        </w:rPr>
        <w:t>岁以下儿童采购了</w:t>
      </w:r>
      <w:r>
        <w:t>3.903</w:t>
      </w:r>
      <w:r>
        <w:rPr>
          <w:rFonts w:hint="eastAsia"/>
        </w:rPr>
        <w:t>亿份食物补给，这些补给需要每天服用，其中包含每日所需的</w:t>
      </w:r>
      <w:r>
        <w:t>100%</w:t>
      </w:r>
      <w:r>
        <w:rPr>
          <w:rFonts w:hint="eastAsia"/>
        </w:rPr>
        <w:t>的微量元素和</w:t>
      </w:r>
      <w:r>
        <w:t>20</w:t>
      </w:r>
      <w:r>
        <w:rPr>
          <w:rFonts w:hint="eastAsia"/>
        </w:rPr>
        <w:t>％的卡路里。</w:t>
      </w:r>
    </w:p>
    <w:p w:rsidR="00000000" w:rsidRDefault="00457650">
      <w:pPr>
        <w:widowControl/>
        <w:tabs>
          <w:tab w:val="left" w:pos="630"/>
        </w:tabs>
        <w:spacing w:after="240" w:line="380" w:lineRule="exact"/>
        <w:rPr>
          <w:rFonts w:hint="eastAsia"/>
        </w:rPr>
      </w:pPr>
      <w:r>
        <w:t>1177</w:t>
      </w:r>
      <w:r>
        <w:rPr>
          <w:rFonts w:hint="eastAsia"/>
        </w:rPr>
        <w:t>.</w:t>
      </w:r>
      <w:r>
        <w:rPr>
          <w:rFonts w:hint="eastAsia"/>
        </w:rPr>
        <w:tab/>
      </w:r>
      <w:r>
        <w:t>1998</w:t>
      </w:r>
      <w:r>
        <w:rPr>
          <w:rFonts w:hint="eastAsia"/>
        </w:rPr>
        <w:t>年至</w:t>
      </w:r>
      <w:r>
        <w:t>1999</w:t>
      </w:r>
      <w:r>
        <w:rPr>
          <w:rFonts w:hint="eastAsia"/>
        </w:rPr>
        <w:t>年影响评估确认，</w:t>
      </w:r>
      <w:r>
        <w:t xml:space="preserve"> 12</w:t>
      </w:r>
      <w:r>
        <w:rPr>
          <w:rFonts w:hint="eastAsia"/>
        </w:rPr>
        <w:t>岁至</w:t>
      </w:r>
      <w:r>
        <w:t>36</w:t>
      </w:r>
      <w:r>
        <w:rPr>
          <w:rFonts w:hint="eastAsia"/>
        </w:rPr>
        <w:t>个月的儿童身高已增长</w:t>
      </w:r>
      <w:r>
        <w:t>16%</w:t>
      </w:r>
      <w:r>
        <w:rPr>
          <w:rFonts w:hint="eastAsia"/>
        </w:rPr>
        <w:t>，</w:t>
      </w:r>
      <w:r>
        <w:t>5</w:t>
      </w:r>
      <w:r>
        <w:rPr>
          <w:rFonts w:hint="eastAsia"/>
        </w:rPr>
        <w:t>岁以下儿童的发病率下降了</w:t>
      </w:r>
      <w:r>
        <w:t>12%</w:t>
      </w:r>
      <w:r>
        <w:rPr>
          <w:rFonts w:hint="eastAsia"/>
        </w:rPr>
        <w:t>。</w:t>
      </w:r>
    </w:p>
    <w:p w:rsidR="00000000" w:rsidRDefault="00457650">
      <w:pPr>
        <w:widowControl/>
        <w:tabs>
          <w:tab w:val="left" w:pos="630"/>
        </w:tabs>
        <w:spacing w:after="240" w:line="380" w:lineRule="exact"/>
        <w:rPr>
          <w:rFonts w:hint="eastAsia"/>
        </w:rPr>
      </w:pPr>
      <w:r>
        <w:t>1178</w:t>
      </w:r>
      <w:r>
        <w:rPr>
          <w:rFonts w:hint="eastAsia"/>
        </w:rPr>
        <w:t>.</w:t>
      </w:r>
      <w:r>
        <w:rPr>
          <w:rFonts w:hint="eastAsia"/>
        </w:rPr>
        <w:tab/>
      </w:r>
      <w:r>
        <w:rPr>
          <w:rFonts w:hint="eastAsia"/>
        </w:rPr>
        <w:t>家庭综合发展系统的新政策力求在扩大覆盖面之前，更加注重按有关标准扩大服务范围并提高服务质量，从而为优先考虑的个人、家庭和社区提供照顾，特别是那些营养不良的儿童、处境危险或遭到遗弃的人，以及土著社区和土著居民。</w:t>
      </w:r>
    </w:p>
    <w:p w:rsidR="00000000" w:rsidRDefault="00457650">
      <w:pPr>
        <w:widowControl/>
        <w:tabs>
          <w:tab w:val="left" w:pos="630"/>
        </w:tabs>
        <w:spacing w:after="240" w:line="380" w:lineRule="exact"/>
        <w:rPr>
          <w:rFonts w:hint="eastAsia"/>
        </w:rPr>
      </w:pPr>
      <w:r>
        <w:t>1179</w:t>
      </w:r>
      <w:r>
        <w:rPr>
          <w:rFonts w:hint="eastAsia"/>
        </w:rPr>
        <w:t>.</w:t>
      </w:r>
      <w:r>
        <w:rPr>
          <w:rFonts w:hint="eastAsia"/>
        </w:rPr>
        <w:tab/>
      </w:r>
      <w:r>
        <w:rPr>
          <w:rFonts w:hint="eastAsia"/>
        </w:rPr>
        <w:t>在确定有权享</w:t>
      </w:r>
      <w:r>
        <w:rPr>
          <w:rFonts w:hint="eastAsia"/>
        </w:rPr>
        <w:t>受上述服务的人群时，采用了新的识别方法，其依据是社会脆弱性指数，利用这一工具可以对弱势个体高度集中的人群进行地理上的鉴定。</w:t>
      </w:r>
    </w:p>
    <w:p w:rsidR="00000000" w:rsidRDefault="00457650">
      <w:pPr>
        <w:widowControl/>
        <w:tabs>
          <w:tab w:val="left" w:pos="630"/>
        </w:tabs>
        <w:spacing w:after="240" w:line="380" w:lineRule="exact"/>
        <w:rPr>
          <w:rFonts w:hint="eastAsia"/>
        </w:rPr>
      </w:pPr>
      <w:r>
        <w:t>1180</w:t>
      </w:r>
      <w:r>
        <w:rPr>
          <w:rFonts w:hint="eastAsia"/>
        </w:rPr>
        <w:t>.</w:t>
      </w:r>
      <w:r>
        <w:rPr>
          <w:rFonts w:hint="eastAsia"/>
        </w:rPr>
        <w:tab/>
      </w:r>
      <w:r>
        <w:rPr>
          <w:rFonts w:hint="eastAsia"/>
        </w:rPr>
        <w:t>家庭综合发展系统被公认为是一个促进个人、家庭和社区全面发展的机构，为了实现这一目标，制定了各种建议统一运作标准，并就各级政府（国家、州和市政）间的协调机制做出决策。建立了工作委员会，其中之一是营养指导委员会；这一机构制定了国家食品指导战略，该战略经过评估获得一致通过，并为家庭综合发展系统的</w:t>
      </w:r>
      <w:r>
        <w:t>32</w:t>
      </w:r>
      <w:r>
        <w:rPr>
          <w:rFonts w:hint="eastAsia"/>
        </w:rPr>
        <w:t>个州机构所接受。国家食品指导战略是对家庭综合发展系统新政策的创新性反应，考虑的是社</w:t>
      </w:r>
      <w:r>
        <w:rPr>
          <w:rFonts w:hint="eastAsia"/>
        </w:rPr>
        <w:t>会食品援助框架内的可持续措施；换句话说，目标群体不仅应能获得食品援助，还应能获得利用当地现有资源所必需的工具，由此提高生活水平。该战略的主要目标是改善人口的饮食习惯，方法是恢复地区饮食文化，使人口具备必要的能力，能够决定和选择正确的饮食习惯。</w:t>
      </w:r>
    </w:p>
    <w:p w:rsidR="00000000" w:rsidRDefault="00457650">
      <w:pPr>
        <w:widowControl/>
        <w:tabs>
          <w:tab w:val="left" w:pos="630"/>
        </w:tabs>
        <w:spacing w:after="240" w:line="380" w:lineRule="exact"/>
        <w:rPr>
          <w:rFonts w:hint="eastAsia"/>
        </w:rPr>
      </w:pPr>
      <w:r>
        <w:t>1181</w:t>
      </w:r>
      <w:r>
        <w:rPr>
          <w:rFonts w:hint="eastAsia"/>
        </w:rPr>
        <w:t>.</w:t>
      </w:r>
      <w:r>
        <w:rPr>
          <w:rFonts w:hint="eastAsia"/>
        </w:rPr>
        <w:tab/>
      </w:r>
      <w:r>
        <w:rPr>
          <w:rFonts w:hint="eastAsia"/>
        </w:rPr>
        <w:t>家庭综合发展系统以及国家儿童和青少年健康中心是卫生部的下属机构，它们达成了一项合作协议，旨在采取联合行动加强对所涉儿童群体有利的营养监督战略方案。该协议规定了对男孩、女孩和青少年营养状况进行监督的基础和程序，为此颁发了国家疫苗接种卡，这种卡用来协助评估享受</w:t>
      </w:r>
      <w:r>
        <w:rPr>
          <w:rFonts w:hint="eastAsia"/>
        </w:rPr>
        <w:t>社会援助和预防保健服务的人口群体的营养状况；与此同时，该协议还致力于提高州和市家庭综合发展系统分支机构对国家疫苗接种卡的利用。</w:t>
      </w:r>
    </w:p>
    <w:p w:rsidR="00000000" w:rsidRDefault="00457650">
      <w:pPr>
        <w:widowControl/>
        <w:tabs>
          <w:tab w:val="left" w:pos="630"/>
        </w:tabs>
        <w:spacing w:after="240" w:line="380" w:lineRule="exact"/>
        <w:rPr>
          <w:rFonts w:hint="eastAsia"/>
        </w:rPr>
      </w:pPr>
      <w:r>
        <w:t>1182</w:t>
      </w:r>
      <w:r>
        <w:rPr>
          <w:rFonts w:hint="eastAsia"/>
        </w:rPr>
        <w:t>.</w:t>
      </w:r>
      <w:r>
        <w:rPr>
          <w:rFonts w:hint="eastAsia"/>
        </w:rPr>
        <w:tab/>
      </w:r>
      <w:r>
        <w:rPr>
          <w:rFonts w:hint="eastAsia"/>
        </w:rPr>
        <w:t>为了按墨西哥官方标准促进和协助保障牛奶质量，目前正与农业、家畜养殖、农村发展、渔业和粮食部的一个机构，即国家农业和食品健康、无害和质量服务机构合作，制定质量区分标志，这项工作正在取得进展。鲜奶至少须含</w:t>
      </w:r>
      <w:r>
        <w:t>30</w:t>
      </w:r>
      <w:r>
        <w:rPr>
          <w:rFonts w:hint="eastAsia"/>
        </w:rPr>
        <w:t>克／升的原生蛋白质，</w:t>
      </w:r>
      <w:r>
        <w:t>30</w:t>
      </w:r>
      <w:r>
        <w:rPr>
          <w:rFonts w:hint="eastAsia"/>
        </w:rPr>
        <w:t>克／升的乳脂和</w:t>
      </w:r>
      <w:r>
        <w:t>21</w:t>
      </w:r>
      <w:r>
        <w:rPr>
          <w:rFonts w:hint="eastAsia"/>
        </w:rPr>
        <w:t>克／升的酪蛋白。</w:t>
      </w:r>
    </w:p>
    <w:p w:rsidR="00000000" w:rsidRDefault="00457650">
      <w:pPr>
        <w:widowControl/>
        <w:tabs>
          <w:tab w:val="left" w:pos="630"/>
        </w:tabs>
        <w:spacing w:after="240" w:line="380" w:lineRule="exact"/>
        <w:rPr>
          <w:rFonts w:hint="eastAsia"/>
        </w:rPr>
      </w:pPr>
      <w:r>
        <w:rPr>
          <w:rFonts w:hint="eastAsia"/>
        </w:rPr>
        <w:t>1183.</w:t>
      </w:r>
      <w:r>
        <w:rPr>
          <w:rFonts w:hint="eastAsia"/>
        </w:rPr>
        <w:tab/>
      </w:r>
      <w:r>
        <w:rPr>
          <w:rFonts w:hint="eastAsia"/>
        </w:rPr>
        <w:t>两个相关组织的法律部门正在对该项目进行审查。</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b/>
        </w:rPr>
        <w:t>43</w:t>
      </w:r>
      <w:r>
        <w:rPr>
          <w:rFonts w:ascii="KaiTi_GB2312" w:eastAsia="KaiTi_GB2312" w:hint="eastAsia"/>
          <w:b/>
        </w:rPr>
        <w:t>．委员会要求缔约国密切监督女性的死亡率，采取措</w:t>
      </w:r>
      <w:r>
        <w:rPr>
          <w:rFonts w:ascii="KaiTi_GB2312" w:eastAsia="KaiTi_GB2312" w:hint="eastAsia"/>
          <w:b/>
        </w:rPr>
        <w:t>施降低非法堕胎引起的死亡率。委员会特别建议缔约国加强关于妇女性和生殖健康教育的活动，并将这些内容纳入学校教学课程中。</w:t>
      </w:r>
    </w:p>
    <w:p w:rsidR="00000000" w:rsidRDefault="00457650">
      <w:pPr>
        <w:widowControl/>
        <w:tabs>
          <w:tab w:val="left" w:pos="630"/>
        </w:tabs>
        <w:spacing w:after="240" w:line="360" w:lineRule="exact"/>
        <w:rPr>
          <w:rFonts w:hint="eastAsia"/>
        </w:rPr>
      </w:pPr>
      <w:r>
        <w:t>1184</w:t>
      </w:r>
      <w:r>
        <w:rPr>
          <w:rFonts w:hint="eastAsia"/>
        </w:rPr>
        <w:t>.</w:t>
      </w:r>
      <w:r>
        <w:rPr>
          <w:rFonts w:hint="eastAsia"/>
        </w:rPr>
        <w:tab/>
      </w:r>
      <w:r>
        <w:rPr>
          <w:rFonts w:hint="eastAsia"/>
        </w:rPr>
        <w:t>从</w:t>
      </w:r>
      <w:r>
        <w:t>2004</w:t>
      </w:r>
      <w:r>
        <w:rPr>
          <w:rFonts w:hint="eastAsia"/>
        </w:rPr>
        <w:t>年开始，根据生活平等起点国家委员会的决定，建立了一个流行病学监测机制，负责监测所有与分娩有关的死亡，并要求各州采取单独行动降低这类死亡的比率——不仅仅是那些因自然分娩和人工流产引起的死亡。</w:t>
      </w:r>
    </w:p>
    <w:p w:rsidR="00000000" w:rsidRDefault="00457650">
      <w:pPr>
        <w:widowControl/>
        <w:tabs>
          <w:tab w:val="left" w:pos="630"/>
        </w:tabs>
        <w:spacing w:after="240" w:line="360" w:lineRule="exact"/>
        <w:rPr>
          <w:rFonts w:hint="eastAsia"/>
        </w:rPr>
      </w:pPr>
      <w:r>
        <w:t>1185</w:t>
      </w:r>
      <w:r>
        <w:rPr>
          <w:rFonts w:hint="eastAsia"/>
        </w:rPr>
        <w:t>.</w:t>
      </w:r>
      <w:r>
        <w:rPr>
          <w:rFonts w:hint="eastAsia"/>
        </w:rPr>
        <w:tab/>
      </w:r>
      <w:r>
        <w:rPr>
          <w:rFonts w:hint="eastAsia"/>
        </w:rPr>
        <w:t>加强性健康教育活动的建议已经体现在关于计划生育服务的墨西哥官方标准</w:t>
      </w:r>
      <w:r>
        <w:t>005-SSA2-1993</w:t>
      </w:r>
      <w:r>
        <w:rPr>
          <w:rFonts w:hint="eastAsia"/>
        </w:rPr>
        <w:t>中，对它的修正于</w:t>
      </w:r>
      <w:r>
        <w:t>2004</w:t>
      </w:r>
      <w:r>
        <w:rPr>
          <w:rFonts w:hint="eastAsia"/>
        </w:rPr>
        <w:t>年</w:t>
      </w:r>
      <w:r>
        <w:t>1</w:t>
      </w:r>
      <w:r>
        <w:rPr>
          <w:rFonts w:hint="eastAsia"/>
        </w:rPr>
        <w:t>月</w:t>
      </w:r>
      <w:r>
        <w:t>21</w:t>
      </w:r>
      <w:r>
        <w:rPr>
          <w:rFonts w:hint="eastAsia"/>
        </w:rPr>
        <w:t>日公布在《联邦公报》上。</w:t>
      </w:r>
    </w:p>
    <w:p w:rsidR="00000000" w:rsidRDefault="00457650">
      <w:pPr>
        <w:widowControl/>
        <w:tabs>
          <w:tab w:val="left" w:pos="630"/>
        </w:tabs>
        <w:spacing w:after="240" w:line="360" w:lineRule="exact"/>
        <w:rPr>
          <w:rFonts w:hint="eastAsia"/>
        </w:rPr>
      </w:pPr>
      <w:r>
        <w:t>1186</w:t>
      </w:r>
      <w:r>
        <w:rPr>
          <w:rFonts w:hint="eastAsia"/>
        </w:rPr>
        <w:t>.</w:t>
      </w:r>
      <w:r>
        <w:rPr>
          <w:rFonts w:hint="eastAsia"/>
        </w:rPr>
        <w:tab/>
      </w:r>
      <w:r>
        <w:rPr>
          <w:rFonts w:hint="eastAsia"/>
        </w:rPr>
        <w:t>就将妇</w:t>
      </w:r>
      <w:r>
        <w:rPr>
          <w:rFonts w:hint="eastAsia"/>
        </w:rPr>
        <w:t>女的性和生殖健康问题纳入学校课程而言，这类内容从</w:t>
      </w:r>
      <w:r>
        <w:t>1998</w:t>
      </w:r>
      <w:r>
        <w:rPr>
          <w:rFonts w:hint="eastAsia"/>
        </w:rPr>
        <w:t>年起，就已从性别角度列入了初等教育五、六年级课程，而且至少在</w:t>
      </w:r>
      <w:r>
        <w:rPr>
          <w:rFonts w:hint="eastAsia"/>
        </w:rPr>
        <w:t>19</w:t>
      </w:r>
      <w:r>
        <w:t>80</w:t>
      </w:r>
      <w:r>
        <w:rPr>
          <w:rFonts w:hint="eastAsia"/>
        </w:rPr>
        <w:t>年代末期被列入了中等教育课程。</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b/>
        </w:rPr>
        <w:t>44</w:t>
      </w:r>
      <w:r>
        <w:rPr>
          <w:rFonts w:ascii="KaiTi_GB2312" w:eastAsia="KaiTi_GB2312" w:hint="eastAsia"/>
          <w:b/>
        </w:rPr>
        <w:t>．委员会建议缔约国在恰帕斯州和该地区其他州，对军事或准军事力量的作用进行监督和管制，以确保发展和社会援助计划能够在相关人群的积极参与下得以执行，并且不受军事力量的干预。</w:t>
      </w:r>
    </w:p>
    <w:p w:rsidR="00000000" w:rsidRDefault="00457650">
      <w:pPr>
        <w:widowControl/>
        <w:tabs>
          <w:tab w:val="left" w:pos="630"/>
        </w:tabs>
        <w:spacing w:after="240" w:line="360" w:lineRule="exact"/>
        <w:rPr>
          <w:rFonts w:hint="eastAsia"/>
        </w:rPr>
      </w:pPr>
      <w:r>
        <w:rPr>
          <w:rFonts w:hint="eastAsia"/>
        </w:rPr>
        <w:t>1187.</w:t>
      </w:r>
      <w:r>
        <w:rPr>
          <w:rFonts w:hint="eastAsia"/>
        </w:rPr>
        <w:tab/>
      </w:r>
      <w:r>
        <w:rPr>
          <w:rFonts w:hint="eastAsia"/>
        </w:rPr>
        <w:t>正如对第</w:t>
      </w:r>
      <w:r>
        <w:t>25</w:t>
      </w:r>
      <w:r>
        <w:rPr>
          <w:rFonts w:hint="eastAsia"/>
        </w:rPr>
        <w:t>条意见的答复，在墨西哥不存在准军事力量。</w:t>
      </w:r>
    </w:p>
    <w:p w:rsidR="00000000" w:rsidRDefault="00457650">
      <w:pPr>
        <w:widowControl/>
        <w:tabs>
          <w:tab w:val="left" w:pos="630"/>
        </w:tabs>
        <w:spacing w:after="240" w:line="360" w:lineRule="exact"/>
        <w:rPr>
          <w:rFonts w:hint="eastAsia"/>
        </w:rPr>
      </w:pPr>
      <w:r>
        <w:t>1188</w:t>
      </w:r>
      <w:r>
        <w:rPr>
          <w:rFonts w:hint="eastAsia"/>
        </w:rPr>
        <w:t>.</w:t>
      </w:r>
      <w:r>
        <w:rPr>
          <w:rFonts w:hint="eastAsia"/>
        </w:rPr>
        <w:tab/>
      </w:r>
      <w:r>
        <w:t>2000</w:t>
      </w:r>
      <w:r>
        <w:rPr>
          <w:rFonts w:hint="eastAsia"/>
        </w:rPr>
        <w:t>年</w:t>
      </w:r>
      <w:r>
        <w:t>12</w:t>
      </w:r>
      <w:r>
        <w:rPr>
          <w:rFonts w:hint="eastAsia"/>
        </w:rPr>
        <w:t>月在恰帕斯任命了一位对话与协商协调员，其任务是设法与萨帕塔国家解放军进行对话，将其作为继续</w:t>
      </w:r>
      <w:r>
        <w:rPr>
          <w:rFonts w:hint="eastAsia"/>
        </w:rPr>
        <w:t>与恰帕斯不同力量进行沟通的联络方。还进行了一些努力，以使人们注意到与萨帕塔国家解放军之间的冲突所引起的经济、社会和社区需求。</w:t>
      </w:r>
    </w:p>
    <w:p w:rsidR="00000000" w:rsidRDefault="00457650">
      <w:pPr>
        <w:widowControl/>
        <w:tabs>
          <w:tab w:val="left" w:pos="630"/>
        </w:tabs>
        <w:spacing w:after="240" w:line="360" w:lineRule="exact"/>
        <w:rPr>
          <w:rFonts w:hint="eastAsia"/>
        </w:rPr>
      </w:pPr>
      <w:r>
        <w:t>1189</w:t>
      </w:r>
      <w:r>
        <w:rPr>
          <w:rFonts w:hint="eastAsia"/>
        </w:rPr>
        <w:t>.</w:t>
      </w:r>
      <w:r>
        <w:rPr>
          <w:rFonts w:hint="eastAsia"/>
        </w:rPr>
        <w:tab/>
      </w:r>
      <w:r>
        <w:rPr>
          <w:rFonts w:hint="eastAsia"/>
        </w:rPr>
        <w:t>对话与协商协调员的工作主要是确认墨西哥政府发出的信号，表明政府愿意恢复与萨帕塔国家解放军之间的和平进程。在此背景下，协调员自</w:t>
      </w:r>
      <w:r>
        <w:t>2000</w:t>
      </w:r>
      <w:r>
        <w:rPr>
          <w:rFonts w:hint="eastAsia"/>
        </w:rPr>
        <w:t>年</w:t>
      </w:r>
      <w:r>
        <w:t>12</w:t>
      </w:r>
      <w:r>
        <w:rPr>
          <w:rFonts w:hint="eastAsia"/>
        </w:rPr>
        <w:t>月</w:t>
      </w:r>
      <w:r>
        <w:t>7</w:t>
      </w:r>
      <w:r>
        <w:rPr>
          <w:rFonts w:hint="eastAsia"/>
        </w:rPr>
        <w:t>日以来一直在同协调及和解委员会的立法者和内政部进行会晤，以继续采取行动，为在恰帕斯公正地进行对话和实现和平营造适宜的环境。</w:t>
      </w:r>
    </w:p>
    <w:p w:rsidR="00000000" w:rsidRDefault="00457650">
      <w:pPr>
        <w:widowControl/>
        <w:tabs>
          <w:tab w:val="left" w:pos="630"/>
        </w:tabs>
        <w:spacing w:after="240" w:line="360" w:lineRule="exact"/>
        <w:rPr>
          <w:rFonts w:hint="eastAsia"/>
        </w:rPr>
      </w:pPr>
      <w:r>
        <w:t>1190</w:t>
      </w:r>
      <w:r>
        <w:rPr>
          <w:rFonts w:hint="eastAsia"/>
        </w:rPr>
        <w:t>.</w:t>
      </w:r>
      <w:r>
        <w:rPr>
          <w:rFonts w:hint="eastAsia"/>
        </w:rPr>
        <w:tab/>
      </w:r>
      <w:r>
        <w:rPr>
          <w:rFonts w:hint="eastAsia"/>
        </w:rPr>
        <w:t>在同一个月，</w:t>
      </w:r>
      <w:r>
        <w:rPr>
          <w:rFonts w:hint="eastAsia"/>
          <w:szCs w:val="21"/>
        </w:rPr>
        <w:t>协调员参加了释放</w:t>
      </w:r>
      <w:r>
        <w:rPr>
          <w:szCs w:val="21"/>
        </w:rPr>
        <w:t>图斯特拉古铁雷斯</w:t>
      </w:r>
      <w:r>
        <w:rPr>
          <w:szCs w:val="21"/>
        </w:rPr>
        <w:t>Cerro Hueco</w:t>
      </w:r>
      <w:r>
        <w:rPr>
          <w:rFonts w:hint="eastAsia"/>
          <w:szCs w:val="21"/>
        </w:rPr>
        <w:t>监狱囚犯（共</w:t>
      </w:r>
      <w:r>
        <w:rPr>
          <w:szCs w:val="21"/>
        </w:rPr>
        <w:t>17</w:t>
      </w:r>
      <w:r>
        <w:rPr>
          <w:rFonts w:hint="eastAsia"/>
          <w:szCs w:val="21"/>
        </w:rPr>
        <w:t>人）的工作过程</w:t>
      </w:r>
      <w:r>
        <w:rPr>
          <w:rFonts w:hint="eastAsia"/>
          <w:szCs w:val="21"/>
        </w:rPr>
        <w:t>。此举在满足萨帕塔国家解放军作为重新开始和谈前提条件而提出的</w:t>
      </w:r>
      <w:r>
        <w:rPr>
          <w:rFonts w:hint="eastAsia"/>
        </w:rPr>
        <w:t>三个要求方面迈出了一步，这三个要求是：（</w:t>
      </w:r>
      <w:r>
        <w:t>a</w:t>
      </w:r>
      <w:r>
        <w:rPr>
          <w:rFonts w:hint="eastAsia"/>
        </w:rPr>
        <w:t>）从恰帕斯的七个地方撤走墨西哥军队；（</w:t>
      </w:r>
      <w:r>
        <w:t>b</w:t>
      </w:r>
      <w:r>
        <w:rPr>
          <w:rFonts w:hint="eastAsia"/>
        </w:rPr>
        <w:t>）释放囚犯；（</w:t>
      </w:r>
      <w:r>
        <w:t>c</w:t>
      </w:r>
      <w:r>
        <w:rPr>
          <w:rFonts w:hint="eastAsia"/>
        </w:rPr>
        <w:t>）批准协调与和解委员会提出的关于土著权利与文化的宪法改革。</w:t>
      </w:r>
    </w:p>
    <w:p w:rsidR="00000000" w:rsidRDefault="00457650">
      <w:pPr>
        <w:widowControl/>
        <w:tabs>
          <w:tab w:val="left" w:pos="630"/>
        </w:tabs>
        <w:spacing w:after="240" w:line="360" w:lineRule="exact"/>
        <w:rPr>
          <w:rFonts w:hint="eastAsia"/>
        </w:rPr>
      </w:pPr>
      <w:r>
        <w:t>1191</w:t>
      </w:r>
      <w:r>
        <w:rPr>
          <w:rFonts w:hint="eastAsia"/>
        </w:rPr>
        <w:t>.</w:t>
      </w:r>
      <w:r>
        <w:rPr>
          <w:rFonts w:hint="eastAsia"/>
        </w:rPr>
        <w:tab/>
      </w:r>
      <w:r>
        <w:rPr>
          <w:rFonts w:hint="eastAsia"/>
        </w:rPr>
        <w:t>在</w:t>
      </w:r>
      <w:r>
        <w:t>2001</w:t>
      </w:r>
      <w:r>
        <w:rPr>
          <w:rFonts w:hint="eastAsia"/>
        </w:rPr>
        <w:t>年伊始，对话协调员与内政部长、协调及和解委员会成员以及萨帕塔国家解放军代表共同参加了一些会议，以核查从萨帕塔飞地附近七个地点撤军的情况，这七个地点分别为</w:t>
      </w:r>
      <w:r>
        <w:t>Amador Hernández</w:t>
      </w:r>
      <w:r>
        <w:rPr>
          <w:rFonts w:hint="eastAsia"/>
        </w:rPr>
        <w:t>、</w:t>
      </w:r>
      <w:r>
        <w:t>Joinachoj</w:t>
      </w:r>
      <w:r>
        <w:rPr>
          <w:rFonts w:hint="eastAsia"/>
        </w:rPr>
        <w:t>、</w:t>
      </w:r>
      <w:r>
        <w:t xml:space="preserve"> Cuxuljá</w:t>
      </w:r>
      <w:r>
        <w:rPr>
          <w:rFonts w:hint="eastAsia"/>
        </w:rPr>
        <w:t>、</w:t>
      </w:r>
      <w:r>
        <w:t xml:space="preserve"> Roberto Barrios</w:t>
      </w:r>
      <w:r>
        <w:rPr>
          <w:rFonts w:hint="eastAsia"/>
        </w:rPr>
        <w:t>、</w:t>
      </w:r>
      <w:r>
        <w:t xml:space="preserve"> La Gar</w:t>
      </w:r>
      <w:r>
        <w:t>rucha</w:t>
      </w:r>
      <w:r>
        <w:rPr>
          <w:rFonts w:hint="eastAsia"/>
        </w:rPr>
        <w:t>、</w:t>
      </w:r>
      <w:r>
        <w:t xml:space="preserve"> Río Euseba</w:t>
      </w:r>
      <w:r>
        <w:rPr>
          <w:rFonts w:hint="eastAsia"/>
        </w:rPr>
        <w:t>和</w:t>
      </w:r>
      <w:r>
        <w:t>Guadalupe Tepeyac</w:t>
      </w:r>
      <w:r>
        <w:rPr>
          <w:rFonts w:hint="eastAsia"/>
        </w:rPr>
        <w:t>。军队于</w:t>
      </w:r>
      <w:r>
        <w:t>2001</w:t>
      </w:r>
      <w:r>
        <w:rPr>
          <w:rFonts w:hint="eastAsia"/>
        </w:rPr>
        <w:t>年</w:t>
      </w:r>
      <w:r>
        <w:t>4</w:t>
      </w:r>
      <w:r>
        <w:rPr>
          <w:rFonts w:hint="eastAsia"/>
        </w:rPr>
        <w:t>月</w:t>
      </w:r>
      <w:r>
        <w:t>20</w:t>
      </w:r>
      <w:r>
        <w:rPr>
          <w:rFonts w:hint="eastAsia"/>
        </w:rPr>
        <w:t>日从上述最后两个地方撤军，从而完全满足了萨帕塔的有关要求。</w:t>
      </w:r>
    </w:p>
    <w:p w:rsidR="00000000" w:rsidRDefault="00457650">
      <w:pPr>
        <w:widowControl/>
        <w:tabs>
          <w:tab w:val="left" w:pos="630"/>
        </w:tabs>
        <w:spacing w:after="240" w:line="360" w:lineRule="exact"/>
        <w:rPr>
          <w:rFonts w:hint="eastAsia"/>
        </w:rPr>
      </w:pPr>
      <w:r>
        <w:t>1192</w:t>
      </w:r>
      <w:r>
        <w:rPr>
          <w:rFonts w:hint="eastAsia"/>
        </w:rPr>
        <w:t>.</w:t>
      </w:r>
      <w:r>
        <w:rPr>
          <w:rFonts w:hint="eastAsia"/>
        </w:rPr>
        <w:tab/>
      </w:r>
      <w:r>
        <w:rPr>
          <w:rFonts w:hint="eastAsia"/>
        </w:rPr>
        <w:t>协调与和解委员会还协助创造更好的条件，确保</w:t>
      </w:r>
      <w:r>
        <w:t>2001</w:t>
      </w:r>
      <w:r>
        <w:rPr>
          <w:rFonts w:hint="eastAsia"/>
        </w:rPr>
        <w:t>年</w:t>
      </w:r>
      <w:r>
        <w:t>2</w:t>
      </w:r>
      <w:r>
        <w:rPr>
          <w:rFonts w:hint="eastAsia"/>
        </w:rPr>
        <w:t>月底开始从恰帕斯前往联邦区的萨帕塔代表团成员个人的安全和对他们的尊重。这一重大事件为萨帕塔领导人在墨西哥政治生涯中开创了史无前例的先河，而且还让他们能够在国家最高论坛，联盟议会面前表达自己的观点，表明他们支持批准协调与和解委员会关于土著权力与文化的提案。</w:t>
      </w:r>
    </w:p>
    <w:p w:rsidR="00000000" w:rsidRDefault="00457650">
      <w:pPr>
        <w:widowControl/>
        <w:tabs>
          <w:tab w:val="left" w:pos="630"/>
        </w:tabs>
        <w:spacing w:after="240" w:line="360" w:lineRule="exact"/>
        <w:rPr>
          <w:rFonts w:hint="eastAsia"/>
        </w:rPr>
      </w:pPr>
      <w:r>
        <w:t>1193</w:t>
      </w:r>
      <w:r>
        <w:rPr>
          <w:rFonts w:hint="eastAsia"/>
        </w:rPr>
        <w:t>.</w:t>
      </w:r>
      <w:r>
        <w:rPr>
          <w:rFonts w:hint="eastAsia"/>
        </w:rPr>
        <w:tab/>
      </w:r>
      <w:r>
        <w:t>2002</w:t>
      </w:r>
      <w:r>
        <w:rPr>
          <w:rFonts w:hint="eastAsia"/>
        </w:rPr>
        <w:t>年间，对话协调</w:t>
      </w:r>
      <w:r>
        <w:rPr>
          <w:rFonts w:hint="eastAsia"/>
        </w:rPr>
        <w:t>员就恰帕斯问题逐步增加了与相关人员和专家、以及恰帕斯地方长官、国际红十字会代表、恰帕斯立法机构成员和</w:t>
      </w:r>
      <w:r>
        <w:t>San Cristóbal</w:t>
      </w:r>
      <w:r>
        <w:rPr>
          <w:rFonts w:hint="eastAsia"/>
        </w:rPr>
        <w:t xml:space="preserve"> </w:t>
      </w:r>
      <w:r>
        <w:t>de las Casas</w:t>
      </w:r>
      <w:r>
        <w:rPr>
          <w:rFonts w:hint="eastAsia"/>
        </w:rPr>
        <w:t>主教的讨论。在这一年的下半年，他开始与</w:t>
      </w:r>
      <w:r>
        <w:t>Selva</w:t>
      </w:r>
      <w:r>
        <w:rPr>
          <w:rFonts w:hint="eastAsia"/>
        </w:rPr>
        <w:t>、</w:t>
      </w:r>
      <w:r>
        <w:t>Norte</w:t>
      </w:r>
      <w:r>
        <w:rPr>
          <w:rFonts w:hint="eastAsia"/>
        </w:rPr>
        <w:t>和</w:t>
      </w:r>
      <w:r>
        <w:t>Altos</w:t>
      </w:r>
      <w:r>
        <w:rPr>
          <w:rFonts w:hint="eastAsia"/>
        </w:rPr>
        <w:t>地区市政长官进行意见交换，以了解他们对冲突地区形势的看法。</w:t>
      </w:r>
    </w:p>
    <w:p w:rsidR="00000000" w:rsidRDefault="00457650">
      <w:pPr>
        <w:widowControl/>
        <w:tabs>
          <w:tab w:val="left" w:pos="630"/>
        </w:tabs>
        <w:spacing w:after="240" w:line="360" w:lineRule="exact"/>
        <w:rPr>
          <w:rFonts w:hint="eastAsia"/>
        </w:rPr>
      </w:pPr>
      <w:r>
        <w:t>1194</w:t>
      </w:r>
      <w:r>
        <w:rPr>
          <w:rFonts w:hint="eastAsia"/>
        </w:rPr>
        <w:t>.</w:t>
      </w:r>
      <w:r>
        <w:rPr>
          <w:rFonts w:hint="eastAsia"/>
        </w:rPr>
        <w:tab/>
      </w:r>
      <w:r>
        <w:rPr>
          <w:rFonts w:hint="eastAsia"/>
        </w:rPr>
        <w:t>随着</w:t>
      </w:r>
      <w:r>
        <w:t>2002</w:t>
      </w:r>
      <w:r>
        <w:rPr>
          <w:rFonts w:hint="eastAsia"/>
        </w:rPr>
        <w:t>年中期</w:t>
      </w:r>
      <w:r>
        <w:t>San Cristóbal</w:t>
      </w:r>
      <w:r>
        <w:rPr>
          <w:rFonts w:hint="eastAsia"/>
        </w:rPr>
        <w:t xml:space="preserve"> </w:t>
      </w:r>
      <w:r>
        <w:t>de las Casas</w:t>
      </w:r>
      <w:r>
        <w:rPr>
          <w:rFonts w:hint="eastAsia"/>
        </w:rPr>
        <w:t>联络办公室的成立，协调与和解委员会将其活动重点放在了该地区，并确定了三个基本目标：（</w:t>
      </w:r>
      <w:r>
        <w:t>1</w:t>
      </w:r>
      <w:r>
        <w:rPr>
          <w:rFonts w:hint="eastAsia"/>
        </w:rPr>
        <w:t>）同有关社区举行对话；（</w:t>
      </w:r>
      <w:r>
        <w:t>2</w:t>
      </w:r>
      <w:r>
        <w:rPr>
          <w:rFonts w:hint="eastAsia"/>
        </w:rPr>
        <w:t>）了解受到对话僵局影响的各部门，即</w:t>
      </w:r>
      <w:r>
        <w:rPr>
          <w:rFonts w:hint="eastAsia"/>
        </w:rPr>
        <w:t>市政当局、生产部门和非萨帕塔团体的看法；（</w:t>
      </w:r>
      <w:r>
        <w:t>3</w:t>
      </w:r>
      <w:r>
        <w:rPr>
          <w:rFonts w:hint="eastAsia"/>
        </w:rPr>
        <w:t>）促进解决该地区土著社区在社会和经济上受到排斥的问题，并消除导致冲突的各种因素。</w:t>
      </w:r>
    </w:p>
    <w:p w:rsidR="00000000" w:rsidRDefault="00457650">
      <w:pPr>
        <w:widowControl/>
        <w:tabs>
          <w:tab w:val="left" w:pos="630"/>
        </w:tabs>
        <w:spacing w:after="240" w:line="360" w:lineRule="exact"/>
        <w:rPr>
          <w:rFonts w:hint="eastAsia"/>
        </w:rPr>
      </w:pPr>
      <w:r>
        <w:t>1195</w:t>
      </w:r>
      <w:r>
        <w:rPr>
          <w:rFonts w:hint="eastAsia"/>
        </w:rPr>
        <w:t>.</w:t>
      </w:r>
      <w:r>
        <w:rPr>
          <w:rFonts w:hint="eastAsia"/>
        </w:rPr>
        <w:tab/>
      </w:r>
      <w:r>
        <w:rPr>
          <w:rFonts w:hint="eastAsia"/>
        </w:rPr>
        <w:t>通过与市政长官和土著社区负责人会晤，人们表达了关注经济和社会领域的请求；他们指出，持续的冲突不仅阻碍了在生产和发展领域采取积极举措的意愿，而且还直接影响了他们的生活方式，因为冲突加剧了不安全状况，特别是在土地被侵占，各社区之间或者内部冲突不断的时候。</w:t>
      </w:r>
    </w:p>
    <w:p w:rsidR="00000000" w:rsidRDefault="00457650">
      <w:pPr>
        <w:widowControl/>
        <w:tabs>
          <w:tab w:val="left" w:pos="630"/>
        </w:tabs>
        <w:spacing w:after="240" w:line="360" w:lineRule="exact"/>
        <w:rPr>
          <w:rFonts w:hint="eastAsia"/>
        </w:rPr>
      </w:pPr>
      <w:r>
        <w:t>1196</w:t>
      </w:r>
      <w:r>
        <w:rPr>
          <w:rFonts w:hint="eastAsia"/>
        </w:rPr>
        <w:t>.</w:t>
      </w:r>
      <w:r>
        <w:rPr>
          <w:rFonts w:hint="eastAsia"/>
        </w:rPr>
        <w:tab/>
      </w:r>
      <w:r>
        <w:rPr>
          <w:rFonts w:hint="eastAsia"/>
        </w:rPr>
        <w:t>对话协调员在各社区进行频繁访问期间，已经持续并有力地表明了联邦政府实现和平的坚定决心，政府已准备与冲突各相关方</w:t>
      </w:r>
      <w:r>
        <w:rPr>
          <w:rFonts w:hint="eastAsia"/>
        </w:rPr>
        <w:t>进行对话，并公开它的活动，说明它将首先与受不法行为影响最直接的社区举行对话，这些不法行为在缺少和谈的情况下日益猖獗。</w:t>
      </w:r>
    </w:p>
    <w:p w:rsidR="00000000" w:rsidRDefault="00457650">
      <w:pPr>
        <w:widowControl/>
        <w:tabs>
          <w:tab w:val="left" w:pos="630"/>
        </w:tabs>
        <w:spacing w:after="240" w:line="360" w:lineRule="exact"/>
        <w:rPr>
          <w:rFonts w:hint="eastAsia"/>
        </w:rPr>
      </w:pPr>
      <w:r>
        <w:t>1197</w:t>
      </w:r>
      <w:r>
        <w:rPr>
          <w:rFonts w:hint="eastAsia"/>
        </w:rPr>
        <w:t>.</w:t>
      </w:r>
      <w:r>
        <w:rPr>
          <w:rFonts w:hint="eastAsia"/>
        </w:rPr>
        <w:tab/>
      </w:r>
      <w:r>
        <w:rPr>
          <w:rFonts w:hint="eastAsia"/>
        </w:rPr>
        <w:t>实地工作帮助积累了第一手资料，有助于了解一些社区严重的社会经济问题，并有助于将它们的申请递交政府主管机构处理。在协调员每天的活动中，都会遇到与社会发展脱节的情况。为了这个原因，他继续在该地区巡查，并要求有关部门采取各种社会经济补救措施，促使联邦政府履行国家对墨西哥人应尽的义务。</w:t>
      </w:r>
    </w:p>
    <w:p w:rsidR="00000000" w:rsidRDefault="00457650">
      <w:pPr>
        <w:widowControl/>
        <w:tabs>
          <w:tab w:val="left" w:pos="630"/>
        </w:tabs>
        <w:spacing w:after="240" w:line="360" w:lineRule="exact"/>
        <w:rPr>
          <w:rFonts w:hint="eastAsia"/>
        </w:rPr>
      </w:pPr>
      <w:r>
        <w:t>1198</w:t>
      </w:r>
      <w:r>
        <w:rPr>
          <w:rFonts w:hint="eastAsia"/>
        </w:rPr>
        <w:t>.</w:t>
      </w:r>
      <w:r>
        <w:rPr>
          <w:rFonts w:hint="eastAsia"/>
        </w:rPr>
        <w:tab/>
      </w:r>
      <w:r>
        <w:t>2002</w:t>
      </w:r>
      <w:r>
        <w:rPr>
          <w:rFonts w:hint="eastAsia"/>
        </w:rPr>
        <w:t>年和</w:t>
      </w:r>
      <w:r>
        <w:t>2003</w:t>
      </w:r>
      <w:r>
        <w:rPr>
          <w:rFonts w:hint="eastAsia"/>
        </w:rPr>
        <w:t>年，对话协调员访问了许多市区，收到了来自各社区的</w:t>
      </w:r>
      <w:r>
        <w:t>409</w:t>
      </w:r>
      <w:r>
        <w:rPr>
          <w:rFonts w:hint="eastAsia"/>
        </w:rPr>
        <w:t>份申请。提出需求</w:t>
      </w:r>
      <w:r>
        <w:rPr>
          <w:rFonts w:hint="eastAsia"/>
        </w:rPr>
        <w:t>最多的市区是</w:t>
      </w:r>
      <w:r>
        <w:t>Ocosingo</w:t>
      </w:r>
      <w:r>
        <w:rPr>
          <w:rFonts w:hint="eastAsia"/>
        </w:rPr>
        <w:t>，从这里的社区中共收到了</w:t>
      </w:r>
      <w:r>
        <w:t>136</w:t>
      </w:r>
      <w:r>
        <w:rPr>
          <w:rFonts w:hint="eastAsia"/>
        </w:rPr>
        <w:t>份申请。</w:t>
      </w:r>
    </w:p>
    <w:p w:rsidR="00000000" w:rsidRDefault="00457650">
      <w:pPr>
        <w:widowControl/>
        <w:tabs>
          <w:tab w:val="left" w:pos="630"/>
        </w:tabs>
        <w:spacing w:after="240" w:line="360" w:lineRule="exact"/>
        <w:rPr>
          <w:rFonts w:hint="eastAsia"/>
        </w:rPr>
      </w:pPr>
      <w:r>
        <w:t>1199</w:t>
      </w:r>
      <w:r>
        <w:rPr>
          <w:rFonts w:hint="eastAsia"/>
        </w:rPr>
        <w:t>.</w:t>
      </w:r>
      <w:r>
        <w:rPr>
          <w:rFonts w:hint="eastAsia"/>
        </w:rPr>
        <w:tab/>
      </w:r>
      <w:r>
        <w:rPr>
          <w:rFonts w:hint="eastAsia"/>
        </w:rPr>
        <w:t>对提交的申请进行的分析表明，大多数社区，包括</w:t>
      </w:r>
      <w:r>
        <w:t>Selva Lacandona</w:t>
      </w:r>
      <w:r>
        <w:rPr>
          <w:rFonts w:hint="eastAsia"/>
        </w:rPr>
        <w:t>和</w:t>
      </w:r>
      <w:r>
        <w:t>Cañadas</w:t>
      </w:r>
      <w:r>
        <w:rPr>
          <w:rFonts w:hint="eastAsia"/>
        </w:rPr>
        <w:t>地区的社区都需要铁路、公路和桥梁等基础设施，以便能够将其农产品送往市场，并与市政首府进行沟通。</w:t>
      </w:r>
    </w:p>
    <w:p w:rsidR="00000000" w:rsidRDefault="00457650" w:rsidP="00457650">
      <w:pPr>
        <w:widowControl/>
        <w:tabs>
          <w:tab w:val="left" w:pos="630"/>
        </w:tabs>
        <w:spacing w:after="240" w:line="360" w:lineRule="exact"/>
        <w:ind w:leftChars="300" w:left="31680"/>
        <w:rPr>
          <w:rFonts w:ascii="KaiTi_GB2312" w:eastAsia="KaiTi_GB2312" w:hint="eastAsia"/>
          <w:b/>
        </w:rPr>
      </w:pPr>
      <w:r>
        <w:rPr>
          <w:rFonts w:ascii="KaiTi_GB2312" w:eastAsia="KaiTi_GB2312"/>
          <w:b/>
        </w:rPr>
        <w:t>46</w:t>
      </w:r>
      <w:r>
        <w:rPr>
          <w:rFonts w:ascii="KaiTi_GB2312" w:eastAsia="KaiTi_GB2312" w:hint="eastAsia"/>
          <w:b/>
        </w:rPr>
        <w:t>．委员会建议缔约国采取必要措施，通过在所有课程，在社会所有部门，尤其是在司法和行政当局中间进行人权教育，确保《公约》各项条款得以广泛传播。</w:t>
      </w:r>
    </w:p>
    <w:p w:rsidR="00000000" w:rsidRDefault="00457650">
      <w:pPr>
        <w:widowControl/>
        <w:tabs>
          <w:tab w:val="left" w:pos="630"/>
        </w:tabs>
        <w:spacing w:after="240" w:line="360" w:lineRule="exact"/>
        <w:rPr>
          <w:rFonts w:hint="eastAsia"/>
        </w:rPr>
      </w:pPr>
      <w:r>
        <w:t>1200</w:t>
      </w:r>
      <w:r>
        <w:rPr>
          <w:rFonts w:hint="eastAsia"/>
        </w:rPr>
        <w:t>.</w:t>
      </w:r>
      <w:r>
        <w:rPr>
          <w:rFonts w:hint="eastAsia"/>
        </w:rPr>
        <w:tab/>
      </w:r>
      <w:r>
        <w:rPr>
          <w:rFonts w:hint="eastAsia"/>
        </w:rPr>
        <w:t>公共教育部负责人权教育方案，其主要活动包括通过教育方案及基础教育中师生用材料传播与行使人权</w:t>
      </w:r>
      <w:r>
        <w:rPr>
          <w:rFonts w:hint="eastAsia"/>
        </w:rPr>
        <w:t>有关的知识、能力和观念，并改善学校的状况和做法，营造保护和尊重人权的氛围。</w:t>
      </w:r>
    </w:p>
    <w:p w:rsidR="00000000" w:rsidRDefault="00457650">
      <w:pPr>
        <w:widowControl/>
        <w:tabs>
          <w:tab w:val="left" w:pos="630"/>
        </w:tabs>
        <w:spacing w:after="240" w:line="360" w:lineRule="exact"/>
        <w:rPr>
          <w:rFonts w:hint="eastAsia"/>
        </w:rPr>
      </w:pPr>
      <w:r>
        <w:t>1201</w:t>
      </w:r>
      <w:r>
        <w:rPr>
          <w:rFonts w:hint="eastAsia"/>
        </w:rPr>
        <w:t>.</w:t>
      </w:r>
      <w:r>
        <w:rPr>
          <w:rFonts w:hint="eastAsia"/>
        </w:rPr>
        <w:tab/>
      </w:r>
      <w:r>
        <w:rPr>
          <w:rFonts w:hint="eastAsia"/>
        </w:rPr>
        <w:t>自</w:t>
      </w:r>
      <w:r>
        <w:t>1993</w:t>
      </w:r>
      <w:r>
        <w:rPr>
          <w:rFonts w:hint="eastAsia"/>
        </w:rPr>
        <w:t>年改革以来，已计划在基础教育课程中进行三个方面的人权教育，第一个方面在将人权作为一个明确主题的课程中作了介绍，第二个方面反映在其他课程中对人权问题的反思上，第三个方面，在对在职教师的初始培训和能力培养中得到加强：它展示了人权在学校和课堂日常存在的表达形式。</w:t>
      </w:r>
    </w:p>
    <w:p w:rsidR="00000000" w:rsidRDefault="00457650">
      <w:pPr>
        <w:widowControl/>
        <w:tabs>
          <w:tab w:val="left" w:pos="630"/>
        </w:tabs>
        <w:spacing w:after="240" w:line="360" w:lineRule="exact"/>
        <w:rPr>
          <w:rFonts w:hint="eastAsia"/>
        </w:rPr>
      </w:pPr>
      <w:r>
        <w:t>1202</w:t>
      </w:r>
      <w:r>
        <w:rPr>
          <w:rFonts w:hint="eastAsia"/>
        </w:rPr>
        <w:t>.</w:t>
      </w:r>
      <w:r>
        <w:rPr>
          <w:rFonts w:hint="eastAsia"/>
        </w:rPr>
        <w:tab/>
      </w:r>
      <w:r>
        <w:t>1997</w:t>
      </w:r>
      <w:r>
        <w:rPr>
          <w:rFonts w:hint="eastAsia"/>
        </w:rPr>
        <w:t>年，公共教育部开始更改中小学教师初始培训研究计划。这些改动将人权主题列为课程的主要内容，例如小学一、二年级的道德和礼貌教育；遵纪守法和对</w:t>
      </w:r>
      <w:r>
        <w:rPr>
          <w:rFonts w:hint="eastAsia"/>
        </w:rPr>
        <w:t>个人负责的原则；以及人权和社会权利等。</w:t>
      </w:r>
    </w:p>
    <w:p w:rsidR="00000000" w:rsidRDefault="00457650">
      <w:pPr>
        <w:widowControl/>
        <w:tabs>
          <w:tab w:val="left" w:pos="630"/>
        </w:tabs>
        <w:spacing w:after="240" w:line="360" w:lineRule="exact"/>
        <w:rPr>
          <w:rFonts w:hint="eastAsia"/>
        </w:rPr>
      </w:pPr>
      <w:r>
        <w:t>1203</w:t>
      </w:r>
      <w:r>
        <w:rPr>
          <w:rFonts w:hint="eastAsia"/>
        </w:rPr>
        <w:t>.</w:t>
      </w:r>
      <w:r>
        <w:rPr>
          <w:rFonts w:hint="eastAsia"/>
        </w:rPr>
        <w:tab/>
      </w:r>
      <w:r>
        <w:rPr>
          <w:rFonts w:hint="eastAsia"/>
        </w:rPr>
        <w:t>附件七列出了社会发展部出版的印刷和视频材料，其中包括关于人权材料，为各种情况下分发相关材料的类型提供了指导。</w:t>
      </w:r>
    </w:p>
    <w:p w:rsidR="00000000" w:rsidRDefault="00457650">
      <w:pPr>
        <w:widowControl/>
        <w:tabs>
          <w:tab w:val="left" w:pos="630"/>
        </w:tabs>
        <w:spacing w:after="240" w:line="360" w:lineRule="exact"/>
        <w:rPr>
          <w:rFonts w:hint="eastAsia"/>
        </w:rPr>
      </w:pPr>
      <w:r>
        <w:t>1204</w:t>
      </w:r>
      <w:r>
        <w:rPr>
          <w:rFonts w:hint="eastAsia"/>
        </w:rPr>
        <w:t>.</w:t>
      </w:r>
      <w:r>
        <w:rPr>
          <w:rFonts w:hint="eastAsia"/>
        </w:rPr>
        <w:tab/>
      </w:r>
      <w:r>
        <w:rPr>
          <w:rFonts w:hint="eastAsia"/>
        </w:rPr>
        <w:t>配合</w:t>
      </w:r>
      <w:r>
        <w:t>2001</w:t>
      </w:r>
      <w:r>
        <w:rPr>
          <w:rFonts w:hint="eastAsia"/>
        </w:rPr>
        <w:t>－</w:t>
      </w:r>
      <w:r>
        <w:t>2006</w:t>
      </w:r>
      <w:r>
        <w:rPr>
          <w:rFonts w:hint="eastAsia"/>
        </w:rPr>
        <w:t>年国家教育方案中的行动计划，公共教育部开始制定各种计划，构成了促进人权文化的基本要素。正在讨论的计划包括：中级教育全面改革，公民权培训和法制文化项目等。下文介绍了这些计划的主要特点，它们与基础教育中学生人权培训的关系，以及在推行这些计划过程中所取得的进展。</w:t>
      </w:r>
    </w:p>
    <w:p w:rsidR="00000000" w:rsidRDefault="00457650">
      <w:pPr>
        <w:keepNext/>
        <w:widowControl/>
        <w:tabs>
          <w:tab w:val="left" w:pos="630"/>
        </w:tabs>
        <w:spacing w:after="240" w:line="360" w:lineRule="exact"/>
        <w:rPr>
          <w:rFonts w:eastAsia="SimHei" w:hint="eastAsia"/>
          <w:bCs/>
        </w:rPr>
      </w:pPr>
      <w:r>
        <w:rPr>
          <w:rFonts w:eastAsia="SimHei"/>
          <w:bCs/>
        </w:rPr>
        <w:tab/>
      </w:r>
      <w:r>
        <w:rPr>
          <w:rFonts w:eastAsia="SimHei" w:hint="eastAsia"/>
          <w:bCs/>
        </w:rPr>
        <w:t>中等教育的全面改革</w:t>
      </w:r>
    </w:p>
    <w:p w:rsidR="00000000" w:rsidRDefault="00457650">
      <w:pPr>
        <w:keepNext/>
        <w:widowControl/>
        <w:tabs>
          <w:tab w:val="left" w:pos="630"/>
        </w:tabs>
        <w:spacing w:after="240" w:line="360" w:lineRule="exact"/>
        <w:rPr>
          <w:rFonts w:hint="eastAsia"/>
        </w:rPr>
      </w:pPr>
      <w:r>
        <w:t>1205</w:t>
      </w:r>
      <w:r>
        <w:rPr>
          <w:rFonts w:hint="eastAsia"/>
        </w:rPr>
        <w:t>．为了保证各级基础教育相互关</w:t>
      </w:r>
      <w:r>
        <w:rPr>
          <w:rFonts w:hint="eastAsia"/>
        </w:rPr>
        <w:t>联，中等教育改革从根本上改变了课程、组织和教师培训这一具体层面的现况。在课程领域，计划更改道德和礼貌培训课程，着眼于指导学生思考他们作为青少年的状况，以及在这个年纪所获得的权利，发展必要的技能，在维护个人尊严的同时，与他人民主相处，并在此基础上促进个人和社会的健康发展，另外，还让学生了解墨西哥目前为确保对人权的尊重从制度上所采取的法律补救措施。</w:t>
      </w:r>
    </w:p>
    <w:p w:rsidR="00000000" w:rsidRDefault="00457650">
      <w:pPr>
        <w:widowControl/>
        <w:tabs>
          <w:tab w:val="left" w:pos="630"/>
        </w:tabs>
        <w:spacing w:after="240" w:line="360" w:lineRule="exact"/>
        <w:rPr>
          <w:rFonts w:hint="eastAsia"/>
        </w:rPr>
      </w:pPr>
      <w:r>
        <w:t>1206.</w:t>
      </w:r>
      <w:r>
        <w:tab/>
      </w:r>
      <w:r>
        <w:rPr>
          <w:rFonts w:hint="eastAsia"/>
        </w:rPr>
        <w:t>另外，还计划所有构成整体学习计划一部分的课程通过培训活动，使学生进一步了解人类各个活动领域的人权，以及人权与自然和社会环境、可持续发展、性别平等、对差异</w:t>
      </w:r>
      <w:r>
        <w:rPr>
          <w:rFonts w:hint="eastAsia"/>
        </w:rPr>
        <w:t>的尊重及防止腐败和犯罪的关系，并致力于实现人权。</w:t>
      </w:r>
    </w:p>
    <w:p w:rsidR="00000000" w:rsidRDefault="00457650">
      <w:pPr>
        <w:widowControl/>
        <w:tabs>
          <w:tab w:val="left" w:pos="630"/>
        </w:tabs>
        <w:spacing w:after="240" w:line="360" w:lineRule="exact"/>
      </w:pPr>
      <w:r>
        <w:t>1207.</w:t>
      </w:r>
      <w:r>
        <w:tab/>
      </w:r>
      <w:r>
        <w:rPr>
          <w:rFonts w:hint="eastAsia"/>
        </w:rPr>
        <w:t>在组织层面上，目前正在对中等学校的状况进行分析，这些学校需要改革，以促进在学校日常公共生活中的民主文化和对人权的尊重。在这种情况下，有人认为学生、教师、学校当局和家长之间的关系，应该与学生在道德和礼貌教育课程、以及与人权相关的其他课程中所学到的东西相呼应。另外，还计划让中等学校的学生认识到，教育机构作为一个培养人的领域，能够保障学生充分行使受教育的权利。</w:t>
      </w:r>
      <w:r>
        <w:t xml:space="preserve"> </w:t>
      </w:r>
    </w:p>
    <w:p w:rsidR="00000000" w:rsidRDefault="00457650">
      <w:pPr>
        <w:widowControl/>
        <w:tabs>
          <w:tab w:val="left" w:pos="630"/>
        </w:tabs>
        <w:spacing w:after="240" w:line="360" w:lineRule="exact"/>
        <w:rPr>
          <w:rFonts w:hint="eastAsia"/>
        </w:rPr>
      </w:pPr>
      <w:r>
        <w:t>1208.</w:t>
      </w:r>
      <w:r>
        <w:rPr>
          <w:rFonts w:hint="eastAsia"/>
        </w:rPr>
        <w:tab/>
      </w:r>
      <w:r>
        <w:rPr>
          <w:rFonts w:hint="eastAsia"/>
        </w:rPr>
        <w:t>目前课程编排的设计进展顺利，并将于</w:t>
      </w:r>
      <w:r>
        <w:t>2004</w:t>
      </w:r>
      <w:r>
        <w:rPr>
          <w:rFonts w:hint="eastAsia"/>
        </w:rPr>
        <w:t>年公布。</w:t>
      </w:r>
    </w:p>
    <w:p w:rsidR="00000000" w:rsidRDefault="00457650">
      <w:pPr>
        <w:widowControl/>
        <w:tabs>
          <w:tab w:val="left" w:pos="630"/>
        </w:tabs>
        <w:spacing w:after="240" w:line="360" w:lineRule="exact"/>
        <w:rPr>
          <w:rFonts w:eastAsia="SimHei" w:hint="eastAsia"/>
          <w:bCs/>
        </w:rPr>
      </w:pPr>
      <w:r>
        <w:rPr>
          <w:rFonts w:eastAsia="SimHei" w:hint="eastAsia"/>
          <w:bCs/>
        </w:rPr>
        <w:tab/>
      </w:r>
      <w:r>
        <w:rPr>
          <w:rFonts w:eastAsia="SimHei" w:hint="eastAsia"/>
          <w:bCs/>
        </w:rPr>
        <w:t>公民权培训方案和法制文化</w:t>
      </w:r>
    </w:p>
    <w:p w:rsidR="00000000" w:rsidRDefault="00457650">
      <w:pPr>
        <w:widowControl/>
        <w:tabs>
          <w:tab w:val="left" w:pos="630"/>
        </w:tabs>
        <w:spacing w:after="240" w:line="360" w:lineRule="exact"/>
        <w:rPr>
          <w:rFonts w:hint="eastAsia"/>
        </w:rPr>
      </w:pPr>
      <w:r>
        <w:t>1209.</w:t>
      </w:r>
      <w:r>
        <w:tab/>
      </w:r>
      <w:r>
        <w:rPr>
          <w:rFonts w:hint="eastAsia"/>
        </w:rPr>
        <w:t>根据该方案，初等教育中计划将课堂和学校作为一个整体，通过教育实践，营造更好的教育环境，使学生能在最佳的条件下，在尊重人权及容忍、平等和公正等各种价值观的基础上在学校共同学习和生活。另外，将对正在实施的道德教育计划进行改革，并由一至六年级的道德和礼貌教育计划所取代。</w:t>
      </w:r>
    </w:p>
    <w:p w:rsidR="00000000" w:rsidRDefault="00457650">
      <w:pPr>
        <w:widowControl/>
        <w:tabs>
          <w:tab w:val="left" w:pos="630"/>
        </w:tabs>
        <w:spacing w:after="240" w:line="360" w:lineRule="exact"/>
        <w:rPr>
          <w:rFonts w:hint="eastAsia"/>
        </w:rPr>
      </w:pPr>
      <w:r>
        <w:t>1210.</w:t>
      </w:r>
      <w:r>
        <w:tab/>
      </w:r>
      <w:r>
        <w:rPr>
          <w:rFonts w:hint="eastAsia"/>
        </w:rPr>
        <w:t>在两个层面（学校环境和课程内容），对如下可能性做了研究：学生作为独立的个人受到尊重，学校为保证每个学生的权利实行共同的标准，并通过对话和协商等方法来解决各种问题，化解各种争议，另外，还通过经验交流和互动来加强民主生活体验</w:t>
      </w:r>
      <w:r>
        <w:rPr>
          <w:rFonts w:hint="eastAsia"/>
        </w:rPr>
        <w:t>。</w:t>
      </w:r>
    </w:p>
    <w:p w:rsidR="00000000" w:rsidRDefault="00457650">
      <w:pPr>
        <w:widowControl/>
        <w:tabs>
          <w:tab w:val="left" w:pos="630"/>
        </w:tabs>
        <w:spacing w:after="240" w:line="360" w:lineRule="exact"/>
        <w:rPr>
          <w:rFonts w:hint="eastAsia"/>
        </w:rPr>
      </w:pPr>
      <w:r>
        <w:t>1211.</w:t>
      </w:r>
      <w:r>
        <w:rPr>
          <w:rFonts w:hint="eastAsia"/>
        </w:rPr>
        <w:tab/>
      </w:r>
      <w:r>
        <w:rPr>
          <w:rFonts w:hint="eastAsia"/>
        </w:rPr>
        <w:t>已经考虑在三个方面组织礼貌和道德培训活动：道德规范培训，使学生进一步遵守根据普遍原则制定的个人道德守则；生活培训，培养学生一些必要的能力，使他们能够果断地应付日常生活中的各种挑战，为实现全面和自由的发展创造更好的条件；公民权的培训，这里强调的是民主共存的态度、价值观、原则和标准。另外，还培养学生以明智、成熟和理智的态度参与公益事业的能力。这三个方面与人权的关系具有持续性，这其中体现了道德原则；它们是建立在学生自知和自尊的基础上，需要对学生在日常生活中的行为，以及保障遵守道德原则的机构有清楚的</w:t>
      </w:r>
      <w:r>
        <w:rPr>
          <w:rFonts w:hint="eastAsia"/>
        </w:rPr>
        <w:t>了解。</w:t>
      </w:r>
    </w:p>
    <w:p w:rsidR="00000000" w:rsidRDefault="00457650">
      <w:pPr>
        <w:widowControl/>
        <w:tabs>
          <w:tab w:val="left" w:pos="630"/>
        </w:tabs>
        <w:spacing w:after="240" w:line="360" w:lineRule="exact"/>
        <w:rPr>
          <w:rFonts w:hint="eastAsia"/>
        </w:rPr>
      </w:pPr>
      <w:r>
        <w:t>1212.</w:t>
      </w:r>
      <w:r>
        <w:rPr>
          <w:rFonts w:hint="eastAsia"/>
        </w:rPr>
        <w:tab/>
      </w:r>
      <w:r>
        <w:t>2003</w:t>
      </w:r>
      <w:r>
        <w:rPr>
          <w:rFonts w:hint="eastAsia"/>
        </w:rPr>
        <w:t>–</w:t>
      </w:r>
      <w:r>
        <w:t>2004</w:t>
      </w:r>
      <w:r>
        <w:rPr>
          <w:rFonts w:hint="eastAsia"/>
        </w:rPr>
        <w:t>学年进入了一个试验性阶段，旨在促进</w:t>
      </w:r>
      <w:r>
        <w:t>14</w:t>
      </w:r>
      <w:r>
        <w:rPr>
          <w:rFonts w:hint="eastAsia"/>
        </w:rPr>
        <w:t>个联邦州一些抽样学校改善学校环境的行动。目前正在拟订一个道德和礼貌初步提案，并将在</w:t>
      </w:r>
      <w:r>
        <w:t>2005</w:t>
      </w:r>
      <w:r>
        <w:rPr>
          <w:rFonts w:hint="eastAsia"/>
        </w:rPr>
        <w:t>–</w:t>
      </w:r>
      <w:r>
        <w:t>2006</w:t>
      </w:r>
      <w:r>
        <w:rPr>
          <w:rFonts w:hint="eastAsia"/>
        </w:rPr>
        <w:t>学年在所有学校推行。</w:t>
      </w:r>
    </w:p>
    <w:p w:rsidR="00000000" w:rsidRDefault="00457650">
      <w:pPr>
        <w:keepNext/>
        <w:widowControl/>
        <w:tabs>
          <w:tab w:val="left" w:pos="630"/>
        </w:tabs>
        <w:spacing w:after="240" w:line="360" w:lineRule="exact"/>
        <w:rPr>
          <w:rFonts w:eastAsia="SimHei" w:hint="eastAsia"/>
          <w:bCs/>
        </w:rPr>
      </w:pPr>
      <w:r>
        <w:rPr>
          <w:rFonts w:eastAsia="SimHei" w:hint="eastAsia"/>
          <w:bCs/>
        </w:rPr>
        <w:tab/>
      </w:r>
      <w:r>
        <w:rPr>
          <w:rFonts w:eastAsia="SimHei" w:hint="eastAsia"/>
          <w:bCs/>
        </w:rPr>
        <w:t>一般进修课程</w:t>
      </w:r>
    </w:p>
    <w:p w:rsidR="00000000" w:rsidRDefault="00457650">
      <w:pPr>
        <w:keepNext/>
        <w:widowControl/>
        <w:tabs>
          <w:tab w:val="left" w:pos="630"/>
        </w:tabs>
        <w:spacing w:after="240" w:line="360" w:lineRule="exact"/>
      </w:pPr>
      <w:r>
        <w:t>1213.</w:t>
      </w:r>
      <w:r>
        <w:rPr>
          <w:rFonts w:hint="eastAsia"/>
        </w:rPr>
        <w:tab/>
      </w:r>
      <w:r>
        <w:rPr>
          <w:rFonts w:hint="eastAsia"/>
        </w:rPr>
        <w:t>全国基础教育机构中教师的进修和能力培养计划包括许多行动，旨在通过持续改进教师工作、更新他们的知识和教学技能，来提高教育质量。国内教师可以采用的学习形式包括一般进修课程和州进修课程，其中涉及人权教育项目的计划正在审查中。</w:t>
      </w:r>
      <w:r>
        <w:t xml:space="preserve"> </w:t>
      </w:r>
    </w:p>
    <w:p w:rsidR="00000000" w:rsidRDefault="00457650">
      <w:pPr>
        <w:widowControl/>
        <w:tabs>
          <w:tab w:val="left" w:pos="630"/>
        </w:tabs>
        <w:spacing w:after="240" w:line="360" w:lineRule="exact"/>
        <w:rPr>
          <w:rFonts w:hint="eastAsia"/>
        </w:rPr>
      </w:pPr>
      <w:r>
        <w:t>1214.</w:t>
      </w:r>
      <w:r>
        <w:rPr>
          <w:rFonts w:hint="eastAsia"/>
        </w:rPr>
        <w:tab/>
      </w:r>
      <w:r>
        <w:rPr>
          <w:rFonts w:hint="eastAsia"/>
        </w:rPr>
        <w:t>有关的研究方案由公共教育部和其他政府机构的不同部门设</w:t>
      </w:r>
      <w:r>
        <w:rPr>
          <w:rFonts w:hint="eastAsia"/>
        </w:rPr>
        <w:t>计。</w:t>
      </w:r>
    </w:p>
    <w:p w:rsidR="00000000" w:rsidRDefault="00457650">
      <w:pPr>
        <w:widowControl/>
        <w:tabs>
          <w:tab w:val="left" w:pos="630"/>
        </w:tabs>
        <w:spacing w:after="240" w:line="360" w:lineRule="exact"/>
        <w:rPr>
          <w:rFonts w:hint="eastAsia"/>
        </w:rPr>
      </w:pPr>
      <w:r>
        <w:t>1215.</w:t>
      </w:r>
      <w:r>
        <w:rPr>
          <w:rFonts w:hint="eastAsia"/>
        </w:rPr>
        <w:tab/>
      </w:r>
      <w:r>
        <w:rPr>
          <w:rFonts w:hint="eastAsia"/>
        </w:rPr>
        <w:t>它们的主要目标是：</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赋予教师工具，以发展联邦政府在不同级别和基础教育的不同形式中引入的教育项目和计划；</w:t>
      </w:r>
      <w:r>
        <w:t xml:space="preserve"> </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在教师进修议程中纳入重要的教育计划，这些计划对国家至关重要，但没有受到足够的重视，还有那些源自学习计划和基础教育项目改革的内容。</w:t>
      </w:r>
    </w:p>
    <w:p w:rsidR="00000000" w:rsidRDefault="00457650">
      <w:pPr>
        <w:widowControl/>
        <w:tabs>
          <w:tab w:val="left" w:pos="630"/>
        </w:tabs>
        <w:spacing w:after="240" w:line="360" w:lineRule="exact"/>
        <w:rPr>
          <w:rFonts w:hint="eastAsia"/>
        </w:rPr>
      </w:pPr>
      <w:r>
        <w:t>1216.</w:t>
      </w:r>
      <w:r>
        <w:rPr>
          <w:rFonts w:hint="eastAsia"/>
        </w:rPr>
        <w:tab/>
      </w:r>
      <w:r>
        <w:rPr>
          <w:rFonts w:hint="eastAsia"/>
        </w:rPr>
        <w:t>一般课程已被纳入国家进修课程库，国家教育当局有可能要求向国内相关基础教育领域的教师提供。</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285"/>
        <w:gridCol w:w="5640"/>
        <w:gridCol w:w="1935"/>
      </w:tblGrid>
      <w:tr w:rsidR="00000000">
        <w:tblPrEx>
          <w:tblCellMar>
            <w:top w:w="0" w:type="dxa"/>
            <w:bottom w:w="0" w:type="dxa"/>
          </w:tblCellMar>
        </w:tblPrEx>
        <w:trPr>
          <w:tblHeader/>
          <w:jc w:val="center"/>
        </w:trPr>
        <w:tc>
          <w:tcPr>
            <w:tcW w:w="1159" w:type="pct"/>
            <w:vAlign w:val="center"/>
          </w:tcPr>
          <w:p w:rsidR="00000000" w:rsidRDefault="00457650" w:rsidP="00457650">
            <w:pPr>
              <w:widowControl/>
              <w:tabs>
                <w:tab w:val="left" w:pos="630"/>
              </w:tabs>
              <w:spacing w:before="40" w:after="40" w:line="280" w:lineRule="exact"/>
              <w:ind w:leftChars="50" w:left="31680" w:rightChars="50" w:right="31680"/>
              <w:jc w:val="center"/>
              <w:rPr>
                <w:rFonts w:hint="eastAsia"/>
                <w:i/>
                <w:sz w:val="18"/>
              </w:rPr>
            </w:pPr>
            <w:r>
              <w:rPr>
                <w:rFonts w:ascii="KaiTi_GB2312" w:eastAsia="KaiTi_GB2312" w:hint="eastAsia"/>
                <w:sz w:val="18"/>
              </w:rPr>
              <w:t>机构</w:t>
            </w:r>
          </w:p>
        </w:tc>
        <w:tc>
          <w:tcPr>
            <w:tcW w:w="2860" w:type="pct"/>
            <w:vAlign w:val="center"/>
          </w:tcPr>
          <w:p w:rsidR="00000000" w:rsidRDefault="00457650" w:rsidP="00457650">
            <w:pPr>
              <w:widowControl/>
              <w:tabs>
                <w:tab w:val="left" w:pos="630"/>
              </w:tabs>
              <w:spacing w:before="40" w:after="40" w:line="280" w:lineRule="exact"/>
              <w:ind w:leftChars="50" w:left="31680" w:rightChars="50" w:right="31680"/>
              <w:jc w:val="center"/>
              <w:rPr>
                <w:rFonts w:hint="eastAsia"/>
                <w:i/>
                <w:sz w:val="18"/>
              </w:rPr>
            </w:pPr>
            <w:r>
              <w:rPr>
                <w:rFonts w:ascii="KaiTi_GB2312" w:eastAsia="KaiTi_GB2312" w:hint="eastAsia"/>
                <w:sz w:val="18"/>
              </w:rPr>
              <w:t>课程</w:t>
            </w:r>
          </w:p>
        </w:tc>
        <w:tc>
          <w:tcPr>
            <w:tcW w:w="981" w:type="pct"/>
            <w:vAlign w:val="center"/>
          </w:tcPr>
          <w:p w:rsidR="00000000" w:rsidRDefault="00457650" w:rsidP="00457650">
            <w:pPr>
              <w:widowControl/>
              <w:tabs>
                <w:tab w:val="left" w:pos="630"/>
              </w:tabs>
              <w:spacing w:before="40" w:after="40" w:line="280" w:lineRule="exact"/>
              <w:ind w:leftChars="50" w:left="31680" w:rightChars="50" w:right="31680"/>
              <w:jc w:val="center"/>
              <w:rPr>
                <w:rFonts w:ascii="KaiTi_GB2312" w:eastAsia="KaiTi_GB2312" w:hint="eastAsia"/>
                <w:sz w:val="18"/>
              </w:rPr>
            </w:pPr>
            <w:r>
              <w:rPr>
                <w:rFonts w:ascii="KaiTi_GB2312" w:eastAsia="KaiTi_GB2312" w:hint="eastAsia"/>
                <w:sz w:val="18"/>
              </w:rPr>
              <w:t>提出请求的机构数目</w:t>
            </w:r>
          </w:p>
        </w:tc>
      </w:tr>
      <w:tr w:rsidR="00000000">
        <w:tblPrEx>
          <w:tblCellMar>
            <w:top w:w="0" w:type="dxa"/>
            <w:bottom w:w="0" w:type="dxa"/>
          </w:tblCellMar>
        </w:tblPrEx>
        <w:trPr>
          <w:jc w:val="center"/>
        </w:trPr>
        <w:tc>
          <w:tcPr>
            <w:tcW w:w="1159" w:type="pct"/>
          </w:tcPr>
          <w:p w:rsidR="00000000" w:rsidRDefault="00457650" w:rsidP="00457650">
            <w:pPr>
              <w:widowControl/>
              <w:tabs>
                <w:tab w:val="left" w:pos="630"/>
              </w:tabs>
              <w:spacing w:before="40" w:after="40" w:line="280" w:lineRule="exact"/>
              <w:ind w:leftChars="50" w:left="31680" w:rightChars="50" w:right="31680"/>
              <w:rPr>
                <w:rFonts w:hint="eastAsia"/>
                <w:sz w:val="18"/>
              </w:rPr>
            </w:pPr>
            <w:r>
              <w:rPr>
                <w:rFonts w:hint="eastAsia"/>
                <w:sz w:val="18"/>
              </w:rPr>
              <w:t>国家妇女协会</w:t>
            </w:r>
          </w:p>
        </w:tc>
        <w:tc>
          <w:tcPr>
            <w:tcW w:w="2860" w:type="pct"/>
          </w:tcPr>
          <w:p w:rsidR="00000000" w:rsidRDefault="00457650" w:rsidP="00457650">
            <w:pPr>
              <w:widowControl/>
              <w:tabs>
                <w:tab w:val="left" w:pos="630"/>
              </w:tabs>
              <w:spacing w:before="40" w:after="40" w:line="280" w:lineRule="exact"/>
              <w:ind w:leftChars="50" w:left="31680" w:rightChars="50" w:right="31680"/>
              <w:rPr>
                <w:rFonts w:hint="eastAsia"/>
                <w:sz w:val="18"/>
              </w:rPr>
            </w:pPr>
            <w:r>
              <w:rPr>
                <w:rFonts w:hint="eastAsia"/>
                <w:sz w:val="18"/>
              </w:rPr>
              <w:t>在小学构建性别平等</w:t>
            </w:r>
          </w:p>
        </w:tc>
        <w:tc>
          <w:tcPr>
            <w:tcW w:w="981" w:type="pct"/>
            <w:vAlign w:val="bottom"/>
          </w:tcPr>
          <w:p w:rsidR="00000000" w:rsidRDefault="00457650" w:rsidP="00457650">
            <w:pPr>
              <w:widowControl/>
              <w:tabs>
                <w:tab w:val="left" w:pos="630"/>
              </w:tabs>
              <w:spacing w:before="40" w:after="40" w:line="280" w:lineRule="exact"/>
              <w:ind w:leftChars="50" w:left="31680" w:rightChars="50" w:right="31680"/>
              <w:jc w:val="center"/>
              <w:rPr>
                <w:sz w:val="18"/>
              </w:rPr>
            </w:pPr>
            <w:r>
              <w:rPr>
                <w:sz w:val="18"/>
              </w:rPr>
              <w:t>15</w:t>
            </w:r>
          </w:p>
        </w:tc>
      </w:tr>
      <w:tr w:rsidR="00000000">
        <w:tblPrEx>
          <w:tblCellMar>
            <w:top w:w="0" w:type="dxa"/>
            <w:bottom w:w="0" w:type="dxa"/>
          </w:tblCellMar>
        </w:tblPrEx>
        <w:trPr>
          <w:jc w:val="center"/>
        </w:trPr>
        <w:tc>
          <w:tcPr>
            <w:tcW w:w="1159" w:type="pct"/>
          </w:tcPr>
          <w:p w:rsidR="00000000" w:rsidRDefault="00457650" w:rsidP="00457650">
            <w:pPr>
              <w:widowControl/>
              <w:tabs>
                <w:tab w:val="left" w:pos="630"/>
              </w:tabs>
              <w:spacing w:before="40" w:after="40" w:line="280" w:lineRule="exact"/>
              <w:ind w:leftChars="50" w:left="31680" w:rightChars="50" w:right="31680"/>
              <w:rPr>
                <w:rFonts w:hint="eastAsia"/>
                <w:sz w:val="18"/>
              </w:rPr>
            </w:pPr>
            <w:r>
              <w:rPr>
                <w:rFonts w:hint="eastAsia"/>
                <w:sz w:val="18"/>
              </w:rPr>
              <w:t>国家教育促进委员会</w:t>
            </w:r>
          </w:p>
        </w:tc>
        <w:tc>
          <w:tcPr>
            <w:tcW w:w="2860" w:type="pct"/>
          </w:tcPr>
          <w:p w:rsidR="00000000" w:rsidRDefault="00457650" w:rsidP="00457650">
            <w:pPr>
              <w:widowControl/>
              <w:tabs>
                <w:tab w:val="left" w:pos="630"/>
              </w:tabs>
              <w:spacing w:before="40" w:after="40" w:line="280" w:lineRule="exact"/>
              <w:ind w:leftChars="50" w:left="31680" w:rightChars="50" w:right="31680"/>
              <w:rPr>
                <w:rFonts w:hint="eastAsia"/>
                <w:sz w:val="18"/>
              </w:rPr>
            </w:pPr>
            <w:r>
              <w:rPr>
                <w:rFonts w:hint="eastAsia"/>
                <w:sz w:val="18"/>
              </w:rPr>
              <w:t>向中学过渡。支持在性别平等的情况下提供中等教育的行动</w:t>
            </w:r>
          </w:p>
        </w:tc>
        <w:tc>
          <w:tcPr>
            <w:tcW w:w="981" w:type="pct"/>
            <w:vAlign w:val="bottom"/>
          </w:tcPr>
          <w:p w:rsidR="00000000" w:rsidRDefault="00457650" w:rsidP="00457650">
            <w:pPr>
              <w:widowControl/>
              <w:tabs>
                <w:tab w:val="left" w:pos="630"/>
              </w:tabs>
              <w:spacing w:before="40" w:after="40" w:line="280" w:lineRule="exact"/>
              <w:ind w:leftChars="50" w:left="31680" w:rightChars="50" w:right="31680"/>
              <w:jc w:val="center"/>
              <w:rPr>
                <w:sz w:val="18"/>
              </w:rPr>
            </w:pPr>
            <w:r>
              <w:rPr>
                <w:sz w:val="18"/>
              </w:rPr>
              <w:t>2</w:t>
            </w:r>
          </w:p>
        </w:tc>
      </w:tr>
      <w:tr w:rsidR="00000000">
        <w:tblPrEx>
          <w:tblCellMar>
            <w:top w:w="0" w:type="dxa"/>
            <w:bottom w:w="0" w:type="dxa"/>
          </w:tblCellMar>
        </w:tblPrEx>
        <w:trPr>
          <w:cantSplit/>
          <w:jc w:val="center"/>
        </w:trPr>
        <w:tc>
          <w:tcPr>
            <w:tcW w:w="1159" w:type="pct"/>
            <w:vMerge w:val="restart"/>
          </w:tcPr>
          <w:p w:rsidR="00000000" w:rsidRDefault="00457650" w:rsidP="00457650">
            <w:pPr>
              <w:widowControl/>
              <w:tabs>
                <w:tab w:val="left" w:pos="630"/>
              </w:tabs>
              <w:spacing w:before="40" w:after="40" w:line="280" w:lineRule="exact"/>
              <w:ind w:leftChars="50" w:left="31680" w:rightChars="50" w:right="31680"/>
              <w:rPr>
                <w:rFonts w:hint="eastAsia"/>
                <w:sz w:val="18"/>
              </w:rPr>
            </w:pPr>
            <w:r>
              <w:rPr>
                <w:rFonts w:hint="eastAsia"/>
                <w:sz w:val="18"/>
              </w:rPr>
              <w:t>联邦选举机构</w:t>
            </w:r>
          </w:p>
        </w:tc>
        <w:tc>
          <w:tcPr>
            <w:tcW w:w="2860" w:type="pct"/>
          </w:tcPr>
          <w:p w:rsidR="00000000" w:rsidRDefault="00457650" w:rsidP="00457650">
            <w:pPr>
              <w:widowControl/>
              <w:tabs>
                <w:tab w:val="left" w:pos="630"/>
              </w:tabs>
              <w:spacing w:before="40" w:after="40" w:line="280" w:lineRule="exact"/>
              <w:ind w:leftChars="50" w:left="31680" w:rightChars="50" w:right="31680"/>
              <w:rPr>
                <w:rFonts w:hint="eastAsia"/>
                <w:sz w:val="18"/>
              </w:rPr>
            </w:pPr>
            <w:r>
              <w:rPr>
                <w:rFonts w:hint="eastAsia"/>
                <w:sz w:val="18"/>
              </w:rPr>
              <w:t>在学前教育中培养讲礼貌和讲道德的品德。民主的参与</w:t>
            </w:r>
          </w:p>
        </w:tc>
        <w:tc>
          <w:tcPr>
            <w:tcW w:w="981" w:type="pct"/>
            <w:vAlign w:val="bottom"/>
          </w:tcPr>
          <w:p w:rsidR="00000000" w:rsidRDefault="00457650" w:rsidP="00457650">
            <w:pPr>
              <w:widowControl/>
              <w:tabs>
                <w:tab w:val="left" w:pos="630"/>
              </w:tabs>
              <w:spacing w:before="40" w:after="40" w:line="280" w:lineRule="exact"/>
              <w:ind w:leftChars="50" w:left="31680" w:rightChars="50" w:right="31680"/>
              <w:jc w:val="center"/>
              <w:rPr>
                <w:sz w:val="18"/>
              </w:rPr>
            </w:pPr>
            <w:r>
              <w:rPr>
                <w:sz w:val="18"/>
              </w:rPr>
              <w:t>5</w:t>
            </w:r>
          </w:p>
        </w:tc>
      </w:tr>
      <w:tr w:rsidR="00000000">
        <w:tblPrEx>
          <w:tblCellMar>
            <w:top w:w="0" w:type="dxa"/>
            <w:bottom w:w="0" w:type="dxa"/>
          </w:tblCellMar>
        </w:tblPrEx>
        <w:trPr>
          <w:cantSplit/>
          <w:jc w:val="center"/>
        </w:trPr>
        <w:tc>
          <w:tcPr>
            <w:tcW w:w="1159" w:type="pct"/>
            <w:vMerge/>
          </w:tcPr>
          <w:p w:rsidR="00000000" w:rsidRDefault="00457650" w:rsidP="00457650">
            <w:pPr>
              <w:widowControl/>
              <w:tabs>
                <w:tab w:val="left" w:pos="630"/>
              </w:tabs>
              <w:spacing w:before="40" w:after="40" w:line="280" w:lineRule="exact"/>
              <w:ind w:leftChars="50" w:left="31680" w:rightChars="50" w:right="31680"/>
              <w:rPr>
                <w:sz w:val="18"/>
              </w:rPr>
            </w:pPr>
          </w:p>
        </w:tc>
        <w:tc>
          <w:tcPr>
            <w:tcW w:w="2860" w:type="pct"/>
          </w:tcPr>
          <w:p w:rsidR="00000000" w:rsidRDefault="00457650" w:rsidP="00457650">
            <w:pPr>
              <w:widowControl/>
              <w:tabs>
                <w:tab w:val="left" w:pos="630"/>
              </w:tabs>
              <w:spacing w:before="40" w:after="40" w:line="280" w:lineRule="exact"/>
              <w:ind w:leftChars="50" w:left="31680" w:rightChars="50" w:right="31680"/>
              <w:rPr>
                <w:rFonts w:hint="eastAsia"/>
                <w:sz w:val="18"/>
              </w:rPr>
            </w:pPr>
            <w:r>
              <w:rPr>
                <w:rFonts w:hint="eastAsia"/>
                <w:sz w:val="18"/>
              </w:rPr>
              <w:t>幼儿园：一个培养民主参与能力的地方</w:t>
            </w:r>
          </w:p>
        </w:tc>
        <w:tc>
          <w:tcPr>
            <w:tcW w:w="981" w:type="pct"/>
            <w:vAlign w:val="bottom"/>
          </w:tcPr>
          <w:p w:rsidR="00000000" w:rsidRDefault="00457650" w:rsidP="00457650">
            <w:pPr>
              <w:widowControl/>
              <w:tabs>
                <w:tab w:val="left" w:pos="630"/>
              </w:tabs>
              <w:spacing w:before="40" w:after="40" w:line="280" w:lineRule="exact"/>
              <w:ind w:leftChars="50" w:left="31680" w:rightChars="50" w:right="31680"/>
              <w:jc w:val="center"/>
              <w:rPr>
                <w:sz w:val="18"/>
              </w:rPr>
            </w:pPr>
            <w:r>
              <w:rPr>
                <w:sz w:val="18"/>
              </w:rPr>
              <w:t>4</w:t>
            </w:r>
          </w:p>
        </w:tc>
      </w:tr>
      <w:tr w:rsidR="00000000">
        <w:tblPrEx>
          <w:tblCellMar>
            <w:top w:w="0" w:type="dxa"/>
            <w:bottom w:w="0" w:type="dxa"/>
          </w:tblCellMar>
        </w:tblPrEx>
        <w:trPr>
          <w:cantSplit/>
          <w:jc w:val="center"/>
        </w:trPr>
        <w:tc>
          <w:tcPr>
            <w:tcW w:w="1159" w:type="pct"/>
            <w:vMerge/>
          </w:tcPr>
          <w:p w:rsidR="00000000" w:rsidRDefault="00457650" w:rsidP="00457650">
            <w:pPr>
              <w:widowControl/>
              <w:tabs>
                <w:tab w:val="left" w:pos="630"/>
              </w:tabs>
              <w:spacing w:before="40" w:after="40" w:line="280" w:lineRule="exact"/>
              <w:ind w:leftChars="50" w:left="31680" w:rightChars="50" w:right="31680"/>
              <w:rPr>
                <w:sz w:val="18"/>
              </w:rPr>
            </w:pPr>
          </w:p>
        </w:tc>
        <w:tc>
          <w:tcPr>
            <w:tcW w:w="2860" w:type="pct"/>
          </w:tcPr>
          <w:p w:rsidR="00000000" w:rsidRDefault="00457650" w:rsidP="00457650">
            <w:pPr>
              <w:widowControl/>
              <w:tabs>
                <w:tab w:val="left" w:pos="630"/>
              </w:tabs>
              <w:spacing w:before="40" w:after="40" w:line="280" w:lineRule="exact"/>
              <w:ind w:leftChars="50" w:left="31680" w:rightChars="50" w:right="31680"/>
              <w:rPr>
                <w:rFonts w:hint="eastAsia"/>
                <w:sz w:val="18"/>
              </w:rPr>
            </w:pPr>
            <w:r>
              <w:rPr>
                <w:rFonts w:hint="eastAsia"/>
                <w:sz w:val="18"/>
              </w:rPr>
              <w:t>在接受初等教育的学生中培养讲礼貌和讲道德的基本要素</w:t>
            </w:r>
          </w:p>
        </w:tc>
        <w:tc>
          <w:tcPr>
            <w:tcW w:w="981" w:type="pct"/>
            <w:vAlign w:val="bottom"/>
          </w:tcPr>
          <w:p w:rsidR="00000000" w:rsidRDefault="00457650" w:rsidP="00457650">
            <w:pPr>
              <w:widowControl/>
              <w:tabs>
                <w:tab w:val="left" w:pos="630"/>
              </w:tabs>
              <w:spacing w:before="40" w:after="40" w:line="280" w:lineRule="exact"/>
              <w:ind w:leftChars="50" w:left="31680" w:rightChars="50" w:right="31680"/>
              <w:jc w:val="center"/>
              <w:rPr>
                <w:sz w:val="18"/>
              </w:rPr>
            </w:pPr>
            <w:r>
              <w:rPr>
                <w:sz w:val="18"/>
              </w:rPr>
              <w:t>6</w:t>
            </w:r>
          </w:p>
        </w:tc>
      </w:tr>
      <w:tr w:rsidR="00000000">
        <w:tblPrEx>
          <w:tblCellMar>
            <w:top w:w="0" w:type="dxa"/>
            <w:bottom w:w="0" w:type="dxa"/>
          </w:tblCellMar>
        </w:tblPrEx>
        <w:trPr>
          <w:cantSplit/>
          <w:jc w:val="center"/>
        </w:trPr>
        <w:tc>
          <w:tcPr>
            <w:tcW w:w="1159" w:type="pct"/>
            <w:vMerge w:val="restart"/>
          </w:tcPr>
          <w:p w:rsidR="00000000" w:rsidRDefault="00457650" w:rsidP="00457650">
            <w:pPr>
              <w:widowControl/>
              <w:tabs>
                <w:tab w:val="left" w:pos="630"/>
              </w:tabs>
              <w:spacing w:before="40" w:after="40" w:line="280" w:lineRule="exact"/>
              <w:ind w:leftChars="50" w:left="31680" w:rightChars="50" w:right="31680"/>
              <w:rPr>
                <w:rFonts w:hint="eastAsia"/>
                <w:sz w:val="18"/>
              </w:rPr>
            </w:pPr>
            <w:r>
              <w:rPr>
                <w:rFonts w:hint="eastAsia"/>
                <w:sz w:val="18"/>
              </w:rPr>
              <w:t>双语文化间教育一般协调机构</w:t>
            </w:r>
          </w:p>
        </w:tc>
        <w:tc>
          <w:tcPr>
            <w:tcW w:w="2860" w:type="pct"/>
          </w:tcPr>
          <w:p w:rsidR="00000000" w:rsidRDefault="00457650" w:rsidP="00457650">
            <w:pPr>
              <w:widowControl/>
              <w:tabs>
                <w:tab w:val="left" w:pos="630"/>
              </w:tabs>
              <w:spacing w:before="40" w:after="40" w:line="280" w:lineRule="exact"/>
              <w:ind w:leftChars="50" w:left="31680" w:rightChars="50" w:right="31680"/>
              <w:rPr>
                <w:rFonts w:hint="eastAsia"/>
                <w:sz w:val="18"/>
              </w:rPr>
            </w:pPr>
            <w:r>
              <w:rPr>
                <w:rFonts w:hint="eastAsia"/>
                <w:sz w:val="18"/>
              </w:rPr>
              <w:t>学前班的教育和多样性</w:t>
            </w:r>
          </w:p>
        </w:tc>
        <w:tc>
          <w:tcPr>
            <w:tcW w:w="981" w:type="pct"/>
            <w:vAlign w:val="bottom"/>
          </w:tcPr>
          <w:p w:rsidR="00000000" w:rsidRDefault="00457650" w:rsidP="00457650">
            <w:pPr>
              <w:widowControl/>
              <w:tabs>
                <w:tab w:val="left" w:pos="630"/>
              </w:tabs>
              <w:spacing w:before="40" w:after="40" w:line="280" w:lineRule="exact"/>
              <w:ind w:leftChars="50" w:left="31680" w:rightChars="50" w:right="31680"/>
              <w:jc w:val="center"/>
              <w:rPr>
                <w:sz w:val="18"/>
              </w:rPr>
            </w:pPr>
            <w:r>
              <w:rPr>
                <w:sz w:val="18"/>
              </w:rPr>
              <w:t>11</w:t>
            </w:r>
          </w:p>
        </w:tc>
      </w:tr>
      <w:tr w:rsidR="00000000">
        <w:tblPrEx>
          <w:tblCellMar>
            <w:top w:w="0" w:type="dxa"/>
            <w:bottom w:w="0" w:type="dxa"/>
          </w:tblCellMar>
        </w:tblPrEx>
        <w:trPr>
          <w:cantSplit/>
          <w:jc w:val="center"/>
        </w:trPr>
        <w:tc>
          <w:tcPr>
            <w:tcW w:w="1159" w:type="pct"/>
            <w:vMerge/>
          </w:tcPr>
          <w:p w:rsidR="00000000" w:rsidRDefault="00457650" w:rsidP="00457650">
            <w:pPr>
              <w:widowControl/>
              <w:tabs>
                <w:tab w:val="left" w:pos="630"/>
              </w:tabs>
              <w:spacing w:before="40" w:after="40" w:line="280" w:lineRule="exact"/>
              <w:ind w:leftChars="50" w:left="31680" w:rightChars="50" w:right="31680"/>
              <w:rPr>
                <w:sz w:val="18"/>
              </w:rPr>
            </w:pPr>
          </w:p>
        </w:tc>
        <w:tc>
          <w:tcPr>
            <w:tcW w:w="2860" w:type="pct"/>
          </w:tcPr>
          <w:p w:rsidR="00000000" w:rsidRDefault="00457650" w:rsidP="00457650">
            <w:pPr>
              <w:widowControl/>
              <w:tabs>
                <w:tab w:val="left" w:pos="630"/>
              </w:tabs>
              <w:spacing w:before="40" w:after="40" w:line="280" w:lineRule="exact"/>
              <w:ind w:leftChars="50" w:left="31680" w:rightChars="50" w:right="31680"/>
              <w:rPr>
                <w:rFonts w:hint="eastAsia"/>
                <w:sz w:val="18"/>
              </w:rPr>
            </w:pPr>
            <w:r>
              <w:rPr>
                <w:rFonts w:hint="eastAsia"/>
                <w:sz w:val="18"/>
              </w:rPr>
              <w:t>为实现多样化教育须培养一支具有高超教学水平的教师队伍</w:t>
            </w:r>
          </w:p>
        </w:tc>
        <w:tc>
          <w:tcPr>
            <w:tcW w:w="981" w:type="pct"/>
            <w:vAlign w:val="bottom"/>
          </w:tcPr>
          <w:p w:rsidR="00000000" w:rsidRDefault="00457650" w:rsidP="00457650">
            <w:pPr>
              <w:widowControl/>
              <w:tabs>
                <w:tab w:val="left" w:pos="630"/>
              </w:tabs>
              <w:spacing w:before="40" w:after="40" w:line="280" w:lineRule="exact"/>
              <w:ind w:leftChars="50" w:left="31680" w:rightChars="50" w:right="31680"/>
              <w:jc w:val="center"/>
              <w:rPr>
                <w:sz w:val="18"/>
              </w:rPr>
            </w:pPr>
            <w:r>
              <w:rPr>
                <w:sz w:val="18"/>
              </w:rPr>
              <w:t>4</w:t>
            </w:r>
          </w:p>
        </w:tc>
      </w:tr>
      <w:tr w:rsidR="00000000">
        <w:tblPrEx>
          <w:tblCellMar>
            <w:top w:w="0" w:type="dxa"/>
            <w:bottom w:w="0" w:type="dxa"/>
          </w:tblCellMar>
        </w:tblPrEx>
        <w:trPr>
          <w:cantSplit/>
          <w:jc w:val="center"/>
        </w:trPr>
        <w:tc>
          <w:tcPr>
            <w:tcW w:w="1159" w:type="pct"/>
            <w:vMerge/>
          </w:tcPr>
          <w:p w:rsidR="00000000" w:rsidRDefault="00457650" w:rsidP="00457650">
            <w:pPr>
              <w:widowControl/>
              <w:tabs>
                <w:tab w:val="left" w:pos="630"/>
              </w:tabs>
              <w:spacing w:before="40" w:after="40" w:line="280" w:lineRule="exact"/>
              <w:ind w:leftChars="50" w:left="31680" w:rightChars="50" w:right="31680"/>
              <w:rPr>
                <w:sz w:val="18"/>
              </w:rPr>
            </w:pPr>
          </w:p>
        </w:tc>
        <w:tc>
          <w:tcPr>
            <w:tcW w:w="2860" w:type="pct"/>
          </w:tcPr>
          <w:p w:rsidR="00000000" w:rsidRDefault="00457650" w:rsidP="00457650">
            <w:pPr>
              <w:widowControl/>
              <w:tabs>
                <w:tab w:val="left" w:pos="630"/>
              </w:tabs>
              <w:spacing w:before="40" w:after="40" w:line="280" w:lineRule="exact"/>
              <w:ind w:leftChars="50" w:left="31680" w:rightChars="50" w:right="31680"/>
              <w:rPr>
                <w:rFonts w:hint="eastAsia"/>
                <w:sz w:val="18"/>
              </w:rPr>
            </w:pPr>
            <w:r>
              <w:rPr>
                <w:rFonts w:hint="eastAsia"/>
                <w:sz w:val="18"/>
              </w:rPr>
              <w:t>多样化教育</w:t>
            </w:r>
          </w:p>
        </w:tc>
        <w:tc>
          <w:tcPr>
            <w:tcW w:w="981" w:type="pct"/>
            <w:vAlign w:val="bottom"/>
          </w:tcPr>
          <w:p w:rsidR="00000000" w:rsidRDefault="00457650" w:rsidP="00457650">
            <w:pPr>
              <w:widowControl/>
              <w:tabs>
                <w:tab w:val="left" w:pos="630"/>
              </w:tabs>
              <w:spacing w:before="40" w:after="40" w:line="280" w:lineRule="exact"/>
              <w:ind w:leftChars="50" w:left="31680" w:rightChars="50" w:right="31680"/>
              <w:jc w:val="center"/>
              <w:rPr>
                <w:sz w:val="18"/>
              </w:rPr>
            </w:pPr>
            <w:r>
              <w:rPr>
                <w:sz w:val="18"/>
              </w:rPr>
              <w:t>3</w:t>
            </w:r>
          </w:p>
        </w:tc>
      </w:tr>
      <w:tr w:rsidR="00000000">
        <w:tblPrEx>
          <w:tblCellMar>
            <w:top w:w="0" w:type="dxa"/>
            <w:bottom w:w="0" w:type="dxa"/>
          </w:tblCellMar>
        </w:tblPrEx>
        <w:trPr>
          <w:cantSplit/>
          <w:jc w:val="center"/>
        </w:trPr>
        <w:tc>
          <w:tcPr>
            <w:tcW w:w="1159" w:type="pct"/>
            <w:vMerge/>
          </w:tcPr>
          <w:p w:rsidR="00000000" w:rsidRDefault="00457650" w:rsidP="00457650">
            <w:pPr>
              <w:widowControl/>
              <w:tabs>
                <w:tab w:val="left" w:pos="630"/>
              </w:tabs>
              <w:spacing w:before="40" w:after="40" w:line="280" w:lineRule="exact"/>
              <w:ind w:leftChars="50" w:left="31680" w:rightChars="50" w:right="31680"/>
              <w:rPr>
                <w:sz w:val="18"/>
              </w:rPr>
            </w:pPr>
          </w:p>
        </w:tc>
        <w:tc>
          <w:tcPr>
            <w:tcW w:w="2860" w:type="pct"/>
          </w:tcPr>
          <w:p w:rsidR="00000000" w:rsidRDefault="00457650" w:rsidP="00457650">
            <w:pPr>
              <w:widowControl/>
              <w:tabs>
                <w:tab w:val="left" w:pos="630"/>
              </w:tabs>
              <w:spacing w:before="40" w:after="40" w:line="280" w:lineRule="exact"/>
              <w:ind w:leftChars="50" w:left="31680" w:rightChars="50" w:right="31680"/>
              <w:rPr>
                <w:rFonts w:hint="eastAsia"/>
                <w:sz w:val="18"/>
              </w:rPr>
            </w:pPr>
            <w:r>
              <w:rPr>
                <w:rFonts w:hint="eastAsia"/>
                <w:sz w:val="18"/>
              </w:rPr>
              <w:t>多样化教育的指导功能</w:t>
            </w:r>
          </w:p>
        </w:tc>
        <w:tc>
          <w:tcPr>
            <w:tcW w:w="981" w:type="pct"/>
            <w:vAlign w:val="bottom"/>
          </w:tcPr>
          <w:p w:rsidR="00000000" w:rsidRDefault="00457650" w:rsidP="00457650">
            <w:pPr>
              <w:widowControl/>
              <w:tabs>
                <w:tab w:val="left" w:pos="630"/>
              </w:tabs>
              <w:spacing w:before="40" w:after="40" w:line="280" w:lineRule="exact"/>
              <w:ind w:leftChars="50" w:left="31680" w:rightChars="50" w:right="31680"/>
              <w:jc w:val="center"/>
              <w:rPr>
                <w:sz w:val="18"/>
              </w:rPr>
            </w:pPr>
            <w:r>
              <w:rPr>
                <w:sz w:val="18"/>
              </w:rPr>
              <w:t>5</w:t>
            </w:r>
          </w:p>
        </w:tc>
      </w:tr>
      <w:tr w:rsidR="00000000">
        <w:tblPrEx>
          <w:tblCellMar>
            <w:top w:w="0" w:type="dxa"/>
            <w:bottom w:w="0" w:type="dxa"/>
          </w:tblCellMar>
        </w:tblPrEx>
        <w:trPr>
          <w:jc w:val="center"/>
        </w:trPr>
        <w:tc>
          <w:tcPr>
            <w:tcW w:w="1159" w:type="pct"/>
          </w:tcPr>
          <w:p w:rsidR="00000000" w:rsidRDefault="00457650" w:rsidP="00457650">
            <w:pPr>
              <w:widowControl/>
              <w:tabs>
                <w:tab w:val="left" w:pos="630"/>
              </w:tabs>
              <w:spacing w:before="40" w:after="40" w:line="280" w:lineRule="exact"/>
              <w:ind w:leftChars="50" w:left="31680" w:rightChars="50" w:right="31680"/>
              <w:rPr>
                <w:rFonts w:hint="eastAsia"/>
                <w:sz w:val="18"/>
              </w:rPr>
            </w:pPr>
            <w:r>
              <w:rPr>
                <w:rFonts w:hint="eastAsia"/>
                <w:sz w:val="18"/>
              </w:rPr>
              <w:t>教育研究管理总局</w:t>
            </w:r>
          </w:p>
        </w:tc>
        <w:tc>
          <w:tcPr>
            <w:tcW w:w="2860" w:type="pct"/>
          </w:tcPr>
          <w:p w:rsidR="00000000" w:rsidRDefault="00457650" w:rsidP="00457650">
            <w:pPr>
              <w:widowControl/>
              <w:tabs>
                <w:tab w:val="left" w:pos="630"/>
              </w:tabs>
              <w:spacing w:before="40" w:after="40" w:line="280" w:lineRule="exact"/>
              <w:ind w:leftChars="50" w:left="31680" w:rightChars="50" w:right="31680"/>
              <w:rPr>
                <w:rFonts w:hint="eastAsia"/>
                <w:sz w:val="18"/>
              </w:rPr>
            </w:pPr>
            <w:r>
              <w:rPr>
                <w:rFonts w:hint="eastAsia"/>
                <w:sz w:val="18"/>
              </w:rPr>
              <w:t>特殊和正规教育中教师综合教育进修课程</w:t>
            </w:r>
          </w:p>
        </w:tc>
        <w:tc>
          <w:tcPr>
            <w:tcW w:w="981" w:type="pct"/>
            <w:vAlign w:val="bottom"/>
          </w:tcPr>
          <w:p w:rsidR="00000000" w:rsidRDefault="00457650" w:rsidP="00457650">
            <w:pPr>
              <w:widowControl/>
              <w:tabs>
                <w:tab w:val="left" w:pos="630"/>
              </w:tabs>
              <w:spacing w:before="40" w:after="40" w:line="280" w:lineRule="exact"/>
              <w:ind w:leftChars="50" w:left="31680" w:rightChars="50" w:right="31680"/>
              <w:jc w:val="center"/>
              <w:rPr>
                <w:sz w:val="18"/>
              </w:rPr>
            </w:pPr>
            <w:r>
              <w:rPr>
                <w:sz w:val="18"/>
              </w:rPr>
              <w:t>15</w:t>
            </w:r>
          </w:p>
        </w:tc>
      </w:tr>
      <w:tr w:rsidR="00000000">
        <w:tblPrEx>
          <w:tblCellMar>
            <w:top w:w="0" w:type="dxa"/>
            <w:bottom w:w="0" w:type="dxa"/>
          </w:tblCellMar>
        </w:tblPrEx>
        <w:trPr>
          <w:jc w:val="center"/>
        </w:trPr>
        <w:tc>
          <w:tcPr>
            <w:tcW w:w="1159" w:type="pct"/>
          </w:tcPr>
          <w:p w:rsidR="00000000" w:rsidRDefault="00457650" w:rsidP="00457650">
            <w:pPr>
              <w:widowControl/>
              <w:tabs>
                <w:tab w:val="left" w:pos="630"/>
              </w:tabs>
              <w:spacing w:before="40" w:after="40" w:line="280" w:lineRule="exact"/>
              <w:ind w:leftChars="50" w:left="31680" w:rightChars="50" w:right="31680"/>
              <w:rPr>
                <w:sz w:val="18"/>
              </w:rPr>
            </w:pPr>
            <w:r>
              <w:rPr>
                <w:rFonts w:hint="eastAsia"/>
                <w:spacing w:val="-2"/>
                <w:sz w:val="18"/>
                <w:szCs w:val="18"/>
              </w:rPr>
              <w:t>韦拉克鲁斯</w:t>
            </w:r>
            <w:r>
              <w:rPr>
                <w:rStyle w:val="FootnoteReference"/>
                <w:color w:val="000000"/>
                <w:sz w:val="18"/>
              </w:rPr>
              <w:footnoteReference w:id="25"/>
              <w:t>24</w:t>
            </w:r>
          </w:p>
        </w:tc>
        <w:tc>
          <w:tcPr>
            <w:tcW w:w="2860" w:type="pct"/>
          </w:tcPr>
          <w:p w:rsidR="00000000" w:rsidRDefault="00457650" w:rsidP="00457650">
            <w:pPr>
              <w:widowControl/>
              <w:tabs>
                <w:tab w:val="left" w:pos="630"/>
              </w:tabs>
              <w:spacing w:before="40" w:after="40" w:line="280" w:lineRule="exact"/>
              <w:ind w:leftChars="50" w:left="31680" w:rightChars="50" w:right="31680"/>
              <w:rPr>
                <w:rFonts w:hint="eastAsia"/>
                <w:sz w:val="18"/>
              </w:rPr>
            </w:pPr>
            <w:r>
              <w:rPr>
                <w:rFonts w:hint="eastAsia"/>
                <w:sz w:val="18"/>
              </w:rPr>
              <w:t>针对幼儿园阶段有特殊教育需求的儿童与家长合作的基本方面和支持策略</w:t>
            </w:r>
          </w:p>
        </w:tc>
        <w:tc>
          <w:tcPr>
            <w:tcW w:w="981" w:type="pct"/>
            <w:vAlign w:val="bottom"/>
          </w:tcPr>
          <w:p w:rsidR="00000000" w:rsidRDefault="00457650" w:rsidP="00457650">
            <w:pPr>
              <w:widowControl/>
              <w:tabs>
                <w:tab w:val="left" w:pos="630"/>
              </w:tabs>
              <w:spacing w:before="40" w:after="40" w:line="280" w:lineRule="exact"/>
              <w:ind w:leftChars="50" w:left="31680" w:rightChars="50" w:right="31680"/>
              <w:jc w:val="center"/>
              <w:rPr>
                <w:sz w:val="18"/>
              </w:rPr>
            </w:pPr>
            <w:r>
              <w:rPr>
                <w:sz w:val="18"/>
              </w:rPr>
              <w:t>19</w:t>
            </w:r>
          </w:p>
        </w:tc>
      </w:tr>
    </w:tbl>
    <w:p w:rsidR="00000000" w:rsidRDefault="00457650">
      <w:pPr>
        <w:widowControl/>
        <w:tabs>
          <w:tab w:val="left" w:pos="630"/>
        </w:tabs>
        <w:spacing w:after="240" w:line="360" w:lineRule="exact"/>
        <w:rPr>
          <w:rFonts w:hint="eastAsia"/>
          <w:sz w:val="18"/>
        </w:rPr>
      </w:pPr>
      <w:r>
        <w:rPr>
          <w:rFonts w:ascii="KaiTi_GB2312" w:eastAsia="KaiTi_GB2312" w:hint="eastAsia"/>
          <w:iCs/>
          <w:sz w:val="18"/>
        </w:rPr>
        <w:t>资料来源</w:t>
      </w:r>
      <w:r>
        <w:rPr>
          <w:rFonts w:ascii="KaiTi_GB2312" w:eastAsia="KaiTi_GB2312"/>
          <w:iCs/>
          <w:sz w:val="18"/>
        </w:rPr>
        <w:t>:</w:t>
      </w:r>
      <w:r>
        <w:rPr>
          <w:sz w:val="18"/>
        </w:rPr>
        <w:t xml:space="preserve"> </w:t>
      </w:r>
      <w:r>
        <w:rPr>
          <w:rFonts w:hint="eastAsia"/>
          <w:sz w:val="18"/>
        </w:rPr>
        <w:t>社</w:t>
      </w:r>
      <w:r>
        <w:rPr>
          <w:rFonts w:hint="eastAsia"/>
          <w:sz w:val="18"/>
        </w:rPr>
        <w:t>会发展部。</w:t>
      </w:r>
    </w:p>
    <w:p w:rsidR="00000000" w:rsidRDefault="00457650">
      <w:pPr>
        <w:keepNext/>
        <w:widowControl/>
        <w:tabs>
          <w:tab w:val="left" w:pos="630"/>
        </w:tabs>
        <w:spacing w:after="240" w:line="360" w:lineRule="exact"/>
        <w:rPr>
          <w:rFonts w:eastAsia="SimHei" w:hint="eastAsia"/>
          <w:szCs w:val="21"/>
        </w:rPr>
      </w:pPr>
      <w:r>
        <w:rPr>
          <w:rFonts w:eastAsia="SimHei" w:hint="eastAsia"/>
          <w:szCs w:val="21"/>
        </w:rPr>
        <w:tab/>
      </w:r>
      <w:r>
        <w:rPr>
          <w:rFonts w:eastAsia="SimHei" w:hint="eastAsia"/>
          <w:szCs w:val="21"/>
        </w:rPr>
        <w:t>州进修课程</w:t>
      </w:r>
    </w:p>
    <w:p w:rsidR="00000000" w:rsidRDefault="00457650">
      <w:pPr>
        <w:keepNext/>
        <w:widowControl/>
        <w:tabs>
          <w:tab w:val="left" w:pos="630"/>
        </w:tabs>
        <w:spacing w:after="240" w:line="360" w:lineRule="exact"/>
        <w:rPr>
          <w:rFonts w:hint="eastAsia"/>
        </w:rPr>
      </w:pPr>
      <w:r>
        <w:t>1217.</w:t>
      </w:r>
      <w:r>
        <w:tab/>
      </w:r>
      <w:r>
        <w:rPr>
          <w:rFonts w:hint="eastAsia"/>
        </w:rPr>
        <w:t>这些课程是墨西哥基础教育教师获得进修机会的条件之一，为提高他们职业水平营造了一个重要空间。</w:t>
      </w:r>
    </w:p>
    <w:p w:rsidR="00000000" w:rsidRDefault="00457650">
      <w:pPr>
        <w:widowControl/>
        <w:tabs>
          <w:tab w:val="left" w:pos="630"/>
        </w:tabs>
        <w:spacing w:after="240" w:line="360" w:lineRule="exact"/>
        <w:rPr>
          <w:rFonts w:hint="eastAsia"/>
        </w:rPr>
      </w:pPr>
      <w:r>
        <w:t>1218.</w:t>
      </w:r>
      <w:r>
        <w:tab/>
      </w:r>
      <w:r>
        <w:rPr>
          <w:rFonts w:hint="eastAsia"/>
        </w:rPr>
        <w:t>州进修课程是由各联邦州教育当局设计、组织并授课的学习项目。为了确保这些建议的学术质量，公共教育部通过一个评估程序，对他们的准备和检验提供总体指导。</w:t>
      </w:r>
    </w:p>
    <w:p w:rsidR="00000000" w:rsidRDefault="00457650">
      <w:pPr>
        <w:widowControl/>
        <w:tabs>
          <w:tab w:val="left" w:pos="630"/>
        </w:tabs>
        <w:spacing w:after="240" w:line="360" w:lineRule="exact"/>
        <w:rPr>
          <w:rFonts w:hint="eastAsia"/>
        </w:rPr>
      </w:pPr>
      <w:r>
        <w:t>1219.</w:t>
      </w:r>
      <w:r>
        <w:tab/>
      </w:r>
      <w:r>
        <w:rPr>
          <w:rFonts w:hint="eastAsia"/>
        </w:rPr>
        <w:t>这些课程采用一种直接方式或以当堂授课为基础，使用一本介绍性的文件，一本提高指南，以及诸如笔记、文选、卡片索引和学习辅导之类为参与者准备的多种材料。</w:t>
      </w:r>
    </w:p>
    <w:p w:rsidR="00000000" w:rsidRDefault="00457650">
      <w:pPr>
        <w:widowControl/>
        <w:tabs>
          <w:tab w:val="left" w:pos="630"/>
        </w:tabs>
        <w:spacing w:after="240" w:line="360" w:lineRule="exact"/>
      </w:pPr>
      <w:r>
        <w:t>1220.</w:t>
      </w:r>
      <w:r>
        <w:tab/>
      </w:r>
      <w:r>
        <w:rPr>
          <w:rFonts w:hint="eastAsia"/>
        </w:rPr>
        <w:t>进行课程一般为期</w:t>
      </w:r>
      <w:r>
        <w:t>30</w:t>
      </w:r>
      <w:r>
        <w:rPr>
          <w:rFonts w:hint="eastAsia"/>
        </w:rPr>
        <w:t>到</w:t>
      </w:r>
      <w:r>
        <w:t>40</w:t>
      </w:r>
      <w:r>
        <w:rPr>
          <w:rFonts w:hint="eastAsia"/>
        </w:rPr>
        <w:t>个小时，通常在</w:t>
      </w:r>
      <w:r>
        <w:t>11</w:t>
      </w:r>
      <w:r>
        <w:rPr>
          <w:rFonts w:hint="eastAsia"/>
        </w:rPr>
        <w:t>月到</w:t>
      </w:r>
      <w:r>
        <w:t>5</w:t>
      </w:r>
      <w:r>
        <w:rPr>
          <w:rFonts w:hint="eastAsia"/>
        </w:rPr>
        <w:t>月间进行。根据每位参与者在此期间所完成的各项任务制定正式的评估程序。</w:t>
      </w:r>
      <w: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42"/>
        <w:gridCol w:w="7918"/>
      </w:tblGrid>
      <w:tr w:rsidR="00000000">
        <w:tblPrEx>
          <w:tblCellMar>
            <w:top w:w="0" w:type="dxa"/>
            <w:bottom w:w="0" w:type="dxa"/>
          </w:tblCellMar>
        </w:tblPrEx>
        <w:trPr>
          <w:tblHeader/>
          <w:jc w:val="center"/>
        </w:trPr>
        <w:tc>
          <w:tcPr>
            <w:tcW w:w="985" w:type="pct"/>
          </w:tcPr>
          <w:p w:rsidR="00000000" w:rsidRDefault="00457650" w:rsidP="00457650">
            <w:pPr>
              <w:widowControl/>
              <w:tabs>
                <w:tab w:val="left" w:pos="630"/>
              </w:tabs>
              <w:spacing w:before="60" w:after="60" w:line="320" w:lineRule="exact"/>
              <w:ind w:leftChars="50" w:left="31680" w:rightChars="50" w:right="31680"/>
              <w:jc w:val="center"/>
              <w:rPr>
                <w:rFonts w:hint="eastAsia"/>
                <w:i/>
                <w:sz w:val="18"/>
              </w:rPr>
            </w:pPr>
            <w:r>
              <w:rPr>
                <w:rFonts w:ascii="KaiTi_GB2312" w:eastAsia="KaiTi_GB2312"/>
                <w:sz w:val="18"/>
              </w:rPr>
              <w:br w:type="page"/>
            </w:r>
            <w:r>
              <w:rPr>
                <w:rFonts w:ascii="KaiTi_GB2312" w:eastAsia="KaiTi_GB2312"/>
                <w:sz w:val="18"/>
              </w:rPr>
              <w:br w:type="page"/>
            </w:r>
            <w:r>
              <w:rPr>
                <w:rFonts w:ascii="KaiTi_GB2312" w:eastAsia="KaiTi_GB2312"/>
                <w:sz w:val="18"/>
              </w:rPr>
              <w:br w:type="page"/>
            </w:r>
            <w:r>
              <w:rPr>
                <w:rFonts w:ascii="KaiTi_GB2312" w:eastAsia="KaiTi_GB2312"/>
                <w:sz w:val="18"/>
              </w:rPr>
              <w:br w:type="page"/>
            </w:r>
            <w:r>
              <w:rPr>
                <w:rFonts w:ascii="KaiTi_GB2312" w:eastAsia="KaiTi_GB2312"/>
                <w:sz w:val="18"/>
              </w:rPr>
              <w:br w:type="page"/>
            </w:r>
            <w:r>
              <w:rPr>
                <w:rFonts w:ascii="KaiTi_GB2312" w:eastAsia="KaiTi_GB2312" w:hint="eastAsia"/>
                <w:sz w:val="18"/>
              </w:rPr>
              <w:t>州名</w:t>
            </w:r>
          </w:p>
        </w:tc>
        <w:tc>
          <w:tcPr>
            <w:tcW w:w="4015" w:type="pct"/>
            <w:vAlign w:val="center"/>
          </w:tcPr>
          <w:p w:rsidR="00000000" w:rsidRDefault="00457650" w:rsidP="00457650">
            <w:pPr>
              <w:pStyle w:val="a3"/>
              <w:widowControl/>
              <w:tabs>
                <w:tab w:val="left" w:pos="630"/>
              </w:tabs>
              <w:adjustRightInd w:val="0"/>
              <w:spacing w:before="60" w:after="60" w:line="320" w:lineRule="exact"/>
              <w:ind w:leftChars="50" w:left="31680" w:rightChars="50" w:right="31680"/>
              <w:jc w:val="center"/>
              <w:textAlignment w:val="baseline"/>
              <w:rPr>
                <w:rFonts w:ascii="KaiTi_GB2312" w:eastAsia="KaiTi_GB2312" w:hint="eastAsia"/>
                <w:kern w:val="0"/>
                <w:szCs w:val="20"/>
              </w:rPr>
            </w:pPr>
            <w:r>
              <w:rPr>
                <w:rFonts w:ascii="KaiTi_GB2312" w:eastAsia="KaiTi_GB2312" w:hint="eastAsia"/>
                <w:kern w:val="0"/>
                <w:szCs w:val="20"/>
              </w:rPr>
              <w:t>课程</w:t>
            </w:r>
          </w:p>
        </w:tc>
      </w:tr>
      <w:tr w:rsidR="00000000">
        <w:tblPrEx>
          <w:tblCellMar>
            <w:top w:w="0" w:type="dxa"/>
            <w:bottom w:w="0" w:type="dxa"/>
          </w:tblCellMar>
        </w:tblPrEx>
        <w:trPr>
          <w:jc w:val="center"/>
        </w:trPr>
        <w:tc>
          <w:tcPr>
            <w:tcW w:w="985" w:type="pct"/>
          </w:tcPr>
          <w:p w:rsidR="00000000" w:rsidRDefault="00457650" w:rsidP="00457650">
            <w:pPr>
              <w:widowControl/>
              <w:tabs>
                <w:tab w:val="left" w:pos="630"/>
              </w:tabs>
              <w:spacing w:before="60" w:after="60" w:line="320" w:lineRule="exact"/>
              <w:ind w:leftChars="50" w:left="31680" w:rightChars="50" w:right="31680"/>
              <w:rPr>
                <w:sz w:val="18"/>
              </w:rPr>
            </w:pPr>
            <w:r>
              <w:rPr>
                <w:rFonts w:hint="eastAsia"/>
                <w:sz w:val="18"/>
              </w:rPr>
              <w:t>阿瓜斯卡连特斯</w:t>
            </w:r>
          </w:p>
        </w:tc>
        <w:tc>
          <w:tcPr>
            <w:tcW w:w="4015" w:type="pct"/>
          </w:tcPr>
          <w:p w:rsidR="00000000" w:rsidRDefault="00457650" w:rsidP="00457650">
            <w:pPr>
              <w:widowControl/>
              <w:tabs>
                <w:tab w:val="left" w:pos="630"/>
              </w:tabs>
              <w:spacing w:before="60" w:after="60" w:line="320" w:lineRule="exact"/>
              <w:ind w:leftChars="50" w:left="31680" w:rightChars="50" w:right="31680"/>
              <w:rPr>
                <w:rFonts w:hint="eastAsia"/>
                <w:sz w:val="18"/>
              </w:rPr>
            </w:pPr>
            <w:r>
              <w:rPr>
                <w:rFonts w:hint="eastAsia"/>
                <w:sz w:val="18"/>
              </w:rPr>
              <w:t>性别平等是基础教育共同义务的组成部分</w:t>
            </w:r>
          </w:p>
        </w:tc>
      </w:tr>
      <w:tr w:rsidR="00000000">
        <w:tblPrEx>
          <w:tblCellMar>
            <w:top w:w="0" w:type="dxa"/>
            <w:bottom w:w="0" w:type="dxa"/>
          </w:tblCellMar>
        </w:tblPrEx>
        <w:trPr>
          <w:jc w:val="center"/>
        </w:trPr>
        <w:tc>
          <w:tcPr>
            <w:tcW w:w="985" w:type="pct"/>
            <w:vAlign w:val="center"/>
          </w:tcPr>
          <w:p w:rsidR="00000000" w:rsidRDefault="00457650" w:rsidP="00457650">
            <w:pPr>
              <w:widowControl/>
              <w:tabs>
                <w:tab w:val="left" w:pos="630"/>
              </w:tabs>
              <w:spacing w:before="60" w:after="60" w:line="320" w:lineRule="exact"/>
              <w:ind w:leftChars="50" w:left="31680" w:rightChars="50" w:right="31680"/>
              <w:rPr>
                <w:sz w:val="18"/>
              </w:rPr>
            </w:pPr>
            <w:r>
              <w:rPr>
                <w:rFonts w:hint="eastAsia"/>
                <w:sz w:val="18"/>
              </w:rPr>
              <w:t>坎佩切</w:t>
            </w:r>
          </w:p>
        </w:tc>
        <w:tc>
          <w:tcPr>
            <w:tcW w:w="4015" w:type="pct"/>
          </w:tcPr>
          <w:p w:rsidR="00000000" w:rsidRDefault="00457650" w:rsidP="00457650">
            <w:pPr>
              <w:widowControl/>
              <w:tabs>
                <w:tab w:val="left" w:pos="630"/>
              </w:tabs>
              <w:spacing w:before="60" w:after="60" w:line="320" w:lineRule="exact"/>
              <w:ind w:leftChars="50" w:left="31680" w:rightChars="50" w:right="31680"/>
              <w:rPr>
                <w:rFonts w:hint="eastAsia"/>
                <w:sz w:val="18"/>
              </w:rPr>
            </w:pPr>
            <w:r>
              <w:rPr>
                <w:rFonts w:hint="eastAsia"/>
                <w:sz w:val="18"/>
              </w:rPr>
              <w:t>对有特殊教育需求的土著儿童的教学建议</w:t>
            </w:r>
          </w:p>
        </w:tc>
      </w:tr>
      <w:tr w:rsidR="00000000">
        <w:tblPrEx>
          <w:tblCellMar>
            <w:top w:w="0" w:type="dxa"/>
            <w:bottom w:w="0" w:type="dxa"/>
          </w:tblCellMar>
        </w:tblPrEx>
        <w:trPr>
          <w:jc w:val="center"/>
        </w:trPr>
        <w:tc>
          <w:tcPr>
            <w:tcW w:w="985" w:type="pct"/>
          </w:tcPr>
          <w:p w:rsidR="00000000" w:rsidRDefault="00457650" w:rsidP="00457650">
            <w:pPr>
              <w:widowControl/>
              <w:tabs>
                <w:tab w:val="left" w:pos="630"/>
              </w:tabs>
              <w:spacing w:before="60" w:after="60" w:line="320" w:lineRule="exact"/>
              <w:ind w:leftChars="50" w:left="31680" w:rightChars="50" w:right="31680"/>
              <w:rPr>
                <w:rFonts w:hint="eastAsia"/>
                <w:sz w:val="18"/>
              </w:rPr>
            </w:pPr>
            <w:r>
              <w:rPr>
                <w:rFonts w:hint="eastAsia"/>
                <w:sz w:val="18"/>
              </w:rPr>
              <w:t>联邦州</w:t>
            </w:r>
          </w:p>
        </w:tc>
        <w:tc>
          <w:tcPr>
            <w:tcW w:w="4015" w:type="pct"/>
          </w:tcPr>
          <w:p w:rsidR="00000000" w:rsidRDefault="00457650" w:rsidP="00457650">
            <w:pPr>
              <w:widowControl/>
              <w:tabs>
                <w:tab w:val="left" w:pos="630"/>
              </w:tabs>
              <w:spacing w:before="60" w:after="60" w:line="320" w:lineRule="exact"/>
              <w:ind w:leftChars="50" w:left="31680" w:rightChars="50" w:right="31680"/>
              <w:rPr>
                <w:rFonts w:hint="eastAsia"/>
                <w:sz w:val="18"/>
              </w:rPr>
            </w:pPr>
            <w:r>
              <w:rPr>
                <w:rFonts w:hint="eastAsia"/>
                <w:sz w:val="18"/>
              </w:rPr>
              <w:t>性权利和多样性</w:t>
            </w:r>
          </w:p>
        </w:tc>
      </w:tr>
      <w:tr w:rsidR="00000000">
        <w:tblPrEx>
          <w:tblCellMar>
            <w:top w:w="0" w:type="dxa"/>
            <w:bottom w:w="0" w:type="dxa"/>
          </w:tblCellMar>
        </w:tblPrEx>
        <w:trPr>
          <w:jc w:val="center"/>
        </w:trPr>
        <w:tc>
          <w:tcPr>
            <w:tcW w:w="985" w:type="pct"/>
            <w:vAlign w:val="center"/>
          </w:tcPr>
          <w:p w:rsidR="00000000" w:rsidRDefault="00457650" w:rsidP="00457650">
            <w:pPr>
              <w:widowControl/>
              <w:tabs>
                <w:tab w:val="left" w:pos="630"/>
              </w:tabs>
              <w:spacing w:before="60" w:after="60" w:line="320" w:lineRule="exact"/>
              <w:ind w:leftChars="50" w:left="31680" w:rightChars="50" w:right="31680"/>
              <w:rPr>
                <w:sz w:val="18"/>
              </w:rPr>
            </w:pPr>
            <w:r>
              <w:rPr>
                <w:rFonts w:hint="eastAsia"/>
                <w:sz w:val="18"/>
              </w:rPr>
              <w:t>格雷罗</w:t>
            </w:r>
          </w:p>
        </w:tc>
        <w:tc>
          <w:tcPr>
            <w:tcW w:w="4015" w:type="pct"/>
          </w:tcPr>
          <w:p w:rsidR="00000000" w:rsidRDefault="00457650" w:rsidP="00457650">
            <w:pPr>
              <w:widowControl/>
              <w:tabs>
                <w:tab w:val="left" w:pos="630"/>
              </w:tabs>
              <w:spacing w:before="60" w:after="60" w:line="320" w:lineRule="exact"/>
              <w:ind w:leftChars="50" w:left="31680" w:rightChars="50" w:right="31680"/>
              <w:rPr>
                <w:rFonts w:hint="eastAsia"/>
                <w:sz w:val="18"/>
              </w:rPr>
            </w:pPr>
            <w:r>
              <w:rPr>
                <w:rFonts w:hint="eastAsia"/>
                <w:sz w:val="18"/>
              </w:rPr>
              <w:t>寻找宝藏：推进重点培养价值观的教育过程</w:t>
            </w:r>
          </w:p>
        </w:tc>
      </w:tr>
      <w:tr w:rsidR="00000000">
        <w:tblPrEx>
          <w:tblCellMar>
            <w:top w:w="0" w:type="dxa"/>
            <w:bottom w:w="0" w:type="dxa"/>
          </w:tblCellMar>
        </w:tblPrEx>
        <w:trPr>
          <w:cantSplit/>
          <w:jc w:val="center"/>
        </w:trPr>
        <w:tc>
          <w:tcPr>
            <w:tcW w:w="985" w:type="pct"/>
            <w:vMerge w:val="restart"/>
            <w:vAlign w:val="center"/>
          </w:tcPr>
          <w:p w:rsidR="00000000" w:rsidRDefault="00457650" w:rsidP="00457650">
            <w:pPr>
              <w:widowControl/>
              <w:tabs>
                <w:tab w:val="left" w:pos="630"/>
              </w:tabs>
              <w:spacing w:before="60" w:after="60" w:line="320" w:lineRule="exact"/>
              <w:ind w:leftChars="50" w:left="31680" w:rightChars="50" w:right="31680"/>
              <w:rPr>
                <w:sz w:val="18"/>
              </w:rPr>
            </w:pPr>
            <w:r>
              <w:rPr>
                <w:rFonts w:hint="eastAsia"/>
                <w:sz w:val="18"/>
              </w:rPr>
              <w:t>伊达尔戈</w:t>
            </w:r>
          </w:p>
        </w:tc>
        <w:tc>
          <w:tcPr>
            <w:tcW w:w="4015" w:type="pct"/>
          </w:tcPr>
          <w:p w:rsidR="00000000" w:rsidRDefault="00457650" w:rsidP="00457650">
            <w:pPr>
              <w:widowControl/>
              <w:tabs>
                <w:tab w:val="left" w:pos="630"/>
              </w:tabs>
              <w:spacing w:before="60" w:after="60" w:line="320" w:lineRule="exact"/>
              <w:ind w:leftChars="50" w:left="31680" w:rightChars="50" w:right="31680"/>
              <w:rPr>
                <w:rFonts w:hint="eastAsia"/>
                <w:sz w:val="18"/>
              </w:rPr>
            </w:pPr>
            <w:r>
              <w:rPr>
                <w:rFonts w:hint="eastAsia"/>
                <w:sz w:val="18"/>
              </w:rPr>
              <w:t>性别平等：中小学教学实践中不可或缺的要素</w:t>
            </w:r>
          </w:p>
        </w:tc>
      </w:tr>
      <w:tr w:rsidR="00000000">
        <w:tblPrEx>
          <w:tblCellMar>
            <w:top w:w="0" w:type="dxa"/>
            <w:bottom w:w="0" w:type="dxa"/>
          </w:tblCellMar>
        </w:tblPrEx>
        <w:trPr>
          <w:cantSplit/>
          <w:jc w:val="center"/>
        </w:trPr>
        <w:tc>
          <w:tcPr>
            <w:tcW w:w="985" w:type="pct"/>
            <w:vMerge/>
            <w:vAlign w:val="center"/>
          </w:tcPr>
          <w:p w:rsidR="00000000" w:rsidRDefault="00457650" w:rsidP="00457650">
            <w:pPr>
              <w:widowControl/>
              <w:tabs>
                <w:tab w:val="left" w:pos="630"/>
              </w:tabs>
              <w:spacing w:before="60" w:after="60" w:line="320" w:lineRule="exact"/>
              <w:ind w:leftChars="50" w:left="31680" w:rightChars="50" w:right="31680"/>
              <w:rPr>
                <w:sz w:val="18"/>
              </w:rPr>
            </w:pPr>
          </w:p>
        </w:tc>
        <w:tc>
          <w:tcPr>
            <w:tcW w:w="4015" w:type="pct"/>
          </w:tcPr>
          <w:p w:rsidR="00000000" w:rsidRDefault="00457650" w:rsidP="00457650">
            <w:pPr>
              <w:widowControl/>
              <w:tabs>
                <w:tab w:val="left" w:pos="630"/>
              </w:tabs>
              <w:spacing w:before="60" w:after="60" w:line="320" w:lineRule="exact"/>
              <w:ind w:leftChars="50" w:left="31680" w:rightChars="50" w:right="31680"/>
              <w:rPr>
                <w:rFonts w:hint="eastAsia"/>
                <w:sz w:val="18"/>
              </w:rPr>
            </w:pPr>
            <w:r>
              <w:rPr>
                <w:rFonts w:hint="eastAsia"/>
                <w:sz w:val="18"/>
              </w:rPr>
              <w:t>教室：一个有利于提高对多样性价值的了解和尊重的特殊场所</w:t>
            </w:r>
          </w:p>
        </w:tc>
      </w:tr>
      <w:tr w:rsidR="00000000">
        <w:tblPrEx>
          <w:tblCellMar>
            <w:top w:w="0" w:type="dxa"/>
            <w:bottom w:w="0" w:type="dxa"/>
          </w:tblCellMar>
        </w:tblPrEx>
        <w:trPr>
          <w:jc w:val="center"/>
        </w:trPr>
        <w:tc>
          <w:tcPr>
            <w:tcW w:w="985" w:type="pct"/>
            <w:vAlign w:val="center"/>
          </w:tcPr>
          <w:p w:rsidR="00000000" w:rsidRDefault="00457650" w:rsidP="00457650">
            <w:pPr>
              <w:widowControl/>
              <w:tabs>
                <w:tab w:val="left" w:pos="630"/>
              </w:tabs>
              <w:spacing w:before="60" w:after="60" w:line="320" w:lineRule="exact"/>
              <w:ind w:leftChars="50" w:left="31680" w:rightChars="50" w:right="31680"/>
              <w:rPr>
                <w:sz w:val="18"/>
              </w:rPr>
            </w:pPr>
            <w:r>
              <w:rPr>
                <w:rFonts w:hint="eastAsia"/>
                <w:sz w:val="18"/>
              </w:rPr>
              <w:t>新莱昂</w:t>
            </w:r>
          </w:p>
        </w:tc>
        <w:tc>
          <w:tcPr>
            <w:tcW w:w="4015" w:type="pct"/>
          </w:tcPr>
          <w:p w:rsidR="00000000" w:rsidRDefault="00457650" w:rsidP="00457650">
            <w:pPr>
              <w:widowControl/>
              <w:tabs>
                <w:tab w:val="left" w:pos="630"/>
              </w:tabs>
              <w:spacing w:before="60" w:after="60" w:line="320" w:lineRule="exact"/>
              <w:ind w:leftChars="50" w:left="31680" w:rightChars="50" w:right="31680"/>
              <w:rPr>
                <w:rFonts w:hint="eastAsia"/>
                <w:sz w:val="18"/>
              </w:rPr>
            </w:pPr>
            <w:r>
              <w:rPr>
                <w:rFonts w:hint="eastAsia"/>
                <w:sz w:val="18"/>
              </w:rPr>
              <w:t>基础教育中的性别平等</w:t>
            </w:r>
          </w:p>
        </w:tc>
      </w:tr>
      <w:tr w:rsidR="00000000">
        <w:tblPrEx>
          <w:tblCellMar>
            <w:top w:w="0" w:type="dxa"/>
            <w:bottom w:w="0" w:type="dxa"/>
          </w:tblCellMar>
        </w:tblPrEx>
        <w:trPr>
          <w:jc w:val="center"/>
        </w:trPr>
        <w:tc>
          <w:tcPr>
            <w:tcW w:w="985" w:type="pct"/>
            <w:vAlign w:val="center"/>
          </w:tcPr>
          <w:p w:rsidR="00000000" w:rsidRDefault="00457650" w:rsidP="00457650">
            <w:pPr>
              <w:widowControl/>
              <w:tabs>
                <w:tab w:val="left" w:pos="630"/>
              </w:tabs>
              <w:spacing w:before="60" w:after="60" w:line="320" w:lineRule="exact"/>
              <w:ind w:leftChars="50" w:left="31680" w:rightChars="50" w:right="31680"/>
              <w:rPr>
                <w:sz w:val="18"/>
              </w:rPr>
            </w:pPr>
            <w:r>
              <w:rPr>
                <w:rFonts w:hint="eastAsia"/>
                <w:sz w:val="18"/>
              </w:rPr>
              <w:t>瓦哈卡</w:t>
            </w:r>
          </w:p>
        </w:tc>
        <w:tc>
          <w:tcPr>
            <w:tcW w:w="4015" w:type="pct"/>
          </w:tcPr>
          <w:p w:rsidR="00000000" w:rsidRDefault="00457650" w:rsidP="00457650">
            <w:pPr>
              <w:widowControl/>
              <w:tabs>
                <w:tab w:val="left" w:pos="630"/>
              </w:tabs>
              <w:spacing w:before="60" w:after="60" w:line="320" w:lineRule="exact"/>
              <w:ind w:leftChars="50" w:left="31680" w:rightChars="50" w:right="31680"/>
              <w:rPr>
                <w:rFonts w:hint="eastAsia"/>
                <w:sz w:val="18"/>
              </w:rPr>
            </w:pPr>
            <w:r>
              <w:rPr>
                <w:rFonts w:hint="eastAsia"/>
                <w:sz w:val="18"/>
              </w:rPr>
              <w:t>融入性别观点的教育。男孩和女孩在学校活动中的机会平等</w:t>
            </w:r>
          </w:p>
        </w:tc>
      </w:tr>
      <w:tr w:rsidR="00000000">
        <w:tblPrEx>
          <w:tblCellMar>
            <w:top w:w="0" w:type="dxa"/>
            <w:bottom w:w="0" w:type="dxa"/>
          </w:tblCellMar>
        </w:tblPrEx>
        <w:trPr>
          <w:jc w:val="center"/>
        </w:trPr>
        <w:tc>
          <w:tcPr>
            <w:tcW w:w="985" w:type="pct"/>
            <w:vAlign w:val="center"/>
          </w:tcPr>
          <w:p w:rsidR="00000000" w:rsidRDefault="00457650" w:rsidP="00457650">
            <w:pPr>
              <w:widowControl/>
              <w:tabs>
                <w:tab w:val="left" w:pos="630"/>
              </w:tabs>
              <w:spacing w:before="60" w:after="60" w:line="320" w:lineRule="exact"/>
              <w:ind w:leftChars="50" w:left="31680" w:rightChars="50" w:right="31680"/>
              <w:rPr>
                <w:sz w:val="18"/>
              </w:rPr>
            </w:pPr>
            <w:r>
              <w:rPr>
                <w:rFonts w:hint="eastAsia"/>
                <w:sz w:val="18"/>
              </w:rPr>
              <w:t>锡那罗亚</w:t>
            </w:r>
          </w:p>
        </w:tc>
        <w:tc>
          <w:tcPr>
            <w:tcW w:w="4015" w:type="pct"/>
          </w:tcPr>
          <w:p w:rsidR="00000000" w:rsidRDefault="00457650" w:rsidP="00457650">
            <w:pPr>
              <w:widowControl/>
              <w:tabs>
                <w:tab w:val="left" w:pos="630"/>
              </w:tabs>
              <w:spacing w:before="60" w:after="60" w:line="320" w:lineRule="exact"/>
              <w:ind w:leftChars="50" w:left="31680" w:rightChars="50" w:right="31680"/>
              <w:rPr>
                <w:rFonts w:hint="eastAsia"/>
                <w:sz w:val="18"/>
              </w:rPr>
            </w:pPr>
            <w:r>
              <w:rPr>
                <w:rFonts w:hint="eastAsia"/>
                <w:sz w:val="18"/>
              </w:rPr>
              <w:t>项目发展的基本要</w:t>
            </w:r>
            <w:r>
              <w:rPr>
                <w:rFonts w:hint="eastAsia"/>
                <w:sz w:val="18"/>
              </w:rPr>
              <w:t>素：包含在礼貌和道德培训中的内容和活动</w:t>
            </w:r>
          </w:p>
        </w:tc>
      </w:tr>
      <w:tr w:rsidR="00000000">
        <w:tblPrEx>
          <w:tblCellMar>
            <w:top w:w="0" w:type="dxa"/>
            <w:bottom w:w="0" w:type="dxa"/>
          </w:tblCellMar>
        </w:tblPrEx>
        <w:trPr>
          <w:jc w:val="center"/>
        </w:trPr>
        <w:tc>
          <w:tcPr>
            <w:tcW w:w="985" w:type="pct"/>
            <w:vAlign w:val="center"/>
          </w:tcPr>
          <w:p w:rsidR="00000000" w:rsidRDefault="00457650" w:rsidP="00457650">
            <w:pPr>
              <w:widowControl/>
              <w:tabs>
                <w:tab w:val="left" w:pos="630"/>
              </w:tabs>
              <w:spacing w:before="60" w:after="60" w:line="320" w:lineRule="exact"/>
              <w:ind w:leftChars="50" w:left="31680" w:rightChars="50" w:right="31680"/>
              <w:rPr>
                <w:sz w:val="18"/>
              </w:rPr>
            </w:pPr>
            <w:r>
              <w:rPr>
                <w:rFonts w:hint="eastAsia"/>
                <w:sz w:val="18"/>
              </w:rPr>
              <w:t>特拉斯卡拉</w:t>
            </w:r>
          </w:p>
        </w:tc>
        <w:tc>
          <w:tcPr>
            <w:tcW w:w="4015" w:type="pct"/>
          </w:tcPr>
          <w:p w:rsidR="00000000" w:rsidRDefault="00457650" w:rsidP="00457650">
            <w:pPr>
              <w:widowControl/>
              <w:tabs>
                <w:tab w:val="left" w:pos="630"/>
              </w:tabs>
              <w:spacing w:before="60" w:after="60" w:line="320" w:lineRule="exact"/>
              <w:ind w:leftChars="50" w:left="31680" w:rightChars="50" w:right="31680"/>
              <w:rPr>
                <w:rFonts w:hint="eastAsia"/>
                <w:sz w:val="18"/>
              </w:rPr>
            </w:pPr>
            <w:r>
              <w:rPr>
                <w:rFonts w:hint="eastAsia"/>
                <w:sz w:val="18"/>
              </w:rPr>
              <w:t>改变基础教育教师的态度和价值观，培养与学生的良好关系</w:t>
            </w:r>
          </w:p>
        </w:tc>
      </w:tr>
      <w:tr w:rsidR="00000000">
        <w:tblPrEx>
          <w:tblCellMar>
            <w:top w:w="0" w:type="dxa"/>
            <w:bottom w:w="0" w:type="dxa"/>
          </w:tblCellMar>
        </w:tblPrEx>
        <w:trPr>
          <w:jc w:val="center"/>
        </w:trPr>
        <w:tc>
          <w:tcPr>
            <w:tcW w:w="985" w:type="pct"/>
            <w:vAlign w:val="center"/>
          </w:tcPr>
          <w:p w:rsidR="00000000" w:rsidRDefault="00457650" w:rsidP="00457650">
            <w:pPr>
              <w:widowControl/>
              <w:tabs>
                <w:tab w:val="left" w:pos="630"/>
              </w:tabs>
              <w:spacing w:before="60" w:after="60" w:line="320" w:lineRule="exact"/>
              <w:ind w:leftChars="50" w:left="31680" w:rightChars="50" w:right="31680"/>
              <w:rPr>
                <w:sz w:val="18"/>
              </w:rPr>
            </w:pPr>
            <w:r>
              <w:rPr>
                <w:rFonts w:hint="eastAsia"/>
                <w:sz w:val="18"/>
              </w:rPr>
              <w:t>尤卡坦</w:t>
            </w:r>
          </w:p>
        </w:tc>
        <w:tc>
          <w:tcPr>
            <w:tcW w:w="4015" w:type="pct"/>
          </w:tcPr>
          <w:p w:rsidR="00000000" w:rsidRDefault="00457650" w:rsidP="00457650">
            <w:pPr>
              <w:widowControl/>
              <w:tabs>
                <w:tab w:val="left" w:pos="630"/>
              </w:tabs>
              <w:spacing w:before="60" w:after="60" w:line="320" w:lineRule="exact"/>
              <w:ind w:leftChars="50" w:left="31680" w:rightChars="50" w:right="31680"/>
              <w:rPr>
                <w:rFonts w:hint="eastAsia"/>
                <w:sz w:val="18"/>
              </w:rPr>
            </w:pPr>
            <w:r>
              <w:rPr>
                <w:rFonts w:hint="eastAsia"/>
                <w:sz w:val="18"/>
              </w:rPr>
              <w:t>在初级和学前层面，从性别平等的角度进行性教育</w:t>
            </w:r>
          </w:p>
        </w:tc>
      </w:tr>
    </w:tbl>
    <w:p w:rsidR="00000000" w:rsidRDefault="00457650">
      <w:pPr>
        <w:pStyle w:val="Date"/>
        <w:widowControl/>
        <w:tabs>
          <w:tab w:val="left" w:pos="630"/>
        </w:tabs>
        <w:spacing w:line="360" w:lineRule="exact"/>
      </w:pPr>
    </w:p>
    <w:p w:rsidR="00000000" w:rsidRDefault="00457650">
      <w:pPr>
        <w:widowControl/>
        <w:tabs>
          <w:tab w:val="left" w:pos="630"/>
        </w:tabs>
        <w:spacing w:after="240" w:line="360" w:lineRule="exact"/>
        <w:rPr>
          <w:rFonts w:hint="eastAsia"/>
        </w:rPr>
      </w:pPr>
      <w:r>
        <w:t>1221.</w:t>
      </w:r>
      <w:r>
        <w:rPr>
          <w:rFonts w:hint="eastAsia"/>
        </w:rPr>
        <w:tab/>
      </w:r>
      <w:r>
        <w:rPr>
          <w:rFonts w:hint="eastAsia"/>
        </w:rPr>
        <w:t>在联邦司法框架内，作为联邦司法理事会负责对联邦司法系统成员以及竞选该系统职位的人员的研究、培训和进修的辅助机构，联邦司法协会已经在其研究、培训和进修课程计划中包括了人权的内容，作为培训和授课过程中一部分。具体包括：</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在关于地区法院司法行政的特别课程中，内容的传授通过六个课程模块中的四个（司法功能中的道德和法律原则；国际司法和人权；</w:t>
      </w:r>
      <w:r>
        <w:rPr>
          <w:rFonts w:hint="eastAsia"/>
        </w:rPr>
        <w:t>主持公正；以及司法机构的行政管理进行），另外还间接地采用其他两个模块（分析和终止）。</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在关于研究和账目秘书处的特别课程中，该内容被当作“司法道德”和“刑事程序与人权”主题的中心要素，并且与关于</w:t>
      </w:r>
      <w:r>
        <w:rPr>
          <w:rFonts w:hint="eastAsia"/>
        </w:rPr>
        <w:t>Amparo</w:t>
      </w:r>
      <w:r>
        <w:rPr>
          <w:rFonts w:hint="eastAsia"/>
        </w:rPr>
        <w:t>的主题有着间接联系。</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在关于“地区法庭司法行政”的特别课程中，人权的研究被纳入“主持正义”部分。</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关于司法培训和司法专业化的课程包括</w:t>
      </w:r>
      <w:r>
        <w:rPr>
          <w:rFonts w:hint="eastAsia"/>
        </w:rPr>
        <w:t xml:space="preserve"> </w:t>
      </w:r>
      <w:r>
        <w:rPr>
          <w:rFonts w:hint="eastAsia"/>
        </w:rPr>
        <w:t>“全球化和人权问题”以及“宪法和个人保障”等内容。</w:t>
      </w:r>
    </w:p>
    <w:p w:rsidR="00000000" w:rsidRDefault="00457650">
      <w:pPr>
        <w:widowControl/>
        <w:tabs>
          <w:tab w:val="left" w:pos="630"/>
        </w:tabs>
        <w:spacing w:after="240" w:line="360" w:lineRule="exact"/>
        <w:rPr>
          <w:rFonts w:hint="eastAsia"/>
        </w:rPr>
      </w:pPr>
      <w:r>
        <w:t>1222.</w:t>
      </w:r>
      <w:r>
        <w:tab/>
      </w:r>
      <w:r>
        <w:rPr>
          <w:rFonts w:hint="eastAsia"/>
        </w:rPr>
        <w:t>另外，有些课程反映了最近在法律、研讨会、讲座、证书课程、会议和书籍介绍中发生的变化，在这方面开展的活动中，人权</w:t>
      </w:r>
      <w:r>
        <w:rPr>
          <w:rFonts w:hint="eastAsia"/>
        </w:rPr>
        <w:t>直接或间接地得到了传播：</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国际法律课程：人权（</w:t>
      </w:r>
      <w:r>
        <w:rPr>
          <w:rFonts w:hint="eastAsia"/>
        </w:rPr>
        <w:t>2000</w:t>
      </w:r>
      <w:r>
        <w:rPr>
          <w:rFonts w:hint="eastAsia"/>
        </w:rPr>
        <w:t>年）；第一次关于儿童权利的特别课程（</w:t>
      </w:r>
      <w:r>
        <w:rPr>
          <w:rFonts w:hint="eastAsia"/>
        </w:rPr>
        <w:t>2001</w:t>
      </w:r>
      <w:r>
        <w:rPr>
          <w:rFonts w:hint="eastAsia"/>
        </w:rPr>
        <w:t>年），关于儿童权利的特别课程（</w:t>
      </w:r>
      <w:r>
        <w:rPr>
          <w:rFonts w:hint="eastAsia"/>
        </w:rPr>
        <w:t>2002</w:t>
      </w:r>
      <w:r>
        <w:rPr>
          <w:rFonts w:hint="eastAsia"/>
        </w:rPr>
        <w:t>年）；墨西哥司法和语言学政策（</w:t>
      </w:r>
      <w:r>
        <w:rPr>
          <w:rFonts w:hint="eastAsia"/>
        </w:rPr>
        <w:t>2003</w:t>
      </w:r>
      <w:r>
        <w:rPr>
          <w:rFonts w:hint="eastAsia"/>
        </w:rPr>
        <w:t>年）；在司法决策中适用国际条约的特别课程：特例：青少年刑事司法（</w:t>
      </w:r>
      <w:r>
        <w:rPr>
          <w:rFonts w:hint="eastAsia"/>
        </w:rPr>
        <w:t>2003</w:t>
      </w:r>
      <w:r>
        <w:rPr>
          <w:rFonts w:hint="eastAsia"/>
        </w:rPr>
        <w:t>年）。</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主题为“土著民族：标准设置系统，国家和国际立法”（</w:t>
      </w:r>
      <w:r>
        <w:rPr>
          <w:rFonts w:hint="eastAsia"/>
        </w:rPr>
        <w:t>2001</w:t>
      </w:r>
      <w:r>
        <w:rPr>
          <w:rFonts w:hint="eastAsia"/>
        </w:rPr>
        <w:t>年）；当前宪法问题（</w:t>
      </w:r>
      <w:r>
        <w:rPr>
          <w:rFonts w:hint="eastAsia"/>
        </w:rPr>
        <w:t>2002</w:t>
      </w:r>
      <w:r>
        <w:rPr>
          <w:rFonts w:hint="eastAsia"/>
        </w:rPr>
        <w:t>年）。</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关于土著法律的证书课程（</w:t>
      </w:r>
      <w:r>
        <w:rPr>
          <w:rFonts w:hint="eastAsia"/>
        </w:rPr>
        <w:t>2002</w:t>
      </w:r>
      <w:r>
        <w:rPr>
          <w:rFonts w:hint="eastAsia"/>
        </w:rPr>
        <w:t>年），关于“法律程序，社会背景和国际法”的证书课程（</w:t>
      </w:r>
      <w:r>
        <w:rPr>
          <w:rFonts w:hint="eastAsia"/>
        </w:rPr>
        <w:t>2003</w:t>
      </w:r>
      <w:r>
        <w:rPr>
          <w:rFonts w:hint="eastAsia"/>
        </w:rPr>
        <w:t>年），模块三。法律程序和司法的国际化，以及模块四。法律程序和人权；关于“</w:t>
      </w:r>
      <w:r>
        <w:rPr>
          <w:rFonts w:hint="eastAsia"/>
        </w:rPr>
        <w:t>宪法和</w:t>
      </w:r>
      <w:r>
        <w:rPr>
          <w:rFonts w:hint="eastAsia"/>
        </w:rPr>
        <w:t>amparo</w:t>
      </w:r>
      <w:r>
        <w:rPr>
          <w:rFonts w:hint="eastAsia"/>
        </w:rPr>
        <w:t>”的证书课程（</w:t>
      </w:r>
      <w:r>
        <w:rPr>
          <w:rFonts w:hint="eastAsia"/>
        </w:rPr>
        <w:t>2001</w:t>
      </w:r>
      <w:r>
        <w:rPr>
          <w:rFonts w:hint="eastAsia"/>
        </w:rPr>
        <w:t>年）：模块二。个体保证和人权。</w:t>
      </w:r>
      <w:r>
        <w:t xml:space="preserve"> </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墨西哥人权问题讲习班（</w:t>
      </w:r>
      <w:r>
        <w:rPr>
          <w:rFonts w:hint="eastAsia"/>
        </w:rPr>
        <w:t>2000</w:t>
      </w:r>
      <w:r>
        <w:rPr>
          <w:rFonts w:hint="eastAsia"/>
        </w:rPr>
        <w:t>年）。</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关于个人保障和相应程序的会议（</w:t>
      </w:r>
      <w:r>
        <w:rPr>
          <w:rFonts w:hint="eastAsia"/>
        </w:rPr>
        <w:t>2001</w:t>
      </w:r>
      <w:r>
        <w:rPr>
          <w:rFonts w:hint="eastAsia"/>
        </w:rPr>
        <w:t>年）。</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对以下书籍的介绍：《集团保护：环境权和其他权利的保护者》，</w:t>
      </w:r>
      <w:r>
        <w:t>Lucio Cabrera</w:t>
      </w:r>
      <w:r>
        <w:rPr>
          <w:rFonts w:hint="eastAsia"/>
        </w:rPr>
        <w:t>博士著（</w:t>
      </w:r>
      <w:r>
        <w:rPr>
          <w:rFonts w:hint="eastAsia"/>
        </w:rPr>
        <w:t>2001</w:t>
      </w:r>
      <w:r>
        <w:rPr>
          <w:rFonts w:hint="eastAsia"/>
        </w:rPr>
        <w:t>年）；《宪法和国际条约中的人权》，</w:t>
      </w:r>
      <w:r>
        <w:t>Enrique Sánchez Bringas</w:t>
      </w:r>
      <w:r>
        <w:rPr>
          <w:rFonts w:hint="eastAsia"/>
        </w:rPr>
        <w:t>律师著（</w:t>
      </w:r>
      <w:r>
        <w:rPr>
          <w:rFonts w:hint="eastAsia"/>
        </w:rPr>
        <w:t>2001</w:t>
      </w:r>
      <w:r>
        <w:rPr>
          <w:rFonts w:hint="eastAsia"/>
        </w:rPr>
        <w:t>年）；《刑事案件中间接保护判决的宪法保证》，</w:t>
      </w:r>
      <w:r>
        <w:t>Ricardo Guzmán Wolfer</w:t>
      </w:r>
      <w:r>
        <w:rPr>
          <w:rFonts w:hint="eastAsia"/>
        </w:rPr>
        <w:t>法官（</w:t>
      </w:r>
      <w:r>
        <w:rPr>
          <w:rFonts w:hint="eastAsia"/>
        </w:rPr>
        <w:t>2002</w:t>
      </w:r>
      <w:r>
        <w:rPr>
          <w:rFonts w:hint="eastAsia"/>
        </w:rPr>
        <w:t>年）；《墨西哥的个人保障——联邦司法部的解释》，</w:t>
      </w:r>
      <w:r>
        <w:t>Ariel</w:t>
      </w:r>
      <w:r>
        <w:t xml:space="preserve"> Rojas Caballero</w:t>
      </w:r>
      <w:r>
        <w:rPr>
          <w:rFonts w:hint="eastAsia"/>
        </w:rPr>
        <w:t>法官（</w:t>
      </w:r>
      <w:r>
        <w:rPr>
          <w:rFonts w:hint="eastAsia"/>
        </w:rPr>
        <w:t>2002</w:t>
      </w:r>
      <w:r>
        <w:rPr>
          <w:rFonts w:hint="eastAsia"/>
        </w:rPr>
        <w:t>年）；《法律、性别和儿童：拉丁美洲和讲西班牙语的加勒比地区刑法典中有关妇女、男孩、女孩和青少年的规定》，</w:t>
      </w:r>
      <w:r>
        <w:t>Laura Salinas Berinstáin</w:t>
      </w:r>
      <w:r>
        <w:rPr>
          <w:rFonts w:hint="eastAsia"/>
        </w:rPr>
        <w:t>著（</w:t>
      </w:r>
      <w:r>
        <w:rPr>
          <w:rFonts w:hint="eastAsia"/>
        </w:rPr>
        <w:t>2003</w:t>
      </w:r>
      <w:r>
        <w:rPr>
          <w:rFonts w:hint="eastAsia"/>
        </w:rPr>
        <w:t>年）。</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其他活动：</w:t>
      </w:r>
      <w:r>
        <w:t>Alfredo Islas Colín</w:t>
      </w:r>
      <w:r>
        <w:rPr>
          <w:rFonts w:hint="eastAsia"/>
        </w:rPr>
        <w:t>博士编写的《人权手册》（</w:t>
      </w:r>
      <w:r>
        <w:rPr>
          <w:rFonts w:hint="eastAsia"/>
        </w:rPr>
        <w:t>2001</w:t>
      </w:r>
      <w:r>
        <w:rPr>
          <w:rFonts w:hint="eastAsia"/>
        </w:rPr>
        <w:t>年），以及联邦司法部和传统玛雅司法系统之间举行的会议（</w:t>
      </w:r>
      <w:r>
        <w:rPr>
          <w:rFonts w:hint="eastAsia"/>
        </w:rPr>
        <w:t>2002</w:t>
      </w:r>
      <w:r>
        <w:rPr>
          <w:rFonts w:hint="eastAsia"/>
        </w:rPr>
        <w:t>年）。</w:t>
      </w:r>
    </w:p>
    <w:p w:rsidR="00000000" w:rsidRDefault="00457650">
      <w:pPr>
        <w:widowControl/>
        <w:tabs>
          <w:tab w:val="left" w:pos="630"/>
        </w:tabs>
        <w:spacing w:after="240" w:line="360" w:lineRule="exact"/>
        <w:rPr>
          <w:rFonts w:hint="eastAsia"/>
        </w:rPr>
      </w:pPr>
      <w:r>
        <w:t>1223.</w:t>
      </w:r>
      <w:r>
        <w:tab/>
      </w:r>
      <w:r>
        <w:rPr>
          <w:rFonts w:hint="eastAsia"/>
        </w:rPr>
        <w:t>除了公共教育部和联邦司法协会在其职能范围内所做的努力外，国家人权委员会也在国家和国际范围内促进人权的研究、教育和传播。为了这个目标，</w:t>
      </w:r>
      <w:r>
        <w:rPr>
          <w:rFonts w:hint="eastAsia"/>
        </w:rPr>
        <w:t>它为负责司法行政、公共安全、移民服务、保健服务和军队等的联邦官员制定了一个培训计划；尤其是为基础教育中的教师提供了课程培训，参加者有</w:t>
      </w:r>
      <w:r>
        <w:rPr>
          <w:rFonts w:hint="eastAsia"/>
        </w:rPr>
        <w:t>9 011</w:t>
      </w:r>
      <w:r>
        <w:rPr>
          <w:rFonts w:hint="eastAsia"/>
        </w:rPr>
        <w:t>人，现列举如下：</w:t>
      </w:r>
    </w:p>
    <w:tbl>
      <w:tblPr>
        <w:tblW w:w="0" w:type="auto"/>
        <w:jc w:val="center"/>
        <w:tblInd w:w="2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1680"/>
        <w:gridCol w:w="1640"/>
      </w:tblGrid>
      <w:tr w:rsidR="00000000">
        <w:tblPrEx>
          <w:tblCellMar>
            <w:top w:w="0" w:type="dxa"/>
            <w:bottom w:w="0" w:type="dxa"/>
          </w:tblCellMar>
        </w:tblPrEx>
        <w:trPr>
          <w:jc w:val="center"/>
        </w:trPr>
        <w:tc>
          <w:tcPr>
            <w:tcW w:w="3600" w:type="dxa"/>
          </w:tcPr>
          <w:p w:rsidR="00000000" w:rsidRDefault="00457650">
            <w:pPr>
              <w:widowControl/>
              <w:tabs>
                <w:tab w:val="left" w:pos="630"/>
              </w:tabs>
              <w:spacing w:after="120" w:line="320" w:lineRule="exact"/>
              <w:rPr>
                <w:i/>
                <w:iCs/>
                <w:sz w:val="18"/>
              </w:rPr>
            </w:pPr>
          </w:p>
        </w:tc>
        <w:tc>
          <w:tcPr>
            <w:tcW w:w="1680" w:type="dxa"/>
          </w:tcPr>
          <w:p w:rsidR="00000000" w:rsidRDefault="00457650">
            <w:pPr>
              <w:widowControl/>
              <w:tabs>
                <w:tab w:val="left" w:pos="630"/>
              </w:tabs>
              <w:spacing w:after="120" w:line="320" w:lineRule="exact"/>
              <w:jc w:val="center"/>
              <w:rPr>
                <w:rFonts w:hint="eastAsia"/>
                <w:i/>
                <w:iCs/>
                <w:sz w:val="18"/>
              </w:rPr>
            </w:pPr>
            <w:r>
              <w:rPr>
                <w:rFonts w:ascii="KaiTi_GB2312" w:eastAsia="KaiTi_GB2312" w:hint="eastAsia"/>
                <w:iCs/>
                <w:sz w:val="18"/>
              </w:rPr>
              <w:t>活动</w:t>
            </w:r>
          </w:p>
        </w:tc>
        <w:tc>
          <w:tcPr>
            <w:tcW w:w="1640" w:type="dxa"/>
          </w:tcPr>
          <w:p w:rsidR="00000000" w:rsidRDefault="00457650">
            <w:pPr>
              <w:widowControl/>
              <w:tabs>
                <w:tab w:val="left" w:pos="630"/>
              </w:tabs>
              <w:spacing w:after="120" w:line="320" w:lineRule="exact"/>
              <w:jc w:val="center"/>
              <w:rPr>
                <w:rFonts w:hint="eastAsia"/>
                <w:i/>
                <w:iCs/>
                <w:sz w:val="18"/>
              </w:rPr>
            </w:pPr>
            <w:r>
              <w:rPr>
                <w:rFonts w:ascii="KaiTi_GB2312" w:eastAsia="KaiTi_GB2312" w:hint="eastAsia"/>
                <w:iCs/>
                <w:sz w:val="18"/>
              </w:rPr>
              <w:t>参加者</w:t>
            </w:r>
          </w:p>
        </w:tc>
      </w:tr>
      <w:tr w:rsidR="00000000">
        <w:tblPrEx>
          <w:tblCellMar>
            <w:top w:w="0" w:type="dxa"/>
            <w:bottom w:w="0" w:type="dxa"/>
          </w:tblCellMar>
        </w:tblPrEx>
        <w:trPr>
          <w:jc w:val="center"/>
        </w:trPr>
        <w:tc>
          <w:tcPr>
            <w:tcW w:w="3600" w:type="dxa"/>
          </w:tcPr>
          <w:p w:rsidR="00000000" w:rsidRDefault="00457650">
            <w:pPr>
              <w:widowControl/>
              <w:tabs>
                <w:tab w:val="left" w:pos="630"/>
              </w:tabs>
              <w:spacing w:after="120" w:line="320" w:lineRule="exact"/>
              <w:rPr>
                <w:rFonts w:hint="eastAsia"/>
                <w:sz w:val="18"/>
              </w:rPr>
            </w:pPr>
            <w:r>
              <w:rPr>
                <w:rFonts w:hint="eastAsia"/>
                <w:sz w:val="18"/>
              </w:rPr>
              <w:t>高等教育</w:t>
            </w:r>
          </w:p>
        </w:tc>
        <w:tc>
          <w:tcPr>
            <w:tcW w:w="1680" w:type="dxa"/>
          </w:tcPr>
          <w:p w:rsidR="00000000" w:rsidRDefault="00457650">
            <w:pPr>
              <w:pStyle w:val="a3"/>
              <w:widowControl/>
              <w:tabs>
                <w:tab w:val="left" w:pos="630"/>
              </w:tabs>
              <w:adjustRightInd w:val="0"/>
              <w:spacing w:after="120" w:line="320" w:lineRule="exact"/>
              <w:jc w:val="center"/>
              <w:textAlignment w:val="baseline"/>
              <w:rPr>
                <w:kern w:val="0"/>
                <w:szCs w:val="20"/>
              </w:rPr>
            </w:pPr>
            <w:r>
              <w:rPr>
                <w:kern w:val="0"/>
                <w:szCs w:val="20"/>
              </w:rPr>
              <w:t>68</w:t>
            </w:r>
          </w:p>
        </w:tc>
        <w:tc>
          <w:tcPr>
            <w:tcW w:w="1640" w:type="dxa"/>
          </w:tcPr>
          <w:p w:rsidR="00000000" w:rsidRDefault="00457650">
            <w:pPr>
              <w:widowControl/>
              <w:tabs>
                <w:tab w:val="left" w:pos="630"/>
              </w:tabs>
              <w:spacing w:after="120" w:line="320" w:lineRule="exact"/>
              <w:jc w:val="center"/>
              <w:rPr>
                <w:sz w:val="18"/>
              </w:rPr>
            </w:pPr>
            <w:r>
              <w:rPr>
                <w:sz w:val="18"/>
              </w:rPr>
              <w:t>4</w:t>
            </w:r>
            <w:r>
              <w:rPr>
                <w:rFonts w:hint="eastAsia"/>
                <w:sz w:val="18"/>
              </w:rPr>
              <w:t xml:space="preserve"> </w:t>
            </w:r>
            <w:r>
              <w:rPr>
                <w:sz w:val="18"/>
              </w:rPr>
              <w:t>970</w:t>
            </w:r>
          </w:p>
        </w:tc>
      </w:tr>
      <w:tr w:rsidR="00000000">
        <w:tblPrEx>
          <w:tblCellMar>
            <w:top w:w="0" w:type="dxa"/>
            <w:bottom w:w="0" w:type="dxa"/>
          </w:tblCellMar>
        </w:tblPrEx>
        <w:trPr>
          <w:jc w:val="center"/>
        </w:trPr>
        <w:tc>
          <w:tcPr>
            <w:tcW w:w="3600" w:type="dxa"/>
          </w:tcPr>
          <w:p w:rsidR="00000000" w:rsidRDefault="00457650">
            <w:pPr>
              <w:widowControl/>
              <w:tabs>
                <w:tab w:val="left" w:pos="630"/>
              </w:tabs>
              <w:spacing w:after="120" w:line="320" w:lineRule="exact"/>
              <w:rPr>
                <w:rFonts w:hint="eastAsia"/>
                <w:sz w:val="18"/>
              </w:rPr>
            </w:pPr>
            <w:r>
              <w:rPr>
                <w:rFonts w:hint="eastAsia"/>
                <w:sz w:val="18"/>
              </w:rPr>
              <w:t>初等教育</w:t>
            </w:r>
          </w:p>
        </w:tc>
        <w:tc>
          <w:tcPr>
            <w:tcW w:w="1680" w:type="dxa"/>
          </w:tcPr>
          <w:p w:rsidR="00000000" w:rsidRDefault="00457650">
            <w:pPr>
              <w:widowControl/>
              <w:tabs>
                <w:tab w:val="left" w:pos="630"/>
              </w:tabs>
              <w:spacing w:after="120" w:line="320" w:lineRule="exact"/>
              <w:jc w:val="center"/>
              <w:rPr>
                <w:sz w:val="18"/>
              </w:rPr>
            </w:pPr>
            <w:r>
              <w:rPr>
                <w:sz w:val="18"/>
              </w:rPr>
              <w:t>60</w:t>
            </w:r>
          </w:p>
        </w:tc>
        <w:tc>
          <w:tcPr>
            <w:tcW w:w="1640" w:type="dxa"/>
          </w:tcPr>
          <w:p w:rsidR="00000000" w:rsidRDefault="00457650">
            <w:pPr>
              <w:widowControl/>
              <w:tabs>
                <w:tab w:val="left" w:pos="630"/>
              </w:tabs>
              <w:spacing w:after="120" w:line="320" w:lineRule="exact"/>
              <w:jc w:val="center"/>
              <w:rPr>
                <w:sz w:val="18"/>
              </w:rPr>
            </w:pPr>
            <w:r>
              <w:rPr>
                <w:sz w:val="18"/>
              </w:rPr>
              <w:t>2</w:t>
            </w:r>
            <w:r>
              <w:rPr>
                <w:rFonts w:hint="eastAsia"/>
                <w:sz w:val="18"/>
              </w:rPr>
              <w:t xml:space="preserve"> </w:t>
            </w:r>
            <w:r>
              <w:rPr>
                <w:sz w:val="18"/>
              </w:rPr>
              <w:t>671</w:t>
            </w:r>
          </w:p>
        </w:tc>
      </w:tr>
      <w:tr w:rsidR="00000000">
        <w:tblPrEx>
          <w:tblCellMar>
            <w:top w:w="0" w:type="dxa"/>
            <w:bottom w:w="0" w:type="dxa"/>
          </w:tblCellMar>
        </w:tblPrEx>
        <w:trPr>
          <w:jc w:val="center"/>
        </w:trPr>
        <w:tc>
          <w:tcPr>
            <w:tcW w:w="3600" w:type="dxa"/>
          </w:tcPr>
          <w:p w:rsidR="00000000" w:rsidRDefault="00457650">
            <w:pPr>
              <w:widowControl/>
              <w:tabs>
                <w:tab w:val="left" w:pos="630"/>
              </w:tabs>
              <w:spacing w:after="120" w:line="320" w:lineRule="exact"/>
              <w:rPr>
                <w:rFonts w:hint="eastAsia"/>
                <w:sz w:val="18"/>
              </w:rPr>
            </w:pPr>
            <w:r>
              <w:rPr>
                <w:rFonts w:hint="eastAsia"/>
                <w:sz w:val="18"/>
              </w:rPr>
              <w:t>中等教育</w:t>
            </w:r>
          </w:p>
        </w:tc>
        <w:tc>
          <w:tcPr>
            <w:tcW w:w="1680" w:type="dxa"/>
          </w:tcPr>
          <w:p w:rsidR="00000000" w:rsidRDefault="00457650">
            <w:pPr>
              <w:widowControl/>
              <w:tabs>
                <w:tab w:val="left" w:pos="630"/>
              </w:tabs>
              <w:spacing w:after="120" w:line="320" w:lineRule="exact"/>
              <w:jc w:val="center"/>
              <w:rPr>
                <w:sz w:val="18"/>
              </w:rPr>
            </w:pPr>
            <w:r>
              <w:rPr>
                <w:sz w:val="18"/>
              </w:rPr>
              <w:t>17</w:t>
            </w:r>
          </w:p>
        </w:tc>
        <w:tc>
          <w:tcPr>
            <w:tcW w:w="1640" w:type="dxa"/>
          </w:tcPr>
          <w:p w:rsidR="00000000" w:rsidRDefault="00457650">
            <w:pPr>
              <w:widowControl/>
              <w:tabs>
                <w:tab w:val="left" w:pos="630"/>
              </w:tabs>
              <w:spacing w:after="120" w:line="320" w:lineRule="exact"/>
              <w:jc w:val="center"/>
              <w:rPr>
                <w:b/>
                <w:sz w:val="18"/>
              </w:rPr>
            </w:pPr>
            <w:r>
              <w:rPr>
                <w:sz w:val="18"/>
              </w:rPr>
              <w:t>1</w:t>
            </w:r>
            <w:r>
              <w:rPr>
                <w:rFonts w:hint="eastAsia"/>
                <w:sz w:val="18"/>
              </w:rPr>
              <w:t xml:space="preserve"> </w:t>
            </w:r>
            <w:r>
              <w:rPr>
                <w:sz w:val="18"/>
              </w:rPr>
              <w:t>370</w:t>
            </w:r>
          </w:p>
        </w:tc>
      </w:tr>
      <w:tr w:rsidR="00000000">
        <w:tblPrEx>
          <w:tblCellMar>
            <w:top w:w="0" w:type="dxa"/>
            <w:bottom w:w="0" w:type="dxa"/>
          </w:tblCellMar>
        </w:tblPrEx>
        <w:trPr>
          <w:jc w:val="center"/>
        </w:trPr>
        <w:tc>
          <w:tcPr>
            <w:tcW w:w="3600" w:type="dxa"/>
          </w:tcPr>
          <w:p w:rsidR="00000000" w:rsidRDefault="00457650">
            <w:pPr>
              <w:widowControl/>
              <w:tabs>
                <w:tab w:val="left" w:pos="630"/>
              </w:tabs>
              <w:spacing w:after="120" w:line="320" w:lineRule="exact"/>
              <w:rPr>
                <w:rFonts w:hint="eastAsia"/>
                <w:sz w:val="18"/>
              </w:rPr>
            </w:pPr>
            <w:r>
              <w:rPr>
                <w:sz w:val="18"/>
              </w:rPr>
              <w:tab/>
            </w:r>
            <w:r>
              <w:rPr>
                <w:rFonts w:hint="eastAsia"/>
                <w:sz w:val="18"/>
              </w:rPr>
              <w:t>共计</w:t>
            </w:r>
          </w:p>
        </w:tc>
        <w:tc>
          <w:tcPr>
            <w:tcW w:w="1680" w:type="dxa"/>
          </w:tcPr>
          <w:p w:rsidR="00000000" w:rsidRDefault="00457650">
            <w:pPr>
              <w:widowControl/>
              <w:tabs>
                <w:tab w:val="left" w:pos="630"/>
              </w:tabs>
              <w:spacing w:after="120" w:line="320" w:lineRule="exact"/>
              <w:jc w:val="center"/>
              <w:rPr>
                <w:bCs/>
                <w:sz w:val="18"/>
              </w:rPr>
            </w:pPr>
            <w:r>
              <w:rPr>
                <w:bCs/>
                <w:sz w:val="18"/>
              </w:rPr>
              <w:t>145</w:t>
            </w:r>
          </w:p>
        </w:tc>
        <w:tc>
          <w:tcPr>
            <w:tcW w:w="1640" w:type="dxa"/>
          </w:tcPr>
          <w:p w:rsidR="00000000" w:rsidRDefault="00457650">
            <w:pPr>
              <w:widowControl/>
              <w:tabs>
                <w:tab w:val="left" w:pos="630"/>
              </w:tabs>
              <w:spacing w:after="120" w:line="320" w:lineRule="exact"/>
              <w:jc w:val="center"/>
              <w:rPr>
                <w:bCs/>
                <w:sz w:val="18"/>
              </w:rPr>
            </w:pPr>
            <w:r>
              <w:rPr>
                <w:bCs/>
                <w:sz w:val="18"/>
              </w:rPr>
              <w:t>9</w:t>
            </w:r>
            <w:r>
              <w:rPr>
                <w:rFonts w:hint="eastAsia"/>
                <w:bCs/>
                <w:sz w:val="18"/>
              </w:rPr>
              <w:t xml:space="preserve"> </w:t>
            </w:r>
            <w:r>
              <w:rPr>
                <w:bCs/>
                <w:sz w:val="18"/>
              </w:rPr>
              <w:t>011</w:t>
            </w:r>
          </w:p>
        </w:tc>
      </w:tr>
    </w:tbl>
    <w:p w:rsidR="00000000" w:rsidRDefault="00457650">
      <w:pPr>
        <w:pStyle w:val="Date"/>
        <w:widowControl/>
        <w:tabs>
          <w:tab w:val="left" w:pos="630"/>
        </w:tabs>
        <w:spacing w:line="360" w:lineRule="exact"/>
      </w:pPr>
    </w:p>
    <w:p w:rsidR="00000000" w:rsidRDefault="00457650">
      <w:pPr>
        <w:widowControl/>
        <w:tabs>
          <w:tab w:val="left" w:pos="630"/>
        </w:tabs>
        <w:spacing w:after="240" w:line="360" w:lineRule="exact"/>
      </w:pPr>
      <w:r>
        <w:t>1224.</w:t>
      </w:r>
      <w:r>
        <w:tab/>
      </w:r>
      <w:r>
        <w:rPr>
          <w:rFonts w:hint="eastAsia"/>
        </w:rPr>
        <w:t>为了在人的一生尽早进行关于人权原则和价值的培训，</w:t>
      </w:r>
      <w:r>
        <w:rPr>
          <w:rFonts w:hint="eastAsia"/>
        </w:rPr>
        <w:t>2001</w:t>
      </w:r>
      <w:r>
        <w:rPr>
          <w:rFonts w:hint="eastAsia"/>
        </w:rPr>
        <w:t>年在基础教育领域组织了</w:t>
      </w:r>
      <w:r>
        <w:rPr>
          <w:rFonts w:hint="eastAsia"/>
        </w:rPr>
        <w:t>90</w:t>
      </w:r>
      <w:r>
        <w:rPr>
          <w:rFonts w:hint="eastAsia"/>
        </w:rPr>
        <w:t>项活动；参加者</w:t>
      </w:r>
      <w:r>
        <w:rPr>
          <w:rFonts w:hint="eastAsia"/>
        </w:rPr>
        <w:t>5 540</w:t>
      </w:r>
      <w:r>
        <w:rPr>
          <w:rFonts w:hint="eastAsia"/>
        </w:rPr>
        <w:t>人，包括校长、教师、父母和学生等。</w:t>
      </w:r>
      <w:r>
        <w:t xml:space="preserve"> </w:t>
      </w:r>
    </w:p>
    <w:p w:rsidR="00000000" w:rsidRDefault="00457650">
      <w:pPr>
        <w:widowControl/>
        <w:tabs>
          <w:tab w:val="left" w:pos="630"/>
        </w:tabs>
        <w:spacing w:after="240" w:line="360" w:lineRule="exact"/>
        <w:rPr>
          <w:rFonts w:hint="eastAsia"/>
        </w:rPr>
      </w:pPr>
      <w:r>
        <w:t>1225.</w:t>
      </w:r>
      <w:r>
        <w:tab/>
      </w:r>
      <w:r>
        <w:rPr>
          <w:rFonts w:hint="eastAsia"/>
        </w:rPr>
        <w:t>中等教育后期是进行人权和人权保护教育的最佳时</w:t>
      </w:r>
      <w:r>
        <w:rPr>
          <w:rFonts w:hint="eastAsia"/>
        </w:rPr>
        <w:t>期。根据这一观点，组织了</w:t>
      </w:r>
      <w:r>
        <w:rPr>
          <w:rFonts w:hint="eastAsia"/>
        </w:rPr>
        <w:t>52</w:t>
      </w:r>
      <w:r>
        <w:rPr>
          <w:rFonts w:hint="eastAsia"/>
        </w:rPr>
        <w:t>项活动，参加者</w:t>
      </w:r>
      <w:r>
        <w:rPr>
          <w:rFonts w:hint="eastAsia"/>
        </w:rPr>
        <w:t>3 982</w:t>
      </w:r>
      <w:r>
        <w:rPr>
          <w:rFonts w:hint="eastAsia"/>
        </w:rPr>
        <w:t>人。此外，还组织了许多证书课程和其他课程、包括讲习班、研讨会和会议（总共</w:t>
      </w:r>
      <w:r>
        <w:rPr>
          <w:rFonts w:hint="eastAsia"/>
        </w:rPr>
        <w:t>44</w:t>
      </w:r>
      <w:r>
        <w:rPr>
          <w:rFonts w:hint="eastAsia"/>
        </w:rPr>
        <w:t>次），参加者</w:t>
      </w:r>
      <w:r>
        <w:rPr>
          <w:rFonts w:hint="eastAsia"/>
        </w:rPr>
        <w:t>3014</w:t>
      </w:r>
      <w:r>
        <w:rPr>
          <w:rFonts w:hint="eastAsia"/>
        </w:rPr>
        <w:t>人。</w:t>
      </w:r>
    </w:p>
    <w:p w:rsidR="00000000" w:rsidRDefault="00457650">
      <w:pPr>
        <w:widowControl/>
        <w:tabs>
          <w:tab w:val="left" w:pos="630"/>
        </w:tabs>
        <w:spacing w:after="240" w:line="360" w:lineRule="exact"/>
        <w:rPr>
          <w:rFonts w:hint="eastAsia"/>
        </w:rPr>
      </w:pPr>
      <w:r>
        <w:t>1226.</w:t>
      </w:r>
      <w:r>
        <w:tab/>
      </w:r>
      <w:r>
        <w:rPr>
          <w:rFonts w:hint="eastAsia"/>
        </w:rPr>
        <w:t>2002</w:t>
      </w:r>
      <w:r>
        <w:rPr>
          <w:rFonts w:hint="eastAsia"/>
        </w:rPr>
        <w:t>年在基础教育领域组织了</w:t>
      </w:r>
      <w:r>
        <w:rPr>
          <w:rFonts w:hint="eastAsia"/>
        </w:rPr>
        <w:t>36</w:t>
      </w:r>
      <w:r>
        <w:rPr>
          <w:rFonts w:hint="eastAsia"/>
        </w:rPr>
        <w:t>项活动，参加者</w:t>
      </w:r>
      <w:r>
        <w:rPr>
          <w:rFonts w:hint="eastAsia"/>
        </w:rPr>
        <w:t>1 567</w:t>
      </w:r>
      <w:r>
        <w:rPr>
          <w:rFonts w:hint="eastAsia"/>
        </w:rPr>
        <w:t>人。</w:t>
      </w:r>
    </w:p>
    <w:p w:rsidR="00000000" w:rsidRDefault="00457650">
      <w:pPr>
        <w:widowControl/>
        <w:tabs>
          <w:tab w:val="left" w:pos="630"/>
        </w:tabs>
        <w:spacing w:after="240" w:line="360" w:lineRule="exact"/>
      </w:pPr>
      <w:r>
        <w:t>1227.</w:t>
      </w:r>
      <w:r>
        <w:tab/>
      </w:r>
      <w:r>
        <w:rPr>
          <w:rFonts w:hint="eastAsia"/>
        </w:rPr>
        <w:t>尤其要提及的是六部电视节目的制作，这是与公共教育部和拉丁美洲教学交流学会合作进行的，构成了“基础教育人权培训方案”的一部分，旨在培训墨西哥合众国境内的基础教育教师。</w:t>
      </w:r>
      <w:r>
        <w:t xml:space="preserve"> </w:t>
      </w:r>
    </w:p>
    <w:p w:rsidR="00000000" w:rsidRDefault="00457650">
      <w:pPr>
        <w:widowControl/>
        <w:tabs>
          <w:tab w:val="left" w:pos="630"/>
        </w:tabs>
        <w:spacing w:after="240" w:line="360" w:lineRule="exact"/>
        <w:rPr>
          <w:rFonts w:hint="eastAsia"/>
        </w:rPr>
      </w:pPr>
      <w:r>
        <w:t>1228.</w:t>
      </w:r>
      <w:r>
        <w:tab/>
      </w:r>
      <w:r>
        <w:rPr>
          <w:rFonts w:hint="eastAsia"/>
        </w:rPr>
        <w:t>在中等教育一级，组织了</w:t>
      </w:r>
      <w:r>
        <w:rPr>
          <w:rFonts w:hint="eastAsia"/>
        </w:rPr>
        <w:t>20</w:t>
      </w:r>
      <w:r>
        <w:rPr>
          <w:rFonts w:hint="eastAsia"/>
        </w:rPr>
        <w:t>项活动，参加者</w:t>
      </w:r>
      <w:r>
        <w:rPr>
          <w:rFonts w:hint="eastAsia"/>
        </w:rPr>
        <w:t>1 759</w:t>
      </w:r>
      <w:r>
        <w:rPr>
          <w:rFonts w:hint="eastAsia"/>
        </w:rPr>
        <w:t>人；在高等教育一级组织了</w:t>
      </w:r>
      <w:r>
        <w:rPr>
          <w:rFonts w:hint="eastAsia"/>
        </w:rPr>
        <w:t>47</w:t>
      </w:r>
      <w:r>
        <w:rPr>
          <w:rFonts w:hint="eastAsia"/>
        </w:rPr>
        <w:t>项活动，参加</w:t>
      </w:r>
      <w:r>
        <w:rPr>
          <w:rFonts w:hint="eastAsia"/>
        </w:rPr>
        <w:t>者</w:t>
      </w:r>
      <w:r>
        <w:rPr>
          <w:rFonts w:hint="eastAsia"/>
        </w:rPr>
        <w:t>3 225</w:t>
      </w:r>
      <w:r>
        <w:rPr>
          <w:rFonts w:hint="eastAsia"/>
        </w:rPr>
        <w:t>人。其中尤其要提到以下活动：</w:t>
      </w:r>
    </w:p>
    <w:p w:rsidR="00000000" w:rsidRDefault="00457650">
      <w:pPr>
        <w:widowControl/>
        <w:tabs>
          <w:tab w:val="left" w:pos="630"/>
        </w:tabs>
        <w:spacing w:after="240" w:line="360" w:lineRule="exact"/>
        <w:rPr>
          <w:rFonts w:hint="eastAsia"/>
        </w:rPr>
      </w:pPr>
      <w:r>
        <w:t>1229.</w:t>
      </w:r>
      <w:r>
        <w:tab/>
      </w:r>
      <w:r>
        <w:rPr>
          <w:rFonts w:hint="eastAsia"/>
        </w:rPr>
        <w:t>“第一届人权问题地区论坛”，由国家委员会和</w:t>
      </w:r>
      <w:r>
        <w:t>梅里达</w:t>
      </w:r>
      <w:r>
        <w:rPr>
          <w:rFonts w:hint="eastAsia"/>
        </w:rPr>
        <w:t>玛利亚大学于</w:t>
      </w:r>
      <w:r>
        <w:rPr>
          <w:rFonts w:hint="eastAsia"/>
        </w:rPr>
        <w:t>5</w:t>
      </w:r>
      <w:r>
        <w:rPr>
          <w:rFonts w:hint="eastAsia"/>
        </w:rPr>
        <w:t>月组织，参加人员为</w:t>
      </w:r>
      <w:r>
        <w:t>金塔纳罗奥</w:t>
      </w:r>
      <w:r>
        <w:rPr>
          <w:rFonts w:hint="eastAsia"/>
        </w:rPr>
        <w:t>州、坎</w:t>
      </w:r>
      <w:r>
        <w:t>佩切</w:t>
      </w:r>
      <w:r>
        <w:rPr>
          <w:rFonts w:hint="eastAsia"/>
        </w:rPr>
        <w:t>州和</w:t>
      </w:r>
      <w:r>
        <w:t>尤卡坦</w:t>
      </w:r>
      <w:r>
        <w:rPr>
          <w:rFonts w:hint="eastAsia"/>
        </w:rPr>
        <w:t>州等州立大学的学生。</w:t>
      </w:r>
    </w:p>
    <w:p w:rsidR="00000000" w:rsidRDefault="00457650">
      <w:pPr>
        <w:widowControl/>
        <w:tabs>
          <w:tab w:val="left" w:pos="630"/>
        </w:tabs>
        <w:spacing w:after="240" w:line="360" w:lineRule="exact"/>
        <w:rPr>
          <w:rFonts w:hint="eastAsia"/>
        </w:rPr>
      </w:pPr>
      <w:r>
        <w:t>1230.</w:t>
      </w:r>
      <w:r>
        <w:tab/>
      </w:r>
      <w:r>
        <w:rPr>
          <w:rFonts w:hint="eastAsia"/>
        </w:rPr>
        <w:t>在</w:t>
      </w:r>
      <w:r>
        <w:rPr>
          <w:rFonts w:hint="eastAsia"/>
        </w:rPr>
        <w:t>5</w:t>
      </w:r>
      <w:r>
        <w:rPr>
          <w:rFonts w:hint="eastAsia"/>
        </w:rPr>
        <w:t>月和</w:t>
      </w:r>
      <w:r>
        <w:rPr>
          <w:rFonts w:hint="eastAsia"/>
        </w:rPr>
        <w:t>6</w:t>
      </w:r>
      <w:r>
        <w:rPr>
          <w:rFonts w:hint="eastAsia"/>
        </w:rPr>
        <w:t>月，由国家委员会和瓦哈卡州行政机构人权总协调员办公室筹办了关于“人权走进大学”的演讲，地点设在东南地区大学、</w:t>
      </w:r>
      <w:r>
        <w:t>Mesoamericana, A.C.</w:t>
      </w:r>
      <w:r>
        <w:rPr>
          <w:rFonts w:hint="eastAsia"/>
        </w:rPr>
        <w:t>、</w:t>
      </w:r>
      <w:r>
        <w:t>José Vasconcelos, A.C.</w:t>
      </w:r>
      <w:r>
        <w:rPr>
          <w:rFonts w:hint="eastAsia"/>
        </w:rPr>
        <w:t>，以及瓦哈卡</w:t>
      </w:r>
      <w:r>
        <w:t>华雷斯港</w:t>
      </w:r>
      <w:r>
        <w:rPr>
          <w:rFonts w:hint="eastAsia"/>
        </w:rPr>
        <w:t>自治大学。</w:t>
      </w:r>
    </w:p>
    <w:p w:rsidR="00000000" w:rsidRDefault="00457650">
      <w:pPr>
        <w:widowControl/>
        <w:tabs>
          <w:tab w:val="left" w:pos="630"/>
        </w:tabs>
        <w:spacing w:after="240" w:line="360" w:lineRule="exact"/>
        <w:rPr>
          <w:rFonts w:hint="eastAsia"/>
        </w:rPr>
      </w:pPr>
      <w:r>
        <w:t>1231.</w:t>
      </w:r>
      <w:r>
        <w:tab/>
      </w:r>
      <w:r>
        <w:rPr>
          <w:rFonts w:hint="eastAsia"/>
        </w:rPr>
        <w:t>关于人权问题的证书课程，由国家委员会、</w:t>
      </w:r>
      <w:r>
        <w:t>萨卡特卡斯</w:t>
      </w:r>
      <w:r>
        <w:rPr>
          <w:rFonts w:hint="eastAsia"/>
        </w:rPr>
        <w:t>州政府，</w:t>
      </w:r>
      <w:r>
        <w:t>萨卡特卡斯</w:t>
      </w:r>
      <w:r>
        <w:rPr>
          <w:rFonts w:hint="eastAsia"/>
        </w:rPr>
        <w:t>州</w:t>
      </w:r>
      <w:r>
        <w:rPr>
          <w:rFonts w:hint="eastAsia"/>
        </w:rPr>
        <w:t>人权委员会和</w:t>
      </w:r>
      <w:r>
        <w:t>萨卡特卡斯</w:t>
      </w:r>
      <w:r>
        <w:rPr>
          <w:rFonts w:hint="eastAsia"/>
        </w:rPr>
        <w:t>自治大学组织，于</w:t>
      </w:r>
      <w:r>
        <w:rPr>
          <w:rFonts w:hint="eastAsia"/>
        </w:rPr>
        <w:t>4</w:t>
      </w:r>
      <w:r>
        <w:rPr>
          <w:rFonts w:hint="eastAsia"/>
        </w:rPr>
        <w:t>月</w:t>
      </w:r>
      <w:r>
        <w:rPr>
          <w:rFonts w:hint="eastAsia"/>
        </w:rPr>
        <w:t>19</w:t>
      </w:r>
      <w:r>
        <w:rPr>
          <w:rFonts w:hint="eastAsia"/>
        </w:rPr>
        <w:t>日至</w:t>
      </w:r>
      <w:r>
        <w:rPr>
          <w:rFonts w:hint="eastAsia"/>
        </w:rPr>
        <w:t>6</w:t>
      </w:r>
      <w:r>
        <w:rPr>
          <w:rFonts w:hint="eastAsia"/>
        </w:rPr>
        <w:t>月</w:t>
      </w:r>
      <w:r>
        <w:rPr>
          <w:rFonts w:hint="eastAsia"/>
        </w:rPr>
        <w:t>15</w:t>
      </w:r>
      <w:r>
        <w:rPr>
          <w:rFonts w:hint="eastAsia"/>
        </w:rPr>
        <w:t>日在</w:t>
      </w:r>
      <w:r>
        <w:t>萨卡特卡斯</w:t>
      </w:r>
      <w:r>
        <w:rPr>
          <w:rFonts w:hint="eastAsia"/>
        </w:rPr>
        <w:t>市（</w:t>
      </w:r>
      <w:r>
        <w:t>萨卡特卡斯</w:t>
      </w:r>
      <w:r>
        <w:rPr>
          <w:rFonts w:hint="eastAsia"/>
        </w:rPr>
        <w:t>州）举行。</w:t>
      </w:r>
    </w:p>
    <w:p w:rsidR="00000000" w:rsidRDefault="00457650">
      <w:pPr>
        <w:widowControl/>
        <w:tabs>
          <w:tab w:val="left" w:pos="630"/>
        </w:tabs>
        <w:spacing w:after="240" w:line="360" w:lineRule="exact"/>
        <w:rPr>
          <w:rFonts w:hint="eastAsia"/>
        </w:rPr>
      </w:pPr>
      <w:r>
        <w:t>1232.</w:t>
      </w:r>
      <w:r>
        <w:tab/>
      </w:r>
      <w:r>
        <w:rPr>
          <w:rFonts w:hint="eastAsia"/>
        </w:rPr>
        <w:t>由国家委员会、墨西哥青年协会、恰帕斯州政府运动和青年协会以及恰帕斯自治大学组织了关于人权问题的证书课程，</w:t>
      </w:r>
      <w:r>
        <w:rPr>
          <w:rFonts w:hint="eastAsia"/>
        </w:rPr>
        <w:t>2002</w:t>
      </w:r>
      <w:r>
        <w:rPr>
          <w:rFonts w:hint="eastAsia"/>
        </w:rPr>
        <w:t>年</w:t>
      </w:r>
      <w:r>
        <w:rPr>
          <w:rFonts w:hint="eastAsia"/>
        </w:rPr>
        <w:t>5</w:t>
      </w:r>
      <w:r>
        <w:rPr>
          <w:rFonts w:hint="eastAsia"/>
        </w:rPr>
        <w:t>月</w:t>
      </w:r>
      <w:r>
        <w:rPr>
          <w:rFonts w:hint="eastAsia"/>
        </w:rPr>
        <w:t>24</w:t>
      </w:r>
      <w:r>
        <w:rPr>
          <w:rFonts w:hint="eastAsia"/>
        </w:rPr>
        <w:t>日至</w:t>
      </w:r>
      <w:r>
        <w:rPr>
          <w:rFonts w:hint="eastAsia"/>
        </w:rPr>
        <w:t>8</w:t>
      </w:r>
      <w:r>
        <w:rPr>
          <w:rFonts w:hint="eastAsia"/>
        </w:rPr>
        <w:t>月</w:t>
      </w:r>
      <w:r>
        <w:rPr>
          <w:rFonts w:hint="eastAsia"/>
        </w:rPr>
        <w:t>31</w:t>
      </w:r>
      <w:r>
        <w:rPr>
          <w:rFonts w:hint="eastAsia"/>
        </w:rPr>
        <w:t>日在</w:t>
      </w:r>
      <w:r>
        <w:t>图斯特拉</w:t>
      </w:r>
      <w:r>
        <w:rPr>
          <w:rFonts w:hint="eastAsia"/>
        </w:rPr>
        <w:t>-</w:t>
      </w:r>
      <w:r>
        <w:t>古铁雷斯</w:t>
      </w:r>
      <w:r>
        <w:rPr>
          <w:rFonts w:hint="eastAsia"/>
        </w:rPr>
        <w:t>市（恰帕斯州）举办。</w:t>
      </w:r>
    </w:p>
    <w:p w:rsidR="00000000" w:rsidRDefault="00457650">
      <w:pPr>
        <w:widowControl/>
        <w:tabs>
          <w:tab w:val="left" w:pos="630"/>
        </w:tabs>
        <w:spacing w:after="240" w:line="360" w:lineRule="exact"/>
        <w:rPr>
          <w:rFonts w:hint="eastAsia"/>
        </w:rPr>
      </w:pPr>
      <w:r>
        <w:t>1233.</w:t>
      </w:r>
      <w:r>
        <w:tab/>
      </w:r>
      <w:r>
        <w:rPr>
          <w:rFonts w:hint="eastAsia"/>
        </w:rPr>
        <w:t>2003</w:t>
      </w:r>
      <w:r>
        <w:rPr>
          <w:rFonts w:hint="eastAsia"/>
        </w:rPr>
        <w:t>年，</w:t>
      </w:r>
      <w:r>
        <w:t>克雷塔罗</w:t>
      </w:r>
      <w:r>
        <w:rPr>
          <w:rFonts w:hint="eastAsia"/>
        </w:rPr>
        <w:t>州、</w:t>
      </w:r>
      <w:r>
        <w:t>塔毛利帕斯</w:t>
      </w:r>
      <w:r>
        <w:rPr>
          <w:rFonts w:hint="eastAsia"/>
        </w:rPr>
        <w:t>州和</w:t>
      </w:r>
      <w:r>
        <w:t>塔瓦斯科</w:t>
      </w:r>
      <w:r>
        <w:rPr>
          <w:rFonts w:hint="eastAsia"/>
        </w:rPr>
        <w:t>州政府签署了推广基础教育人权培训方案合作协议，同时还组织了</w:t>
      </w:r>
      <w:r>
        <w:rPr>
          <w:rFonts w:hint="eastAsia"/>
        </w:rPr>
        <w:t>52</w:t>
      </w:r>
      <w:r>
        <w:rPr>
          <w:rFonts w:hint="eastAsia"/>
        </w:rPr>
        <w:t>项活动，基础教育部门</w:t>
      </w:r>
      <w:r>
        <w:rPr>
          <w:rFonts w:hint="eastAsia"/>
        </w:rPr>
        <w:t>2 014</w:t>
      </w:r>
      <w:r>
        <w:rPr>
          <w:rFonts w:hint="eastAsia"/>
        </w:rPr>
        <w:t>名教师参加了这些活动。为中等教育部门组织的活动有</w:t>
      </w:r>
      <w:r>
        <w:rPr>
          <w:rFonts w:hint="eastAsia"/>
        </w:rPr>
        <w:t>14</w:t>
      </w:r>
      <w:r>
        <w:rPr>
          <w:rFonts w:hint="eastAsia"/>
        </w:rPr>
        <w:t>项，参加的学生和老师人</w:t>
      </w:r>
      <w:r>
        <w:rPr>
          <w:rFonts w:hint="eastAsia"/>
        </w:rPr>
        <w:t>数为</w:t>
      </w:r>
      <w:r>
        <w:rPr>
          <w:rFonts w:hint="eastAsia"/>
        </w:rPr>
        <w:t>1 010</w:t>
      </w:r>
      <w:r>
        <w:rPr>
          <w:rFonts w:hint="eastAsia"/>
        </w:rPr>
        <w:t>名。</w:t>
      </w:r>
    </w:p>
    <w:p w:rsidR="00000000" w:rsidRDefault="00457650">
      <w:pPr>
        <w:widowControl/>
        <w:tabs>
          <w:tab w:val="left" w:pos="630"/>
        </w:tabs>
        <w:spacing w:after="240" w:line="360" w:lineRule="exact"/>
        <w:rPr>
          <w:rFonts w:hint="eastAsia"/>
        </w:rPr>
      </w:pPr>
      <w:r>
        <w:t>1234.</w:t>
      </w:r>
      <w:r>
        <w:tab/>
      </w:r>
      <w:r>
        <w:rPr>
          <w:rFonts w:hint="eastAsia"/>
        </w:rPr>
        <w:t>在高等教育部门组织了</w:t>
      </w:r>
      <w:r>
        <w:rPr>
          <w:rFonts w:hint="eastAsia"/>
        </w:rPr>
        <w:t>44</w:t>
      </w:r>
      <w:r>
        <w:rPr>
          <w:rFonts w:hint="eastAsia"/>
        </w:rPr>
        <w:t>项活动，参加者共</w:t>
      </w:r>
      <w:r>
        <w:rPr>
          <w:rFonts w:hint="eastAsia"/>
        </w:rPr>
        <w:t>3 913</w:t>
      </w:r>
      <w:r>
        <w:rPr>
          <w:rFonts w:hint="eastAsia"/>
        </w:rPr>
        <w:t>人，以下活动需要特别提及：</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由</w:t>
      </w:r>
      <w:r>
        <w:rPr>
          <w:rFonts w:hint="eastAsia"/>
        </w:rPr>
        <w:t>CNDH</w:t>
      </w:r>
      <w:r>
        <w:rPr>
          <w:rFonts w:hint="eastAsia"/>
        </w:rPr>
        <w:t>在墨西哥市举办的被害者研究和人权证书课程，于本年年初开始，</w:t>
      </w:r>
      <w:r>
        <w:rPr>
          <w:rFonts w:hint="eastAsia"/>
        </w:rPr>
        <w:t>2003</w:t>
      </w:r>
      <w:r>
        <w:rPr>
          <w:rFonts w:hint="eastAsia"/>
        </w:rPr>
        <w:t>年</w:t>
      </w:r>
      <w:r>
        <w:rPr>
          <w:rFonts w:hint="eastAsia"/>
        </w:rPr>
        <w:t>3</w:t>
      </w:r>
      <w:r>
        <w:rPr>
          <w:rFonts w:hint="eastAsia"/>
        </w:rPr>
        <w:t>月</w:t>
      </w:r>
      <w:r>
        <w:rPr>
          <w:rFonts w:hint="eastAsia"/>
        </w:rPr>
        <w:t>1</w:t>
      </w:r>
      <w:r>
        <w:rPr>
          <w:rFonts w:hint="eastAsia"/>
        </w:rPr>
        <w:t>日结束。</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由</w:t>
      </w:r>
      <w:r>
        <w:rPr>
          <w:rFonts w:hint="eastAsia"/>
        </w:rPr>
        <w:t>CNDH</w:t>
      </w:r>
      <w:r>
        <w:rPr>
          <w:rFonts w:hint="eastAsia"/>
        </w:rPr>
        <w:t>、</w:t>
      </w:r>
      <w:r>
        <w:t>科阿韦拉</w:t>
      </w:r>
      <w:r>
        <w:rPr>
          <w:rFonts w:hint="eastAsia"/>
        </w:rPr>
        <w:t>州人权委员会和</w:t>
      </w:r>
      <w:r>
        <w:t>科阿韦拉</w:t>
      </w:r>
      <w:r>
        <w:rPr>
          <w:rFonts w:hint="eastAsia"/>
        </w:rPr>
        <w:t>自治大学组织的人权证书课程，于本报告涉及的</w:t>
      </w:r>
      <w:r>
        <w:rPr>
          <w:rFonts w:hint="eastAsia"/>
        </w:rPr>
        <w:t>2</w:t>
      </w:r>
      <w:r>
        <w:rPr>
          <w:rFonts w:hint="eastAsia"/>
        </w:rPr>
        <w:t>月</w:t>
      </w:r>
      <w:r>
        <w:rPr>
          <w:rFonts w:hint="eastAsia"/>
        </w:rPr>
        <w:t>14</w:t>
      </w:r>
      <w:r>
        <w:rPr>
          <w:rFonts w:hint="eastAsia"/>
        </w:rPr>
        <w:t>日至</w:t>
      </w:r>
      <w:r>
        <w:rPr>
          <w:rFonts w:hint="eastAsia"/>
        </w:rPr>
        <w:t>5</w:t>
      </w:r>
      <w:r>
        <w:rPr>
          <w:rFonts w:hint="eastAsia"/>
        </w:rPr>
        <w:t>月</w:t>
      </w:r>
      <w:r>
        <w:rPr>
          <w:rFonts w:hint="eastAsia"/>
        </w:rPr>
        <w:t>8</w:t>
      </w:r>
      <w:r>
        <w:rPr>
          <w:rFonts w:hint="eastAsia"/>
        </w:rPr>
        <w:t>日在</w:t>
      </w:r>
      <w:r>
        <w:t>托雷翁</w:t>
      </w:r>
      <w:r>
        <w:rPr>
          <w:rFonts w:hint="eastAsia"/>
        </w:rPr>
        <w:t>市（</w:t>
      </w:r>
      <w:r>
        <w:t>科阿韦拉</w:t>
      </w:r>
      <w:r>
        <w:rPr>
          <w:rFonts w:hint="eastAsia"/>
        </w:rPr>
        <w:t>州）举办。</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由</w:t>
      </w:r>
      <w:r>
        <w:rPr>
          <w:rFonts w:hint="eastAsia"/>
        </w:rPr>
        <w:t>CNDH</w:t>
      </w:r>
      <w:r>
        <w:rPr>
          <w:rFonts w:hint="eastAsia"/>
        </w:rPr>
        <w:t>、</w:t>
      </w:r>
      <w:r>
        <w:t>纳亚里特</w:t>
      </w:r>
      <w:r>
        <w:rPr>
          <w:rFonts w:hint="eastAsia"/>
        </w:rPr>
        <w:t>自治大学和</w:t>
      </w:r>
      <w:r>
        <w:t>纳亚里特</w:t>
      </w:r>
      <w:r>
        <w:rPr>
          <w:rFonts w:hint="eastAsia"/>
        </w:rPr>
        <w:t>州捍卫人权委员会组织的人权证书课程，于</w:t>
      </w:r>
      <w:r>
        <w:rPr>
          <w:rFonts w:hint="eastAsia"/>
        </w:rPr>
        <w:t>2003</w:t>
      </w:r>
      <w:r>
        <w:rPr>
          <w:rFonts w:hint="eastAsia"/>
        </w:rPr>
        <w:t>年</w:t>
      </w:r>
      <w:r>
        <w:rPr>
          <w:rFonts w:hint="eastAsia"/>
        </w:rPr>
        <w:t>2</w:t>
      </w:r>
      <w:r>
        <w:rPr>
          <w:rFonts w:hint="eastAsia"/>
        </w:rPr>
        <w:t>月</w:t>
      </w:r>
      <w:r>
        <w:rPr>
          <w:rFonts w:hint="eastAsia"/>
        </w:rPr>
        <w:t>14</w:t>
      </w:r>
      <w:r>
        <w:rPr>
          <w:rFonts w:hint="eastAsia"/>
        </w:rPr>
        <w:t>日至</w:t>
      </w:r>
      <w:r>
        <w:rPr>
          <w:rFonts w:hint="eastAsia"/>
        </w:rPr>
        <w:t>5</w:t>
      </w:r>
      <w:r>
        <w:rPr>
          <w:rFonts w:hint="eastAsia"/>
        </w:rPr>
        <w:t>月</w:t>
      </w:r>
      <w:r>
        <w:rPr>
          <w:rFonts w:hint="eastAsia"/>
        </w:rPr>
        <w:t>8</w:t>
      </w:r>
      <w:r>
        <w:rPr>
          <w:rFonts w:hint="eastAsia"/>
        </w:rPr>
        <w:t>日在</w:t>
      </w:r>
      <w:r>
        <w:t>特皮克</w:t>
      </w:r>
      <w:r>
        <w:rPr>
          <w:rFonts w:hint="eastAsia"/>
        </w:rPr>
        <w:t>市（</w:t>
      </w:r>
      <w:r>
        <w:t>纳亚里特</w:t>
      </w:r>
      <w:r>
        <w:rPr>
          <w:rFonts w:hint="eastAsia"/>
        </w:rPr>
        <w:t>州）举办。</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由</w:t>
      </w:r>
      <w:r>
        <w:rPr>
          <w:rFonts w:hint="eastAsia"/>
        </w:rPr>
        <w:t>CNDH</w:t>
      </w:r>
      <w:r>
        <w:rPr>
          <w:rFonts w:hint="eastAsia"/>
        </w:rPr>
        <w:t>、</w:t>
      </w:r>
      <w:r>
        <w:t>尤卡坦</w:t>
      </w:r>
      <w:r>
        <w:rPr>
          <w:rFonts w:hint="eastAsia"/>
        </w:rPr>
        <w:t>自治大学和</w:t>
      </w:r>
      <w:r>
        <w:t>尤卡坦</w:t>
      </w:r>
      <w:r>
        <w:rPr>
          <w:rFonts w:hint="eastAsia"/>
        </w:rPr>
        <w:t>州人权委员会组织的人权问题证书课程，于本报告涉及的</w:t>
      </w:r>
      <w:r>
        <w:rPr>
          <w:rFonts w:hint="eastAsia"/>
        </w:rPr>
        <w:t>4</w:t>
      </w:r>
      <w:r>
        <w:rPr>
          <w:rFonts w:hint="eastAsia"/>
        </w:rPr>
        <w:t>月</w:t>
      </w:r>
      <w:r>
        <w:rPr>
          <w:rFonts w:hint="eastAsia"/>
        </w:rPr>
        <w:t>4</w:t>
      </w:r>
      <w:r>
        <w:rPr>
          <w:rFonts w:hint="eastAsia"/>
        </w:rPr>
        <w:t>日至</w:t>
      </w:r>
      <w:r>
        <w:rPr>
          <w:rFonts w:hint="eastAsia"/>
        </w:rPr>
        <w:t>6</w:t>
      </w:r>
      <w:r>
        <w:rPr>
          <w:rFonts w:hint="eastAsia"/>
        </w:rPr>
        <w:t>月</w:t>
      </w:r>
      <w:r>
        <w:rPr>
          <w:rFonts w:hint="eastAsia"/>
        </w:rPr>
        <w:t>27</w:t>
      </w:r>
      <w:r>
        <w:rPr>
          <w:rFonts w:hint="eastAsia"/>
        </w:rPr>
        <w:t>日在</w:t>
      </w:r>
      <w:r>
        <w:t>梅里达</w:t>
      </w:r>
      <w:r>
        <w:rPr>
          <w:rFonts w:hint="eastAsia"/>
        </w:rPr>
        <w:t>市（</w:t>
      </w:r>
      <w:r>
        <w:t>尤卡坦</w:t>
      </w:r>
      <w:r>
        <w:rPr>
          <w:rFonts w:hint="eastAsia"/>
        </w:rPr>
        <w:t>州）举办。</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由</w:t>
      </w:r>
      <w:r>
        <w:rPr>
          <w:rFonts w:hint="eastAsia"/>
        </w:rPr>
        <w:t>CNDH</w:t>
      </w:r>
      <w:r>
        <w:rPr>
          <w:rFonts w:hint="eastAsia"/>
        </w:rPr>
        <w:t>、墨西哥青年协会、运动和青年协会以及青少年参与办公室和恰帕斯</w:t>
      </w:r>
      <w:r>
        <w:t>Causa Joven</w:t>
      </w:r>
      <w:r>
        <w:rPr>
          <w:rFonts w:hint="eastAsia"/>
        </w:rPr>
        <w:t>组织的人权证书课程，于</w:t>
      </w:r>
      <w:r>
        <w:rPr>
          <w:rFonts w:hint="eastAsia"/>
        </w:rPr>
        <w:t>3</w:t>
      </w:r>
      <w:r>
        <w:rPr>
          <w:rFonts w:hint="eastAsia"/>
        </w:rPr>
        <w:t>月</w:t>
      </w:r>
      <w:r>
        <w:rPr>
          <w:rFonts w:hint="eastAsia"/>
        </w:rPr>
        <w:t>27</w:t>
      </w:r>
      <w:r>
        <w:rPr>
          <w:rFonts w:hint="eastAsia"/>
        </w:rPr>
        <w:t>日至</w:t>
      </w:r>
      <w:r>
        <w:rPr>
          <w:rFonts w:hint="eastAsia"/>
        </w:rPr>
        <w:t>8</w:t>
      </w:r>
      <w:r>
        <w:rPr>
          <w:rFonts w:hint="eastAsia"/>
        </w:rPr>
        <w:t>月</w:t>
      </w:r>
      <w:r>
        <w:rPr>
          <w:rFonts w:hint="eastAsia"/>
        </w:rPr>
        <w:t>2</w:t>
      </w:r>
      <w:r>
        <w:rPr>
          <w:rFonts w:hint="eastAsia"/>
        </w:rPr>
        <w:t>日在</w:t>
      </w:r>
      <w:r>
        <w:t>塔帕丘拉</w:t>
      </w:r>
      <w:r>
        <w:rPr>
          <w:rFonts w:hint="eastAsia"/>
        </w:rPr>
        <w:t>市（恰帕斯州）举办。</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由</w:t>
      </w:r>
      <w:r>
        <w:rPr>
          <w:rFonts w:hint="eastAsia"/>
        </w:rPr>
        <w:t>CNDH</w:t>
      </w:r>
      <w:r>
        <w:rPr>
          <w:rFonts w:hint="eastAsia"/>
        </w:rPr>
        <w:t>、</w:t>
      </w:r>
      <w:r>
        <w:t>金塔纳罗奥</w:t>
      </w:r>
      <w:r>
        <w:rPr>
          <w:rFonts w:hint="eastAsia"/>
        </w:rPr>
        <w:t>州人权委员会和</w:t>
      </w:r>
      <w:r>
        <w:t>金塔纳罗奥</w:t>
      </w:r>
      <w:r>
        <w:rPr>
          <w:rFonts w:hint="eastAsia"/>
        </w:rPr>
        <w:t>大学组织的人权证书课程，在本报告涉及的</w:t>
      </w:r>
      <w:r>
        <w:rPr>
          <w:rFonts w:hint="eastAsia"/>
        </w:rPr>
        <w:t>8</w:t>
      </w:r>
      <w:r>
        <w:rPr>
          <w:rFonts w:hint="eastAsia"/>
        </w:rPr>
        <w:t>月</w:t>
      </w:r>
      <w:r>
        <w:rPr>
          <w:rFonts w:hint="eastAsia"/>
        </w:rPr>
        <w:t>15</w:t>
      </w:r>
      <w:r>
        <w:rPr>
          <w:rFonts w:hint="eastAsia"/>
        </w:rPr>
        <w:t>日至</w:t>
      </w:r>
      <w:r>
        <w:rPr>
          <w:rFonts w:hint="eastAsia"/>
        </w:rPr>
        <w:t>10</w:t>
      </w:r>
      <w:r>
        <w:rPr>
          <w:rFonts w:hint="eastAsia"/>
        </w:rPr>
        <w:t>月</w:t>
      </w:r>
      <w:r>
        <w:rPr>
          <w:rFonts w:hint="eastAsia"/>
        </w:rPr>
        <w:t>18</w:t>
      </w:r>
      <w:r>
        <w:rPr>
          <w:rFonts w:hint="eastAsia"/>
        </w:rPr>
        <w:t>日在</w:t>
      </w:r>
      <w:r>
        <w:t>切图马尔</w:t>
      </w:r>
      <w:r>
        <w:rPr>
          <w:rFonts w:hint="eastAsia"/>
        </w:rPr>
        <w:t>市（</w:t>
      </w:r>
      <w:r>
        <w:t>金塔纳罗奥</w:t>
      </w:r>
      <w:r>
        <w:rPr>
          <w:rFonts w:hint="eastAsia"/>
        </w:rPr>
        <w:t>州）举办。</w:t>
      </w:r>
    </w:p>
    <w:p w:rsidR="00000000" w:rsidRDefault="00457650" w:rsidP="00457650">
      <w:pPr>
        <w:widowControl/>
        <w:numPr>
          <w:ilvl w:val="0"/>
          <w:numId w:val="1972"/>
        </w:numPr>
        <w:tabs>
          <w:tab w:val="clear" w:pos="900"/>
          <w:tab w:val="left" w:pos="1050"/>
        </w:tabs>
        <w:spacing w:after="240" w:line="360" w:lineRule="exact"/>
        <w:ind w:leftChars="300" w:left="31680"/>
        <w:rPr>
          <w:rFonts w:hint="eastAsia"/>
        </w:rPr>
      </w:pPr>
      <w:r>
        <w:rPr>
          <w:rFonts w:hint="eastAsia"/>
        </w:rPr>
        <w:t>由</w:t>
      </w:r>
      <w:r>
        <w:rPr>
          <w:rFonts w:hint="eastAsia"/>
        </w:rPr>
        <w:t>CNDH</w:t>
      </w:r>
      <w:r>
        <w:rPr>
          <w:rFonts w:hint="eastAsia"/>
        </w:rPr>
        <w:t>、墨西哥青年协会、运动和青年协会以及青少年参与办公室和恰帕斯</w:t>
      </w:r>
      <w:r>
        <w:t>Causa Joven</w:t>
      </w:r>
      <w:r>
        <w:rPr>
          <w:rFonts w:hint="eastAsia"/>
        </w:rPr>
        <w:t>组织的人权</w:t>
      </w:r>
      <w:r>
        <w:rPr>
          <w:rFonts w:hint="eastAsia"/>
        </w:rPr>
        <w:t>问题证书课程，于</w:t>
      </w:r>
      <w:r>
        <w:rPr>
          <w:rFonts w:hint="eastAsia"/>
        </w:rPr>
        <w:t>8</w:t>
      </w:r>
      <w:r>
        <w:rPr>
          <w:rFonts w:hint="eastAsia"/>
        </w:rPr>
        <w:t>月</w:t>
      </w:r>
      <w:r>
        <w:rPr>
          <w:rFonts w:hint="eastAsia"/>
        </w:rPr>
        <w:t>28</w:t>
      </w:r>
      <w:r>
        <w:rPr>
          <w:rFonts w:hint="eastAsia"/>
        </w:rPr>
        <w:t>日至</w:t>
      </w:r>
      <w:r>
        <w:rPr>
          <w:rFonts w:hint="eastAsia"/>
        </w:rPr>
        <w:t>12</w:t>
      </w:r>
      <w:r>
        <w:rPr>
          <w:rFonts w:hint="eastAsia"/>
        </w:rPr>
        <w:t>月</w:t>
      </w:r>
      <w:r>
        <w:rPr>
          <w:rFonts w:hint="eastAsia"/>
        </w:rPr>
        <w:t>6</w:t>
      </w:r>
      <w:r>
        <w:rPr>
          <w:rFonts w:hint="eastAsia"/>
        </w:rPr>
        <w:t>日在</w:t>
      </w:r>
      <w:r>
        <w:t>图斯特拉</w:t>
      </w:r>
      <w:r>
        <w:rPr>
          <w:rFonts w:ascii="SimSun" w:hAnsi="SimSun" w:hint="eastAsia"/>
        </w:rPr>
        <w:t>-</w:t>
      </w:r>
      <w:r>
        <w:t>古铁雷斯</w:t>
      </w:r>
      <w:r>
        <w:rPr>
          <w:rFonts w:hint="eastAsia"/>
        </w:rPr>
        <w:t>市（恰帕斯州）举办。</w:t>
      </w:r>
    </w:p>
    <w:p w:rsidR="00000000" w:rsidRDefault="00457650" w:rsidP="00457650">
      <w:pPr>
        <w:widowControl/>
        <w:numPr>
          <w:ilvl w:val="0"/>
          <w:numId w:val="1972"/>
        </w:numPr>
        <w:tabs>
          <w:tab w:val="clear" w:pos="900"/>
          <w:tab w:val="left" w:pos="1050"/>
        </w:tabs>
        <w:spacing w:after="240" w:line="360" w:lineRule="exact"/>
        <w:ind w:leftChars="300" w:left="31680"/>
      </w:pPr>
      <w:r>
        <w:rPr>
          <w:rFonts w:hint="eastAsia"/>
        </w:rPr>
        <w:t>由</w:t>
      </w:r>
      <w:r>
        <w:rPr>
          <w:rFonts w:hint="eastAsia"/>
        </w:rPr>
        <w:t>CNDH</w:t>
      </w:r>
      <w:r>
        <w:rPr>
          <w:rFonts w:hint="eastAsia"/>
        </w:rPr>
        <w:t>、</w:t>
      </w:r>
      <w:r>
        <w:t>普埃布拉</w:t>
      </w:r>
      <w:r>
        <w:rPr>
          <w:rFonts w:hint="eastAsia"/>
        </w:rPr>
        <w:t>州人权委员会和</w:t>
      </w:r>
      <w:r>
        <w:t>普埃布拉</w:t>
      </w:r>
      <w:r>
        <w:rPr>
          <w:rFonts w:hint="eastAsia"/>
        </w:rPr>
        <w:t>自由法律学校举办的人权问题证书课程，于本报告涉及的</w:t>
      </w:r>
      <w:r>
        <w:rPr>
          <w:rFonts w:hint="eastAsia"/>
        </w:rPr>
        <w:t>10</w:t>
      </w:r>
      <w:r>
        <w:rPr>
          <w:rFonts w:hint="eastAsia"/>
        </w:rPr>
        <w:t>月</w:t>
      </w:r>
      <w:r>
        <w:rPr>
          <w:rFonts w:hint="eastAsia"/>
        </w:rPr>
        <w:t>3</w:t>
      </w:r>
      <w:r>
        <w:rPr>
          <w:rFonts w:hint="eastAsia"/>
        </w:rPr>
        <w:t>日至</w:t>
      </w:r>
      <w:r>
        <w:rPr>
          <w:rFonts w:hint="eastAsia"/>
        </w:rPr>
        <w:t>12</w:t>
      </w:r>
      <w:r>
        <w:rPr>
          <w:rFonts w:hint="eastAsia"/>
        </w:rPr>
        <w:t>月</w:t>
      </w:r>
      <w:r>
        <w:rPr>
          <w:rFonts w:hint="eastAsia"/>
        </w:rPr>
        <w:t>6</w:t>
      </w:r>
      <w:r>
        <w:rPr>
          <w:rFonts w:hint="eastAsia"/>
        </w:rPr>
        <w:t>日在</w:t>
      </w:r>
      <w:r>
        <w:t>普埃布拉</w:t>
      </w:r>
      <w:r>
        <w:rPr>
          <w:rFonts w:hint="eastAsia"/>
        </w:rPr>
        <w:t>市（</w:t>
      </w:r>
      <w:r>
        <w:t>普埃布拉</w:t>
      </w:r>
      <w:r>
        <w:rPr>
          <w:rFonts w:hint="eastAsia"/>
        </w:rPr>
        <w:t>州）举办。</w:t>
      </w:r>
    </w:p>
    <w:p w:rsidR="00000000" w:rsidRDefault="00457650">
      <w:pPr>
        <w:widowControl/>
        <w:tabs>
          <w:tab w:val="left" w:pos="630"/>
        </w:tabs>
        <w:spacing w:after="240" w:line="360" w:lineRule="exact"/>
        <w:rPr>
          <w:rFonts w:hint="eastAsia"/>
        </w:rPr>
      </w:pPr>
      <w:r>
        <w:t>1235.</w:t>
      </w:r>
      <w:r>
        <w:tab/>
      </w:r>
      <w:r>
        <w:rPr>
          <w:rFonts w:hint="eastAsia"/>
        </w:rPr>
        <w:t>以上课程中共有</w:t>
      </w:r>
      <w:r>
        <w:rPr>
          <w:rFonts w:hint="eastAsia"/>
        </w:rPr>
        <w:t>300</w:t>
      </w:r>
      <w:r>
        <w:rPr>
          <w:rFonts w:hint="eastAsia"/>
        </w:rPr>
        <w:t>人被授予证书。</w:t>
      </w:r>
    </w:p>
    <w:p w:rsidR="00000000" w:rsidRDefault="00457650">
      <w:pPr>
        <w:widowControl/>
        <w:tabs>
          <w:tab w:val="left" w:pos="630"/>
        </w:tabs>
        <w:spacing w:after="240" w:line="360" w:lineRule="exact"/>
        <w:rPr>
          <w:rFonts w:hint="eastAsia"/>
        </w:rPr>
      </w:pPr>
      <w:r>
        <w:t>1236.</w:t>
      </w:r>
      <w:r>
        <w:tab/>
      </w:r>
      <w:r>
        <w:rPr>
          <w:rFonts w:hint="eastAsia"/>
        </w:rPr>
        <w:t>为了增进人权领域的知识，</w:t>
      </w:r>
      <w:r>
        <w:rPr>
          <w:rFonts w:hint="eastAsia"/>
        </w:rPr>
        <w:t>CNDH</w:t>
      </w:r>
      <w:r>
        <w:rPr>
          <w:rFonts w:hint="eastAsia"/>
        </w:rPr>
        <w:t>编排并出版了大量针对不同社会部门的书籍、手册、传单、小册子和海报。</w:t>
      </w:r>
    </w:p>
    <w:p w:rsidR="00000000" w:rsidRDefault="00457650">
      <w:pPr>
        <w:widowControl/>
        <w:tabs>
          <w:tab w:val="left" w:pos="630"/>
        </w:tabs>
        <w:spacing w:after="240" w:line="360" w:lineRule="exact"/>
        <w:rPr>
          <w:rFonts w:hint="eastAsia"/>
        </w:rPr>
      </w:pPr>
      <w:r>
        <w:t>1237.</w:t>
      </w:r>
      <w:r>
        <w:tab/>
      </w:r>
      <w:r>
        <w:rPr>
          <w:rFonts w:hint="eastAsia"/>
        </w:rPr>
        <w:t>国家文化和艺术委员会也采取措施执行人权计划，在这方面，它于</w:t>
      </w:r>
      <w:r>
        <w:rPr>
          <w:rFonts w:hint="eastAsia"/>
        </w:rPr>
        <w:t>2003</w:t>
      </w:r>
      <w:r>
        <w:rPr>
          <w:rFonts w:hint="eastAsia"/>
        </w:rPr>
        <w:t>年</w:t>
      </w:r>
      <w:r>
        <w:rPr>
          <w:rFonts w:hint="eastAsia"/>
        </w:rPr>
        <w:t>8</w:t>
      </w:r>
      <w:r>
        <w:rPr>
          <w:rFonts w:hint="eastAsia"/>
        </w:rPr>
        <w:t>月</w:t>
      </w:r>
      <w:r>
        <w:rPr>
          <w:rFonts w:hint="eastAsia"/>
        </w:rPr>
        <w:t>15</w:t>
      </w:r>
      <w:r>
        <w:rPr>
          <w:rFonts w:hint="eastAsia"/>
        </w:rPr>
        <w:t>日至</w:t>
      </w:r>
      <w:r>
        <w:rPr>
          <w:rFonts w:hint="eastAsia"/>
        </w:rPr>
        <w:t>12</w:t>
      </w:r>
      <w:r>
        <w:rPr>
          <w:rFonts w:hint="eastAsia"/>
        </w:rPr>
        <w:t>月</w:t>
      </w:r>
      <w:r>
        <w:rPr>
          <w:rFonts w:hint="eastAsia"/>
        </w:rPr>
        <w:t>5</w:t>
      </w:r>
      <w:r>
        <w:rPr>
          <w:rFonts w:hint="eastAsia"/>
        </w:rPr>
        <w:t>日组织了一次关于狱中妇女</w:t>
      </w:r>
      <w:r>
        <w:rPr>
          <w:rFonts w:hint="eastAsia"/>
        </w:rPr>
        <w:t>的证书课程。</w:t>
      </w:r>
    </w:p>
    <w:p w:rsidR="00000000" w:rsidRDefault="00457650">
      <w:pPr>
        <w:widowControl/>
        <w:tabs>
          <w:tab w:val="left" w:pos="630"/>
        </w:tabs>
        <w:spacing w:after="240" w:line="360" w:lineRule="exact"/>
      </w:pPr>
      <w:r>
        <w:t>1238.</w:t>
      </w:r>
      <w:r>
        <w:tab/>
      </w:r>
      <w:r>
        <w:rPr>
          <w:rFonts w:hint="eastAsia"/>
        </w:rPr>
        <w:t>举办这个课程的目的是分析狱中女囚的生活状况，从多学科的角度制定有关战略，并采取可能的办法增进对这类群体人权的重视和尊重，同时提高妇女监管中心安全和监管人员对每位被拘留人员及其子女应享待遇和权利的认识。</w:t>
      </w:r>
      <w:r>
        <w:t xml:space="preserve"> </w:t>
      </w:r>
    </w:p>
    <w:p w:rsidR="00000000" w:rsidRDefault="00457650">
      <w:pPr>
        <w:keepNext/>
        <w:widowControl/>
        <w:tabs>
          <w:tab w:val="left" w:pos="630"/>
        </w:tabs>
        <w:spacing w:after="240" w:line="360" w:lineRule="exact"/>
        <w:rPr>
          <w:rFonts w:eastAsia="SimHei" w:hint="eastAsia"/>
        </w:rPr>
      </w:pPr>
      <w:r>
        <w:rPr>
          <w:rFonts w:eastAsia="SimHei" w:hint="eastAsia"/>
        </w:rPr>
        <w:tab/>
      </w:r>
      <w:r>
        <w:rPr>
          <w:rFonts w:eastAsia="SimHei" w:hint="eastAsia"/>
        </w:rPr>
        <w:t>民间社会的意见</w:t>
      </w:r>
    </w:p>
    <w:p w:rsidR="00000000" w:rsidRDefault="00457650">
      <w:pPr>
        <w:keepNext/>
        <w:widowControl/>
        <w:tabs>
          <w:tab w:val="left" w:pos="630"/>
        </w:tabs>
        <w:spacing w:after="240" w:line="360" w:lineRule="exact"/>
        <w:rPr>
          <w:rFonts w:hint="eastAsia"/>
        </w:rPr>
      </w:pPr>
      <w:r>
        <w:t>1239.</w:t>
      </w:r>
      <w:r>
        <w:tab/>
      </w:r>
      <w:r>
        <w:rPr>
          <w:rFonts w:hint="eastAsia"/>
        </w:rPr>
        <w:t>墨西哥政府要说明的是，在编写本报告期间征求了民间社会的意见，并举行了一些会议，其中包括经济、社会和文化权利小组委员会会议，这些会议为收集民间社会组织的意见并从中获得对本报告的反馈提供了必要的机会。</w:t>
      </w:r>
      <w:r>
        <w:t xml:space="preserve"> </w:t>
      </w:r>
    </w:p>
    <w:p w:rsidR="00000000" w:rsidRDefault="00457650">
      <w:pPr>
        <w:widowControl/>
        <w:tabs>
          <w:tab w:val="left" w:pos="630"/>
        </w:tabs>
        <w:spacing w:after="240" w:line="360" w:lineRule="exact"/>
      </w:pPr>
      <w:r>
        <w:t>1240.</w:t>
      </w:r>
      <w:r>
        <w:tab/>
      </w:r>
      <w:r>
        <w:rPr>
          <w:rFonts w:hint="eastAsia"/>
        </w:rPr>
        <w:t>从如下社会和民间组织收到了书面意见，用于</w:t>
      </w:r>
      <w:r>
        <w:rPr>
          <w:rFonts w:hint="eastAsia"/>
        </w:rPr>
        <w:t>协助编写关于经济、社会和文化权利的第二项备选报告。</w:t>
      </w:r>
      <w:r>
        <w:t xml:space="preserve"> </w:t>
      </w:r>
    </w:p>
    <w:p w:rsidR="00000000" w:rsidRDefault="00457650" w:rsidP="00457650">
      <w:pPr>
        <w:widowControl/>
        <w:tabs>
          <w:tab w:val="left" w:pos="1050"/>
        </w:tabs>
        <w:spacing w:after="180" w:line="340" w:lineRule="exact"/>
        <w:ind w:leftChars="300" w:left="31680"/>
      </w:pPr>
      <w:r>
        <w:rPr>
          <w:rFonts w:hint="eastAsia"/>
        </w:rPr>
        <w:t>墨西哥住宅联合会下属城市住房协会</w:t>
      </w:r>
    </w:p>
    <w:p w:rsidR="00000000" w:rsidRDefault="00457650" w:rsidP="00457650">
      <w:pPr>
        <w:widowControl/>
        <w:tabs>
          <w:tab w:val="left" w:pos="1050"/>
        </w:tabs>
        <w:spacing w:after="180" w:line="340" w:lineRule="exact"/>
        <w:ind w:leftChars="300" w:left="31680"/>
        <w:rPr>
          <w:rFonts w:hint="eastAsia"/>
        </w:rPr>
      </w:pPr>
      <w:r>
        <w:rPr>
          <w:rFonts w:hint="eastAsia"/>
        </w:rPr>
        <w:t>墨西哥国立自治大学的教科文组织人权教席</w:t>
      </w:r>
    </w:p>
    <w:p w:rsidR="00000000" w:rsidRDefault="00457650" w:rsidP="00457650">
      <w:pPr>
        <w:widowControl/>
        <w:tabs>
          <w:tab w:val="left" w:pos="1050"/>
        </w:tabs>
        <w:spacing w:after="180" w:line="360" w:lineRule="exact"/>
        <w:ind w:leftChars="300" w:left="31680"/>
      </w:pPr>
      <w:r>
        <w:rPr>
          <w:rFonts w:hint="eastAsia"/>
        </w:rPr>
        <w:t>经济、社会和文化人权中心</w:t>
      </w:r>
    </w:p>
    <w:p w:rsidR="00000000" w:rsidRDefault="00457650" w:rsidP="00457650">
      <w:pPr>
        <w:widowControl/>
        <w:tabs>
          <w:tab w:val="left" w:pos="1050"/>
        </w:tabs>
        <w:spacing w:after="180" w:line="360" w:lineRule="exact"/>
        <w:ind w:leftChars="300" w:left="31680"/>
      </w:pPr>
      <w:r>
        <w:rPr>
          <w:rFonts w:hint="eastAsia"/>
        </w:rPr>
        <w:t>弗雷·弗朗西斯科·德·维多利亚人权中心</w:t>
      </w:r>
    </w:p>
    <w:p w:rsidR="00000000" w:rsidRDefault="00457650" w:rsidP="00457650">
      <w:pPr>
        <w:widowControl/>
        <w:tabs>
          <w:tab w:val="left" w:pos="1050"/>
        </w:tabs>
        <w:spacing w:after="180" w:line="360" w:lineRule="exact"/>
        <w:ind w:leftChars="300" w:left="31680"/>
      </w:pPr>
      <w:r>
        <w:rPr>
          <w:rFonts w:hint="eastAsia"/>
        </w:rPr>
        <w:t>密格尔·奥古斯丁·普罗·胡阿雷斯人权中心</w:t>
      </w:r>
    </w:p>
    <w:p w:rsidR="00000000" w:rsidRDefault="00457650" w:rsidP="00457650">
      <w:pPr>
        <w:widowControl/>
        <w:tabs>
          <w:tab w:val="left" w:pos="1050"/>
        </w:tabs>
        <w:spacing w:after="180" w:line="360" w:lineRule="exact"/>
        <w:ind w:leftChars="300" w:left="31680"/>
      </w:pPr>
      <w:r>
        <w:rPr>
          <w:rFonts w:hint="eastAsia"/>
        </w:rPr>
        <w:t>安东尼奥·德·蒙特西诺斯社会和文化研究中心</w:t>
      </w:r>
    </w:p>
    <w:p w:rsidR="00000000" w:rsidRDefault="00457650" w:rsidP="00457650">
      <w:pPr>
        <w:widowControl/>
        <w:tabs>
          <w:tab w:val="left" w:pos="1050"/>
        </w:tabs>
        <w:spacing w:after="180" w:line="360" w:lineRule="exact"/>
        <w:ind w:leftChars="300" w:left="31680"/>
      </w:pPr>
      <w:r>
        <w:rPr>
          <w:rFonts w:hint="eastAsia"/>
        </w:rPr>
        <w:t>泛基督教主义研究中心</w:t>
      </w:r>
      <w:r>
        <w:t xml:space="preserve"> </w:t>
      </w:r>
    </w:p>
    <w:p w:rsidR="00000000" w:rsidRDefault="00457650" w:rsidP="00457650">
      <w:pPr>
        <w:widowControl/>
        <w:tabs>
          <w:tab w:val="left" w:pos="1050"/>
        </w:tabs>
        <w:spacing w:after="180" w:line="360" w:lineRule="exact"/>
        <w:ind w:leftChars="300" w:left="31680"/>
        <w:rPr>
          <w:rFonts w:hint="eastAsia"/>
        </w:rPr>
      </w:pPr>
      <w:r>
        <w:rPr>
          <w:rFonts w:hint="eastAsia"/>
        </w:rPr>
        <w:t>农村发展研究中心</w:t>
      </w:r>
    </w:p>
    <w:p w:rsidR="00000000" w:rsidRDefault="00457650" w:rsidP="00457650">
      <w:pPr>
        <w:widowControl/>
        <w:tabs>
          <w:tab w:val="left" w:pos="1050"/>
        </w:tabs>
        <w:spacing w:after="180" w:line="360" w:lineRule="exact"/>
        <w:ind w:leftChars="300" w:left="31680"/>
        <w:rPr>
          <w:rFonts w:hint="eastAsia"/>
        </w:rPr>
      </w:pPr>
      <w:r>
        <w:rPr>
          <w:rFonts w:hint="eastAsia"/>
        </w:rPr>
        <w:t>市政培训和调研中心</w:t>
      </w:r>
    </w:p>
    <w:p w:rsidR="00000000" w:rsidRDefault="00457650" w:rsidP="00457650">
      <w:pPr>
        <w:widowControl/>
        <w:tabs>
          <w:tab w:val="left" w:pos="1050"/>
        </w:tabs>
        <w:spacing w:after="180" w:line="360" w:lineRule="exact"/>
        <w:ind w:leftChars="300" w:left="31680"/>
        <w:rPr>
          <w:rFonts w:hint="eastAsia"/>
        </w:rPr>
      </w:pPr>
      <w:r>
        <w:rPr>
          <w:rFonts w:hint="eastAsia"/>
        </w:rPr>
        <w:t>弗雷·胡里安·加赛斯人权和农村发展中心</w:t>
      </w:r>
    </w:p>
    <w:p w:rsidR="00000000" w:rsidRDefault="00457650" w:rsidP="00457650">
      <w:pPr>
        <w:widowControl/>
        <w:tabs>
          <w:tab w:val="left" w:pos="1050"/>
        </w:tabs>
        <w:spacing w:after="180" w:line="360" w:lineRule="exact"/>
        <w:ind w:leftChars="300" w:left="31680"/>
        <w:rPr>
          <w:rFonts w:hint="eastAsia"/>
        </w:rPr>
      </w:pPr>
      <w:r>
        <w:rPr>
          <w:rFonts w:hint="eastAsia"/>
        </w:rPr>
        <w:t>墨西哥环境权利中心</w:t>
      </w:r>
    </w:p>
    <w:p w:rsidR="00000000" w:rsidRDefault="00457650" w:rsidP="00457650">
      <w:pPr>
        <w:widowControl/>
        <w:tabs>
          <w:tab w:val="left" w:pos="1050"/>
        </w:tabs>
        <w:spacing w:after="180" w:line="360" w:lineRule="exact"/>
        <w:ind w:leftChars="300" w:left="31680"/>
        <w:rPr>
          <w:rFonts w:hint="eastAsia"/>
        </w:rPr>
      </w:pPr>
      <w:r>
        <w:rPr>
          <w:rFonts w:hint="eastAsia"/>
        </w:rPr>
        <w:t>劳动观点与实践文化教育促进中心</w:t>
      </w:r>
    </w:p>
    <w:p w:rsidR="00000000" w:rsidRDefault="00457650" w:rsidP="00457650">
      <w:pPr>
        <w:widowControl/>
        <w:tabs>
          <w:tab w:val="left" w:pos="1050"/>
        </w:tabs>
        <w:spacing w:after="180" w:line="360" w:lineRule="exact"/>
        <w:ind w:leftChars="300" w:left="31680"/>
        <w:rPr>
          <w:rFonts w:hint="eastAsia"/>
        </w:rPr>
      </w:pPr>
      <w:r>
        <w:rPr>
          <w:rFonts w:hint="eastAsia"/>
        </w:rPr>
        <w:t>国家新闻媒体中心</w:t>
      </w:r>
    </w:p>
    <w:p w:rsidR="00000000" w:rsidRDefault="00457650" w:rsidP="00457650">
      <w:pPr>
        <w:widowControl/>
        <w:tabs>
          <w:tab w:val="left" w:pos="1050"/>
        </w:tabs>
        <w:spacing w:after="180" w:line="360" w:lineRule="exact"/>
        <w:ind w:leftChars="300" w:left="31680"/>
        <w:rPr>
          <w:rFonts w:hint="eastAsia"/>
        </w:rPr>
      </w:pPr>
      <w:r>
        <w:rPr>
          <w:rFonts w:hint="eastAsia"/>
        </w:rPr>
        <w:t>塔巴斯科州青少年教管委员会</w:t>
      </w:r>
    </w:p>
    <w:p w:rsidR="00000000" w:rsidRDefault="00457650" w:rsidP="00457650">
      <w:pPr>
        <w:widowControl/>
        <w:tabs>
          <w:tab w:val="left" w:pos="1050"/>
        </w:tabs>
        <w:spacing w:after="180" w:line="360" w:lineRule="exact"/>
        <w:ind w:leftChars="300" w:left="31680"/>
        <w:rPr>
          <w:rFonts w:hint="eastAsia"/>
        </w:rPr>
      </w:pPr>
      <w:r>
        <w:rPr>
          <w:rFonts w:hint="eastAsia"/>
        </w:rPr>
        <w:t>民间社会民主联合会</w:t>
      </w:r>
    </w:p>
    <w:p w:rsidR="00000000" w:rsidRDefault="00457650" w:rsidP="00457650">
      <w:pPr>
        <w:widowControl/>
        <w:tabs>
          <w:tab w:val="left" w:pos="1050"/>
        </w:tabs>
        <w:spacing w:after="180" w:line="360" w:lineRule="exact"/>
        <w:ind w:leftChars="300" w:left="31680"/>
        <w:rPr>
          <w:rFonts w:hint="eastAsia"/>
        </w:rPr>
      </w:pPr>
      <w:r>
        <w:rPr>
          <w:rFonts w:hint="eastAsia"/>
        </w:rPr>
        <w:t>米拉谷地区协</w:t>
      </w:r>
      <w:r>
        <w:rPr>
          <w:rFonts w:hint="eastAsia"/>
        </w:rPr>
        <w:t>调会</w:t>
      </w:r>
    </w:p>
    <w:p w:rsidR="00000000" w:rsidRDefault="00457650" w:rsidP="00457650">
      <w:pPr>
        <w:widowControl/>
        <w:tabs>
          <w:tab w:val="left" w:pos="1050"/>
        </w:tabs>
        <w:spacing w:after="180" w:line="360" w:lineRule="exact"/>
        <w:ind w:leftChars="300" w:left="31680"/>
        <w:rPr>
          <w:rFonts w:hint="eastAsia"/>
        </w:rPr>
      </w:pPr>
      <w:r>
        <w:rPr>
          <w:rFonts w:hint="eastAsia"/>
        </w:rPr>
        <w:t>环境评估与监控办公室</w:t>
      </w:r>
    </w:p>
    <w:p w:rsidR="00000000" w:rsidRDefault="00457650" w:rsidP="00457650">
      <w:pPr>
        <w:widowControl/>
        <w:tabs>
          <w:tab w:val="left" w:pos="1050"/>
        </w:tabs>
        <w:spacing w:after="180" w:line="360" w:lineRule="exact"/>
        <w:ind w:leftChars="300" w:left="31680"/>
        <w:rPr>
          <w:rFonts w:hint="eastAsia"/>
        </w:rPr>
      </w:pPr>
      <w:r>
        <w:rPr>
          <w:rFonts w:hint="eastAsia"/>
        </w:rPr>
        <w:t>健康权利保护协会</w:t>
      </w:r>
    </w:p>
    <w:p w:rsidR="00000000" w:rsidRDefault="00457650" w:rsidP="00457650">
      <w:pPr>
        <w:widowControl/>
        <w:tabs>
          <w:tab w:val="left" w:pos="1050"/>
        </w:tabs>
        <w:spacing w:after="180" w:line="360" w:lineRule="exact"/>
        <w:ind w:leftChars="300" w:left="31680"/>
        <w:rPr>
          <w:rFonts w:hint="eastAsia"/>
        </w:rPr>
      </w:pPr>
      <w:r>
        <w:rPr>
          <w:rFonts w:hint="eastAsia"/>
        </w:rPr>
        <w:t>联络、通讯和培训协会</w:t>
      </w:r>
    </w:p>
    <w:p w:rsidR="00000000" w:rsidRDefault="00457650" w:rsidP="00457650">
      <w:pPr>
        <w:widowControl/>
        <w:tabs>
          <w:tab w:val="left" w:pos="1050"/>
        </w:tabs>
        <w:spacing w:after="180" w:line="360" w:lineRule="exact"/>
        <w:ind w:leftChars="300" w:left="31680"/>
        <w:rPr>
          <w:rFonts w:hint="eastAsia"/>
        </w:rPr>
      </w:pPr>
      <w:r>
        <w:rPr>
          <w:rFonts w:hint="eastAsia"/>
        </w:rPr>
        <w:t>粮食第一信息和行动网墨西哥分会</w:t>
      </w:r>
    </w:p>
    <w:p w:rsidR="00000000" w:rsidRDefault="00457650" w:rsidP="00457650">
      <w:pPr>
        <w:widowControl/>
        <w:tabs>
          <w:tab w:val="left" w:pos="1050"/>
        </w:tabs>
        <w:spacing w:after="180" w:line="360" w:lineRule="exact"/>
        <w:ind w:leftChars="300" w:left="31680"/>
        <w:rPr>
          <w:rFonts w:hint="eastAsia"/>
        </w:rPr>
      </w:pPr>
      <w:r>
        <w:rPr>
          <w:rFonts w:hint="eastAsia"/>
        </w:rPr>
        <w:t>可持续发展论坛</w:t>
      </w:r>
    </w:p>
    <w:p w:rsidR="00000000" w:rsidRDefault="00457650" w:rsidP="00457650">
      <w:pPr>
        <w:widowControl/>
        <w:tabs>
          <w:tab w:val="left" w:pos="1050"/>
        </w:tabs>
        <w:spacing w:after="180" w:line="360" w:lineRule="exact"/>
        <w:ind w:leftChars="300" w:left="31680"/>
        <w:rPr>
          <w:rFonts w:hint="eastAsia"/>
        </w:rPr>
      </w:pPr>
      <w:r>
        <w:rPr>
          <w:rFonts w:hint="eastAsia"/>
        </w:rPr>
        <w:t>FUNDAR</w:t>
      </w:r>
      <w:r>
        <w:rPr>
          <w:rFonts w:hint="eastAsia"/>
        </w:rPr>
        <w:t>分析和调研中心</w:t>
      </w:r>
    </w:p>
    <w:p w:rsidR="00000000" w:rsidRDefault="00457650" w:rsidP="00457650">
      <w:pPr>
        <w:widowControl/>
        <w:tabs>
          <w:tab w:val="left" w:pos="1050"/>
        </w:tabs>
        <w:spacing w:after="180" w:line="360" w:lineRule="exact"/>
        <w:ind w:leftChars="300" w:left="31680"/>
        <w:rPr>
          <w:rFonts w:hint="eastAsia"/>
        </w:rPr>
      </w:pPr>
      <w:r>
        <w:rPr>
          <w:rFonts w:hint="eastAsia"/>
        </w:rPr>
        <w:t>身份与联系倡议</w:t>
      </w:r>
    </w:p>
    <w:p w:rsidR="00000000" w:rsidRDefault="00457650" w:rsidP="00457650">
      <w:pPr>
        <w:widowControl/>
        <w:tabs>
          <w:tab w:val="left" w:pos="1050"/>
        </w:tabs>
        <w:spacing w:after="180" w:line="360" w:lineRule="exact"/>
        <w:ind w:leftChars="300" w:left="31680"/>
        <w:rPr>
          <w:rFonts w:hint="eastAsia"/>
        </w:rPr>
      </w:pPr>
      <w:r>
        <w:rPr>
          <w:rFonts w:hint="eastAsia"/>
        </w:rPr>
        <w:t>墨西哥社区发展研究所</w:t>
      </w:r>
    </w:p>
    <w:p w:rsidR="00000000" w:rsidRDefault="00457650" w:rsidP="00457650">
      <w:pPr>
        <w:widowControl/>
        <w:tabs>
          <w:tab w:val="left" w:pos="1050"/>
        </w:tabs>
        <w:spacing w:after="180" w:line="360" w:lineRule="exact"/>
        <w:ind w:leftChars="300" w:left="31680"/>
        <w:rPr>
          <w:rFonts w:hint="eastAsia"/>
        </w:rPr>
      </w:pPr>
      <w:r>
        <w:rPr>
          <w:rFonts w:hint="eastAsia"/>
        </w:rPr>
        <w:t>墨西哥保护人权联盟</w:t>
      </w:r>
    </w:p>
    <w:p w:rsidR="00000000" w:rsidRDefault="00457650" w:rsidP="00457650">
      <w:pPr>
        <w:widowControl/>
        <w:tabs>
          <w:tab w:val="left" w:pos="1050"/>
        </w:tabs>
        <w:spacing w:after="180" w:line="360" w:lineRule="exact"/>
        <w:ind w:leftChars="300" w:left="31680"/>
        <w:rPr>
          <w:rFonts w:hint="eastAsia"/>
        </w:rPr>
      </w:pPr>
      <w:r>
        <w:rPr>
          <w:rFonts w:hint="eastAsia"/>
        </w:rPr>
        <w:t>公民民主运动</w:t>
      </w:r>
    </w:p>
    <w:p w:rsidR="00000000" w:rsidRDefault="00457650" w:rsidP="00457650">
      <w:pPr>
        <w:widowControl/>
        <w:tabs>
          <w:tab w:val="left" w:pos="1050"/>
        </w:tabs>
        <w:spacing w:after="180" w:line="360" w:lineRule="exact"/>
        <w:ind w:leftChars="300" w:left="31680"/>
        <w:rPr>
          <w:rFonts w:hint="eastAsia"/>
        </w:rPr>
      </w:pPr>
      <w:r>
        <w:rPr>
          <w:rFonts w:hint="eastAsia"/>
        </w:rPr>
        <w:t>国际生境联盟拉丁美洲地区办事处</w:t>
      </w:r>
    </w:p>
    <w:p w:rsidR="00000000" w:rsidRDefault="00457650" w:rsidP="00457650">
      <w:pPr>
        <w:widowControl/>
        <w:tabs>
          <w:tab w:val="left" w:pos="1050"/>
        </w:tabs>
        <w:spacing w:after="180" w:line="360" w:lineRule="exact"/>
        <w:ind w:leftChars="300" w:left="31680"/>
        <w:rPr>
          <w:rFonts w:hint="eastAsia"/>
        </w:rPr>
      </w:pPr>
      <w:r>
        <w:rPr>
          <w:rFonts w:hint="eastAsia"/>
        </w:rPr>
        <w:t>伊比利亚</w:t>
      </w:r>
      <w:r>
        <w:rPr>
          <w:rFonts w:hint="eastAsia"/>
        </w:rPr>
        <w:t>-</w:t>
      </w:r>
      <w:r>
        <w:rPr>
          <w:rFonts w:hint="eastAsia"/>
        </w:rPr>
        <w:t>美洲大学人权方案</w:t>
      </w:r>
    </w:p>
    <w:p w:rsidR="00000000" w:rsidRDefault="00457650" w:rsidP="00457650">
      <w:pPr>
        <w:widowControl/>
        <w:tabs>
          <w:tab w:val="left" w:pos="1050"/>
        </w:tabs>
        <w:spacing w:after="180" w:line="360" w:lineRule="exact"/>
        <w:ind w:leftChars="300" w:left="31680"/>
        <w:rPr>
          <w:rFonts w:hint="eastAsia"/>
        </w:rPr>
      </w:pPr>
      <w:r>
        <w:rPr>
          <w:rFonts w:hint="eastAsia"/>
        </w:rPr>
        <w:t>促进妇女经济和社会权利及培训机构</w:t>
      </w:r>
    </w:p>
    <w:p w:rsidR="00000000" w:rsidRDefault="00457650" w:rsidP="00457650">
      <w:pPr>
        <w:widowControl/>
        <w:tabs>
          <w:tab w:val="left" w:pos="1050"/>
        </w:tabs>
        <w:spacing w:after="180" w:line="340" w:lineRule="exact"/>
        <w:ind w:leftChars="300" w:left="31680"/>
        <w:rPr>
          <w:rFonts w:hint="eastAsia"/>
        </w:rPr>
      </w:pPr>
      <w:r>
        <w:rPr>
          <w:rFonts w:hint="eastAsia"/>
        </w:rPr>
        <w:t>青年性和生殖权利网</w:t>
      </w:r>
    </w:p>
    <w:p w:rsidR="00000000" w:rsidRDefault="00457650" w:rsidP="00457650">
      <w:pPr>
        <w:widowControl/>
        <w:tabs>
          <w:tab w:val="left" w:pos="1050"/>
        </w:tabs>
        <w:spacing w:after="180" w:line="360" w:lineRule="exact"/>
        <w:ind w:leftChars="300" w:left="31680"/>
        <w:rPr>
          <w:rFonts w:hint="eastAsia"/>
        </w:rPr>
      </w:pPr>
      <w:r>
        <w:rPr>
          <w:rFonts w:hint="eastAsia"/>
        </w:rPr>
        <w:t>墨西哥研究人员网</w:t>
      </w:r>
    </w:p>
    <w:p w:rsidR="00000000" w:rsidRDefault="00457650" w:rsidP="00457650">
      <w:pPr>
        <w:widowControl/>
        <w:tabs>
          <w:tab w:val="left" w:pos="1050"/>
        </w:tabs>
        <w:spacing w:after="180" w:line="360" w:lineRule="exact"/>
        <w:ind w:leftChars="300" w:left="31680"/>
        <w:rPr>
          <w:rFonts w:hint="eastAsia"/>
        </w:rPr>
      </w:pPr>
      <w:r>
        <w:rPr>
          <w:rFonts w:hint="eastAsia"/>
        </w:rPr>
        <w:t>墨西哥儿童权利网</w:t>
      </w:r>
    </w:p>
    <w:p w:rsidR="00000000" w:rsidRDefault="00457650" w:rsidP="00457650">
      <w:pPr>
        <w:widowControl/>
        <w:tabs>
          <w:tab w:val="left" w:pos="1050"/>
        </w:tabs>
        <w:spacing w:after="180" w:line="360" w:lineRule="exact"/>
        <w:ind w:leftChars="300" w:left="31680"/>
      </w:pPr>
      <w:r>
        <w:rPr>
          <w:rFonts w:hint="eastAsia"/>
        </w:rPr>
        <w:t>墨西哥服务与团结组织</w:t>
      </w:r>
    </w:p>
    <w:p w:rsidR="00000000" w:rsidRDefault="00457650">
      <w:pPr>
        <w:widowControl/>
        <w:tabs>
          <w:tab w:val="left" w:pos="630"/>
        </w:tabs>
        <w:spacing w:after="240" w:line="360" w:lineRule="exact"/>
      </w:pPr>
      <w:r>
        <w:t>1241.</w:t>
      </w:r>
      <w:r>
        <w:tab/>
      </w:r>
      <w:r>
        <w:rPr>
          <w:rFonts w:hint="eastAsia"/>
        </w:rPr>
        <w:t>另外，负责促进编写《关于经济、社会和文化权利的第二次备选报告》小组就该报告草案发表了意见，并经过审议和被采纳，这</w:t>
      </w:r>
      <w:r>
        <w:rPr>
          <w:rFonts w:hint="eastAsia"/>
        </w:rPr>
        <w:t>些意见包括：</w:t>
      </w:r>
    </w:p>
    <w:p w:rsidR="00000000" w:rsidRDefault="00457650">
      <w:pPr>
        <w:widowControl/>
        <w:numPr>
          <w:ilvl w:val="0"/>
          <w:numId w:val="1973"/>
        </w:numPr>
        <w:spacing w:after="180" w:line="360" w:lineRule="exact"/>
      </w:pPr>
      <w:r>
        <w:rPr>
          <w:rFonts w:hint="eastAsia"/>
        </w:rPr>
        <w:t>草案中有一些实质性的差距，这使得不可能全面了解政府在经济、社会和文化权利领域的工作。</w:t>
      </w:r>
      <w:r>
        <w:t xml:space="preserve"> </w:t>
      </w:r>
    </w:p>
    <w:p w:rsidR="00000000" w:rsidRDefault="00457650">
      <w:pPr>
        <w:widowControl/>
        <w:numPr>
          <w:ilvl w:val="0"/>
          <w:numId w:val="1973"/>
        </w:numPr>
        <w:spacing w:after="180" w:line="360" w:lineRule="exact"/>
      </w:pPr>
      <w:r>
        <w:rPr>
          <w:rFonts w:hint="eastAsia"/>
        </w:rPr>
        <w:t>报告缺少人权观点，它只提供了信息，重复了各种法律，介绍了大量方案框架，而没有说明缔约国根据《公约》规定履行其义务的情况，而且对联合国经济、社会和文化权利委员会确定的指南只作了有限的说明。</w:t>
      </w:r>
    </w:p>
    <w:p w:rsidR="00000000" w:rsidRDefault="00457650">
      <w:pPr>
        <w:widowControl/>
        <w:numPr>
          <w:ilvl w:val="0"/>
          <w:numId w:val="1973"/>
        </w:numPr>
        <w:spacing w:after="180" w:line="360" w:lineRule="exact"/>
      </w:pPr>
      <w:r>
        <w:rPr>
          <w:rFonts w:hint="eastAsia"/>
        </w:rPr>
        <w:t>这方面令人关注的另一个问题是，对全面审查经济、社会和文化权利，特别是决策自由和环境问题至关重要的方面没有讨论。</w:t>
      </w:r>
      <w:r>
        <w:t xml:space="preserve"> </w:t>
      </w:r>
    </w:p>
    <w:p w:rsidR="00000000" w:rsidRDefault="00457650">
      <w:pPr>
        <w:widowControl/>
        <w:numPr>
          <w:ilvl w:val="0"/>
          <w:numId w:val="1973"/>
        </w:numPr>
        <w:spacing w:after="180" w:line="360" w:lineRule="exact"/>
      </w:pPr>
      <w:r>
        <w:rPr>
          <w:rFonts w:hint="eastAsia"/>
        </w:rPr>
        <w:t>对现有问题、获得并享有不同权利过程中所遇到的障碍，以及因此需要采取的应对措施等方面的认识严重不足。</w:t>
      </w:r>
      <w:r>
        <w:t xml:space="preserve"> </w:t>
      </w:r>
    </w:p>
    <w:p w:rsidR="00000000" w:rsidRDefault="00457650">
      <w:pPr>
        <w:widowControl/>
        <w:numPr>
          <w:ilvl w:val="0"/>
          <w:numId w:val="1973"/>
        </w:numPr>
        <w:spacing w:after="180" w:line="360" w:lineRule="exact"/>
      </w:pPr>
      <w:r>
        <w:rPr>
          <w:rFonts w:hint="eastAsia"/>
        </w:rPr>
        <w:t>在所提</w:t>
      </w:r>
      <w:r>
        <w:rPr>
          <w:rFonts w:hint="eastAsia"/>
        </w:rPr>
        <w:t>供的各项统计指标中，数量因素要比质量方面更受重视；另外，这些指标不足以支持报告所涉期间提供的信息。</w:t>
      </w:r>
    </w:p>
    <w:p w:rsidR="00000000" w:rsidRDefault="00457650">
      <w:pPr>
        <w:widowControl/>
        <w:numPr>
          <w:ilvl w:val="0"/>
          <w:numId w:val="1973"/>
        </w:numPr>
        <w:spacing w:after="180" w:line="360" w:lineRule="exact"/>
      </w:pPr>
      <w:r>
        <w:rPr>
          <w:rFonts w:hint="eastAsia"/>
        </w:rPr>
        <w:t>由于有关方案中缺少说明性内容，因此，对这些方案的设计和执行情况不容易了解，就影响评估结果而言尤其如此。</w:t>
      </w:r>
    </w:p>
    <w:p w:rsidR="00000000" w:rsidRDefault="00457650">
      <w:pPr>
        <w:widowControl/>
        <w:numPr>
          <w:ilvl w:val="0"/>
          <w:numId w:val="1973"/>
        </w:numPr>
        <w:spacing w:after="180" w:line="360" w:lineRule="exact"/>
      </w:pPr>
      <w:r>
        <w:rPr>
          <w:rFonts w:hint="eastAsia"/>
        </w:rPr>
        <w:t>我们注意到一些资料来源并不准确。</w:t>
      </w:r>
      <w:r>
        <w:t xml:space="preserve"> </w:t>
      </w:r>
    </w:p>
    <w:p w:rsidR="00000000" w:rsidRDefault="00457650">
      <w:pPr>
        <w:widowControl/>
        <w:tabs>
          <w:tab w:val="left" w:pos="630"/>
        </w:tabs>
        <w:spacing w:after="240" w:line="360" w:lineRule="exact"/>
        <w:rPr>
          <w:rFonts w:hint="eastAsia"/>
        </w:rPr>
      </w:pPr>
      <w:r>
        <w:rPr>
          <w:spacing w:val="-2"/>
        </w:rPr>
        <w:t>1242.</w:t>
      </w:r>
      <w:r>
        <w:rPr>
          <w:spacing w:val="-2"/>
        </w:rPr>
        <w:tab/>
      </w:r>
      <w:r>
        <w:rPr>
          <w:rFonts w:hint="eastAsia"/>
        </w:rPr>
        <w:t>墨西哥政府要说明的是，它同意民间社会组织在有关会议上口头表达的一些意见以及书面提交的意见。这里转载了它们的意见，而且在编写本报告时均作了考虑。</w:t>
      </w:r>
    </w:p>
    <w:p w:rsidR="00000000" w:rsidRDefault="00457650">
      <w:pPr>
        <w:widowControl/>
        <w:tabs>
          <w:tab w:val="left" w:pos="630"/>
        </w:tabs>
        <w:spacing w:after="240" w:line="360" w:lineRule="exact"/>
        <w:jc w:val="center"/>
        <w:rPr>
          <w:rFonts w:eastAsia="SimHei" w:hint="eastAsia"/>
          <w:bCs/>
          <w:sz w:val="28"/>
        </w:rPr>
      </w:pPr>
      <w:r>
        <w:rPr>
          <w:rFonts w:eastAsia="SimHei" w:hint="eastAsia"/>
          <w:bCs/>
          <w:sz w:val="28"/>
        </w:rPr>
        <w:t>四、</w:t>
      </w:r>
      <w:r>
        <w:rPr>
          <w:rFonts w:eastAsia="SimHei"/>
          <w:bCs/>
          <w:sz w:val="28"/>
        </w:rPr>
        <w:tab/>
      </w:r>
      <w:r>
        <w:rPr>
          <w:rFonts w:eastAsia="SimHei" w:hint="eastAsia"/>
          <w:bCs/>
          <w:sz w:val="28"/>
        </w:rPr>
        <w:t>结论</w:t>
      </w:r>
    </w:p>
    <w:p w:rsidR="00000000" w:rsidRDefault="00457650">
      <w:pPr>
        <w:widowControl/>
        <w:tabs>
          <w:tab w:val="left" w:pos="630"/>
        </w:tabs>
        <w:spacing w:after="240" w:line="360" w:lineRule="exact"/>
        <w:rPr>
          <w:rFonts w:hint="eastAsia"/>
        </w:rPr>
      </w:pPr>
      <w:r>
        <w:t>1243.</w:t>
      </w:r>
      <w:r>
        <w:tab/>
      </w:r>
      <w:r>
        <w:rPr>
          <w:rFonts w:hint="eastAsia"/>
        </w:rPr>
        <w:t>本报告的编写为墨西哥政府提供了一个重要机会，使它能够在一份单独的文件中综合介绍它为落实《经济</w:t>
      </w:r>
      <w:r>
        <w:rPr>
          <w:rFonts w:hint="eastAsia"/>
        </w:rPr>
        <w:t>、社会、文化权利国际公约》中规定的权利所做的全部努力和采取的行动。</w:t>
      </w:r>
    </w:p>
    <w:p w:rsidR="00000000" w:rsidRDefault="00457650">
      <w:pPr>
        <w:widowControl/>
        <w:tabs>
          <w:tab w:val="left" w:pos="630"/>
        </w:tabs>
        <w:spacing w:after="240" w:line="360" w:lineRule="exact"/>
      </w:pPr>
      <w:r>
        <w:t>1244.</w:t>
      </w:r>
      <w:r>
        <w:tab/>
      </w:r>
      <w:r>
        <w:rPr>
          <w:rFonts w:hint="eastAsia"/>
        </w:rPr>
        <w:t>墨西哥认为，国家有义务创造条件，让每个人都能享有经济、社会和文化权利，以及公民权利和政治权利，只有这样，人类才能享有真正的自由。</w:t>
      </w:r>
    </w:p>
    <w:p w:rsidR="00000000" w:rsidRDefault="00457650">
      <w:pPr>
        <w:widowControl/>
        <w:tabs>
          <w:tab w:val="left" w:pos="630"/>
        </w:tabs>
        <w:spacing w:after="240" w:line="360" w:lineRule="exact"/>
        <w:rPr>
          <w:rFonts w:hint="eastAsia"/>
        </w:rPr>
      </w:pPr>
      <w:r>
        <w:t>1245.</w:t>
      </w:r>
      <w:r>
        <w:tab/>
      </w:r>
      <w:r>
        <w:rPr>
          <w:rFonts w:hint="eastAsia"/>
        </w:rPr>
        <w:t>墨西哥政府认为，虽然它在逐步引入这些权利方面取得了显著进步，但它仍意识到，要确保所有男女墨西哥人无一例外地都能真正享受这些权利，还有许多工作要做。</w:t>
      </w:r>
    </w:p>
    <w:p w:rsidR="00000000" w:rsidRDefault="00457650">
      <w:pPr>
        <w:widowControl/>
        <w:tabs>
          <w:tab w:val="left" w:pos="630"/>
        </w:tabs>
        <w:spacing w:after="240" w:line="360" w:lineRule="exact"/>
        <w:rPr>
          <w:rFonts w:hint="eastAsia"/>
        </w:rPr>
      </w:pPr>
      <w:r>
        <w:t>1246.</w:t>
      </w:r>
      <w:r>
        <w:tab/>
      </w:r>
      <w:r>
        <w:rPr>
          <w:rFonts w:hint="eastAsia"/>
        </w:rPr>
        <w:t>墨西哥约有</w:t>
      </w:r>
      <w:r>
        <w:t>4</w:t>
      </w:r>
      <w:r>
        <w:rPr>
          <w:rFonts w:hint="eastAsia"/>
        </w:rPr>
        <w:t xml:space="preserve"> </w:t>
      </w:r>
      <w:r>
        <w:t>000</w:t>
      </w:r>
      <w:r>
        <w:rPr>
          <w:rFonts w:hint="eastAsia"/>
        </w:rPr>
        <w:t>万贫穷人口，因此政府的首要职责，以及它所面临的主要挑战，就是消除贫穷，要实现这一目标，必须让所有人民都享有这些</w:t>
      </w:r>
      <w:r>
        <w:rPr>
          <w:rFonts w:hint="eastAsia"/>
        </w:rPr>
        <w:t>权利。因此，大量资源已专门用于制定和并执行有关方案和公共政策，以便能在经济、社会和文化权利领域取得真正的、前所未有的全面进展。</w:t>
      </w:r>
    </w:p>
    <w:p w:rsidR="00000000" w:rsidRDefault="00457650">
      <w:pPr>
        <w:widowControl/>
        <w:tabs>
          <w:tab w:val="left" w:pos="630"/>
        </w:tabs>
        <w:spacing w:after="240" w:line="360" w:lineRule="exact"/>
        <w:rPr>
          <w:rFonts w:hint="eastAsia"/>
        </w:rPr>
      </w:pPr>
      <w:r>
        <w:t>1247.</w:t>
      </w:r>
      <w:r>
        <w:tab/>
      </w:r>
      <w:r>
        <w:rPr>
          <w:rFonts w:hint="eastAsia"/>
        </w:rPr>
        <w:t>能否真正实现经济、社会和文化权利，在很大程度上取决于不同国家的经济和资源状况。墨西哥作为一个新兴的经济国家，有许多重大障碍亟待排除，以保证全体人民都能享有其权利。但是，这并非一项容易的任务，而且无法单独完成。</w:t>
      </w:r>
    </w:p>
    <w:p w:rsidR="00000000" w:rsidRDefault="00457650">
      <w:pPr>
        <w:widowControl/>
        <w:tabs>
          <w:tab w:val="left" w:pos="630"/>
        </w:tabs>
        <w:spacing w:after="240" w:line="360" w:lineRule="exact"/>
        <w:rPr>
          <w:rFonts w:hint="eastAsia"/>
        </w:rPr>
      </w:pPr>
      <w:r>
        <w:t>1248.</w:t>
      </w:r>
      <w:r>
        <w:tab/>
      </w:r>
      <w:r>
        <w:rPr>
          <w:rFonts w:hint="eastAsia"/>
        </w:rPr>
        <w:t>墨西哥正在经历民主转型，与此同时，在它的影响下，政治形势进入了一个复杂而微妙的阶段，对国家有利的决策遇到了各种障碍，难以逐步落实。但是，这种转型的代价</w:t>
      </w:r>
      <w:r>
        <w:rPr>
          <w:rFonts w:hint="eastAsia"/>
        </w:rPr>
        <w:t>最终将得以补偿，并有助于进行更好更均衡的讨论，进而最终形成有利于逐步实现这些权利的决策。</w:t>
      </w:r>
      <w:r>
        <w:rPr>
          <w:rFonts w:hint="eastAsia"/>
        </w:rPr>
        <w:t xml:space="preserve"> </w:t>
      </w:r>
    </w:p>
    <w:p w:rsidR="00000000" w:rsidRDefault="00457650">
      <w:pPr>
        <w:widowControl/>
        <w:tabs>
          <w:tab w:val="left" w:pos="630"/>
        </w:tabs>
        <w:spacing w:after="240" w:line="360" w:lineRule="exact"/>
        <w:rPr>
          <w:rFonts w:hint="eastAsia"/>
        </w:rPr>
      </w:pPr>
      <w:r>
        <w:t>1249.</w:t>
      </w:r>
      <w:r>
        <w:tab/>
      </w:r>
      <w:r>
        <w:rPr>
          <w:rFonts w:hint="eastAsia"/>
        </w:rPr>
        <w:t>在编写本报告的过程中，请民间社会发表了评论意见。这些意见都已收到，并由墨西哥政府列入了本报告。</w:t>
      </w:r>
    </w:p>
    <w:p w:rsidR="00000000" w:rsidRDefault="00457650">
      <w:pPr>
        <w:widowControl/>
        <w:tabs>
          <w:tab w:val="left" w:pos="630"/>
        </w:tabs>
        <w:spacing w:after="240" w:line="360" w:lineRule="exact"/>
        <w:rPr>
          <w:rFonts w:hint="eastAsia"/>
        </w:rPr>
      </w:pPr>
      <w:r>
        <w:t>1250.</w:t>
      </w:r>
      <w:r>
        <w:tab/>
      </w:r>
      <w:r>
        <w:rPr>
          <w:rFonts w:hint="eastAsia"/>
        </w:rPr>
        <w:t>各种不足依然存在，而且只有得到克服，才能完全实现经济、社会和文化权利，尽管如此，墨西哥政府在本报告中申明了它的政治意愿，它将让本国人民真正享有和行使这些权利及其他所有权利，并将继续坚定地致力于完成这项任务。</w:t>
      </w:r>
    </w:p>
    <w:p w:rsidR="00000000" w:rsidRDefault="00457650">
      <w:pPr>
        <w:widowControl/>
        <w:jc w:val="center"/>
        <w:rPr>
          <w:rFonts w:ascii="SimSun" w:hAnsi="SimSun"/>
          <w:color w:val="000000"/>
        </w:rPr>
      </w:pPr>
      <w:r>
        <w:t>* * *</w:t>
      </w:r>
    </w:p>
    <w:p w:rsidR="00000000" w:rsidRDefault="00457650">
      <w:pPr>
        <w:widowControl/>
        <w:tabs>
          <w:tab w:val="left" w:pos="630"/>
        </w:tabs>
        <w:spacing w:after="240" w:line="360" w:lineRule="exact"/>
        <w:rPr>
          <w:lang w:val="en-GB"/>
        </w:rPr>
      </w:pPr>
    </w:p>
    <w:sectPr w:rsidR="00000000">
      <w:headerReference w:type="even" r:id="rId174"/>
      <w:headerReference w:type="default" r:id="rId175"/>
      <w:footerReference w:type="even" r:id="rId176"/>
      <w:footerReference w:type="default" r:id="rId177"/>
      <w:endnotePr>
        <w:numFmt w:val="decimal"/>
      </w:endnotePr>
      <w:pgSz w:w="12242" w:h="15842" w:code="1"/>
      <w:pgMar w:top="1701" w:right="1196" w:bottom="1418" w:left="1196" w:header="794" w:footer="964"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457650">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w:t>
      </w:r>
      <w:r>
        <w:rPr>
          <w:rFonts w:hint="eastAsia"/>
        </w:rPr>
        <w:t>GE</w:t>
      </w:r>
      <w:r>
        <w:t>0</w:t>
      </w:r>
      <w:r>
        <w:rPr>
          <w:rFonts w:hint="eastAsia"/>
        </w:rPr>
        <w:t>540524EXT</w:t>
      </w:r>
      <w:r>
        <w:t>&lt;&lt;ODS JOB NO&gt;&gt;</w:t>
      </w:r>
    </w:p>
    <w:p w:rsidR="00000000" w:rsidRDefault="00457650">
      <w:pPr>
        <w:pStyle w:val="CommentText"/>
      </w:pPr>
      <w:r>
        <w:t>&lt;&lt;ODS DOC SYMBOL1&gt;&gt;</w:t>
      </w:r>
      <w:r>
        <w:rPr>
          <w:rFonts w:hint="eastAsia"/>
        </w:rPr>
        <w:t>E/C.12/4/Add.16</w:t>
      </w:r>
      <w:r>
        <w:t>&lt;&lt;ODS DOC SYMBOL1&gt;&gt;</w:t>
      </w:r>
    </w:p>
    <w:p w:rsidR="00000000" w:rsidRDefault="00457650">
      <w:pPr>
        <w:pStyle w:val="CommentText"/>
      </w:pPr>
      <w:r>
        <w:t>&lt;&lt;ODS DOC SYMBOL2&gt;&gt;&lt;&lt;ODS DOC SYMBOL2&gt;&gt;</w:t>
      </w:r>
    </w:p>
  </w:comment>
  <w:comment w:id="1" w:author="dazi" w:initials="d">
    <w:p w:rsidR="00000000" w:rsidRDefault="00457650">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57650">
      <w:pPr>
        <w:spacing w:line="240" w:lineRule="auto"/>
      </w:pPr>
      <w:r>
        <w:separator/>
      </w:r>
    </w:p>
  </w:endnote>
  <w:endnote w:type="continuationSeparator" w:id="0">
    <w:p w:rsidR="00000000" w:rsidRDefault="004576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KaiTi_GB2312">
    <w:altName w:val="Arial Unicode MS"/>
    <w:panose1 w:val="02010609060101010101"/>
    <w:charset w:val="86"/>
    <w:family w:val="modern"/>
    <w:pitch w:val="fixed"/>
    <w:sig w:usb0="00000001" w:usb1="080E0000" w:usb2="00000010" w:usb3="00000000" w:csb0="00040000" w:csb1="00000000"/>
  </w:font>
  <w:font w:name="仿宋体">
    <w:altName w:val="Arial Unicode MS"/>
    <w:charset w:val="86"/>
    <w:family w:val="roman"/>
    <w:pitch w:val="variable"/>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WP TypographicSymbols">
    <w:altName w:val="Courier New"/>
    <w:panose1 w:val="00000000000000000000"/>
    <w:charset w:val="00"/>
    <w:family w:val="auto"/>
    <w:notTrueType/>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方正楷体_GBK">
    <w:altName w:val="Arial Unicode MS"/>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5765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45765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5765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45765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57650" w:rsidP="00457650">
    <w:pPr>
      <w:pStyle w:val="FootnoteText"/>
      <w:spacing w:after="120"/>
      <w:ind w:left="31680" w:hangingChars="150" w:firstLine="31680"/>
      <w:rPr>
        <w:rFonts w:eastAsia="SimSun" w:hint="eastAsia"/>
      </w:rPr>
    </w:pPr>
    <w:r>
      <w:rPr>
        <w:rFonts w:eastAsia="SimSun" w:hint="eastAsia"/>
      </w:rPr>
      <w:t>______________________________</w:t>
    </w:r>
  </w:p>
  <w:p w:rsidR="00000000" w:rsidRDefault="00457650" w:rsidP="00457650">
    <w:pPr>
      <w:pStyle w:val="FootnoteText"/>
      <w:tabs>
        <w:tab w:val="left" w:pos="840"/>
      </w:tabs>
      <w:ind w:firstLineChars="200" w:firstLine="31680"/>
      <w:jc w:val="both"/>
      <w:rPr>
        <w:rFonts w:eastAsia="SimSun" w:hint="eastAsia"/>
      </w:rPr>
    </w:pPr>
    <w:r>
      <w:rPr>
        <w:rFonts w:eastAsia="SimSun" w:hint="eastAsia"/>
        <w:vertAlign w:val="superscript"/>
      </w:rPr>
      <w:t>*</w:t>
    </w:r>
    <w:r>
      <w:rPr>
        <w:rFonts w:eastAsia="SimSun" w:hint="eastAsia"/>
      </w:rPr>
      <w:t xml:space="preserve">  </w:t>
    </w:r>
    <w:r>
      <w:rPr>
        <w:rFonts w:eastAsia="SimSun" w:hint="eastAsia"/>
      </w:rPr>
      <w:tab/>
    </w:r>
    <w:r>
      <w:rPr>
        <w:rFonts w:eastAsia="SimSun" w:hint="eastAsia"/>
      </w:rPr>
      <w:t>墨西哥提交的第三次定期报告（</w:t>
    </w:r>
    <w:r>
      <w:rPr>
        <w:rFonts w:eastAsia="SimSun" w:hint="eastAsia"/>
      </w:rPr>
      <w:t>E/1991/104/A</w:t>
    </w:r>
    <w:r>
      <w:rPr>
        <w:rFonts w:eastAsia="SimSun"/>
      </w:rPr>
      <w:t>dd</w:t>
    </w:r>
    <w:r>
      <w:rPr>
        <w:rFonts w:eastAsia="SimSun" w:hint="eastAsia"/>
      </w:rPr>
      <w:t>.18</w:t>
    </w:r>
    <w:r>
      <w:rPr>
        <w:rFonts w:eastAsia="SimSun" w:hint="eastAsia"/>
      </w:rPr>
      <w:t>）涵盖了《公约》第</w:t>
    </w:r>
    <w:r>
      <w:rPr>
        <w:rFonts w:eastAsia="SimSun" w:hint="eastAsia"/>
      </w:rPr>
      <w:t>1</w:t>
    </w:r>
    <w:r>
      <w:rPr>
        <w:rFonts w:eastAsia="SimSun" w:hint="eastAsia"/>
      </w:rPr>
      <w:t>至第</w:t>
    </w:r>
    <w:r>
      <w:rPr>
        <w:rFonts w:eastAsia="SimSun" w:hint="eastAsia"/>
      </w:rPr>
      <w:t>15</w:t>
    </w:r>
    <w:r>
      <w:rPr>
        <w:rFonts w:eastAsia="SimSun" w:hint="eastAsia"/>
      </w:rPr>
      <w:t>条的权利，该报告已经过委员会</w:t>
    </w:r>
    <w:r>
      <w:rPr>
        <w:rFonts w:eastAsia="SimSun" w:hint="eastAsia"/>
      </w:rPr>
      <w:t>1999</w:t>
    </w:r>
    <w:r>
      <w:rPr>
        <w:rFonts w:eastAsia="SimSun" w:hint="eastAsia"/>
      </w:rPr>
      <w:t>年第二十一届会议审议（见</w:t>
    </w:r>
    <w:r>
      <w:rPr>
        <w:rFonts w:eastAsia="SimSun" w:hint="eastAsia"/>
      </w:rPr>
      <w:t>E/C.12/1999/SR.44-46</w:t>
    </w:r>
    <w:r>
      <w:rPr>
        <w:rFonts w:eastAsia="SimSun" w:hint="eastAsia"/>
      </w:rPr>
      <w:t>；</w:t>
    </w:r>
    <w:r>
      <w:rPr>
        <w:rFonts w:eastAsia="SimSun" w:hint="eastAsia"/>
      </w:rPr>
      <w:t>E/C.12.1/Add.41</w:t>
    </w:r>
    <w:r>
      <w:rPr>
        <w:rFonts w:eastAsia="SimSun" w:hint="eastAsia"/>
      </w:rPr>
      <w:t>）。</w:t>
    </w:r>
  </w:p>
  <w:p w:rsidR="00000000" w:rsidRDefault="00457650" w:rsidP="00457650">
    <w:pPr>
      <w:pStyle w:val="FootnoteText"/>
      <w:tabs>
        <w:tab w:val="left" w:pos="840"/>
      </w:tabs>
      <w:ind w:firstLineChars="200" w:firstLine="31680"/>
      <w:jc w:val="both"/>
      <w:rPr>
        <w:rFonts w:eastAsia="SimSun" w:hint="eastAsia"/>
      </w:rPr>
    </w:pPr>
    <w:r>
      <w:rPr>
        <w:rFonts w:eastAsia="SimSun" w:hint="eastAsia"/>
        <w:vertAlign w:val="superscript"/>
      </w:rPr>
      <w:t>**</w:t>
    </w:r>
    <w:r>
      <w:rPr>
        <w:rFonts w:eastAsia="SimSun" w:hint="eastAsia"/>
      </w:rPr>
      <w:t xml:space="preserve">  </w:t>
    </w:r>
    <w:r>
      <w:rPr>
        <w:rFonts w:eastAsia="SimSun" w:hint="eastAsia"/>
      </w:rPr>
      <w:tab/>
    </w:r>
    <w:r>
      <w:rPr>
        <w:rFonts w:eastAsia="SimSun" w:hint="eastAsia"/>
      </w:rPr>
      <w:t>根据关于缔约国报告初始部分的综合指导原则提供的信息载于核心文件（</w:t>
    </w:r>
    <w:r>
      <w:rPr>
        <w:rFonts w:eastAsia="SimSun" w:hint="eastAsia"/>
      </w:rPr>
      <w:t>HRI/CORE/1/Add.12/</w:t>
    </w:r>
    <w:r>
      <w:rPr>
        <w:rFonts w:eastAsia="SimSun"/>
      </w:rPr>
      <w:t>Rev.</w:t>
    </w:r>
    <w:r>
      <w:rPr>
        <w:rFonts w:eastAsia="SimSun" w:hint="eastAsia"/>
      </w:rPr>
      <w:t>1</w:t>
    </w:r>
    <w:r>
      <w:rPr>
        <w:rFonts w:eastAsia="SimSun" w:hint="eastAsia"/>
      </w:rPr>
      <w:t>）。</w:t>
    </w:r>
  </w:p>
  <w:p w:rsidR="00000000" w:rsidRDefault="00457650" w:rsidP="00457650">
    <w:pPr>
      <w:pStyle w:val="FootnoteText"/>
      <w:tabs>
        <w:tab w:val="left" w:pos="840"/>
      </w:tabs>
      <w:ind w:firstLineChars="200" w:firstLine="31680"/>
      <w:jc w:val="both"/>
      <w:rPr>
        <w:rFonts w:hint="eastAsia"/>
        <w:bCs/>
        <w:sz w:val="21"/>
      </w:rPr>
    </w:pPr>
    <w:r>
      <w:rPr>
        <w:rFonts w:eastAsia="SimSun" w:hint="eastAsia"/>
        <w:vertAlign w:val="superscript"/>
      </w:rPr>
      <w:t>***</w:t>
    </w:r>
    <w:r>
      <w:rPr>
        <w:rFonts w:eastAsia="SimSun" w:hint="eastAsia"/>
      </w:rPr>
      <w:t xml:space="preserve">  </w:t>
    </w:r>
    <w:r>
      <w:rPr>
        <w:rFonts w:eastAsia="SimSun" w:hint="eastAsia"/>
      </w:rPr>
      <w:tab/>
    </w:r>
    <w:r>
      <w:rPr>
        <w:rFonts w:eastAsia="SimSun" w:hint="eastAsia"/>
      </w:rPr>
      <w:t>根据发送给缔约国的关于报告处理情况的信息，本文件在送达联合国翻译部门前未作正式编辑。</w:t>
    </w:r>
  </w:p>
  <w:p w:rsidR="00000000" w:rsidRDefault="00457650">
    <w:pPr>
      <w:pStyle w:val="Footer"/>
      <w:rPr>
        <w:bCs/>
        <w:sz w:val="21"/>
      </w:rPr>
    </w:pPr>
  </w:p>
  <w:p w:rsidR="00000000" w:rsidRDefault="00457650">
    <w:pPr>
      <w:pStyle w:val="Footer"/>
      <w:rPr>
        <w:bCs/>
        <w:sz w:val="21"/>
      </w:rPr>
    </w:pPr>
  </w:p>
  <w:p w:rsidR="00000000" w:rsidRDefault="00457650">
    <w:pPr>
      <w:pStyle w:val="Footer"/>
      <w:rPr>
        <w:b/>
        <w:iCs/>
        <w:sz w:val="24"/>
      </w:rPr>
    </w:pPr>
    <w:r>
      <w:rPr>
        <w:rFonts w:hint="eastAsia"/>
        <w:sz w:val="24"/>
      </w:rPr>
      <w:t>GE.</w:t>
    </w:r>
    <w:r>
      <w:rPr>
        <w:sz w:val="24"/>
      </w:rPr>
      <w:t>05-</w:t>
    </w:r>
    <w:r>
      <w:rPr>
        <w:rFonts w:hint="eastAsia"/>
        <w:sz w:val="24"/>
      </w:rPr>
      <w:t>40524(EXT)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57650">
    <w:pPr>
      <w:pStyle w:val="Footer"/>
      <w:ind w:right="36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5765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57650">
      <w:pPr>
        <w:spacing w:after="120"/>
      </w:pPr>
      <w:r>
        <w:separator/>
      </w:r>
    </w:p>
  </w:footnote>
  <w:footnote w:type="continuationSeparator" w:id="0">
    <w:p w:rsidR="00000000" w:rsidRDefault="00457650">
      <w:pPr>
        <w:spacing w:line="240" w:lineRule="auto"/>
      </w:pPr>
      <w:r>
        <w:continuationSeparator/>
      </w:r>
    </w:p>
  </w:footnote>
  <w:footnote w:id="1">
    <w:p w:rsidR="00000000" w:rsidRDefault="00457650" w:rsidP="00457650">
      <w:pPr>
        <w:pStyle w:val="FootnoteText"/>
        <w:tabs>
          <w:tab w:val="left" w:pos="840"/>
        </w:tabs>
        <w:spacing w:line="240" w:lineRule="auto"/>
        <w:ind w:firstLineChars="200" w:firstLine="31680"/>
        <w:rPr>
          <w:rFonts w:eastAsia="SimSun" w:hint="eastAsia"/>
        </w:rPr>
      </w:pPr>
      <w:r>
        <w:rPr>
          <w:rStyle w:val="FootnoteReference"/>
          <w:rFonts w:eastAsia="SimSun"/>
        </w:rPr>
        <w:footnoteRef/>
      </w:r>
      <w:r>
        <w:rPr>
          <w:rFonts w:eastAsia="SimSun" w:hint="eastAsia"/>
        </w:rPr>
        <w:t xml:space="preserve"> </w:t>
      </w:r>
      <w:r>
        <w:rPr>
          <w:rFonts w:eastAsia="SimSun" w:hint="eastAsia"/>
        </w:rPr>
        <w:tab/>
      </w:r>
      <w:r>
        <w:rPr>
          <w:rFonts w:eastAsia="SimSun" w:hint="eastAsia"/>
        </w:rPr>
        <w:t>涉及歧视问题的《宪法》第</w:t>
      </w:r>
      <w:r>
        <w:rPr>
          <w:rFonts w:eastAsia="SimSun" w:hint="eastAsia"/>
        </w:rPr>
        <w:t>1</w:t>
      </w:r>
      <w:r>
        <w:rPr>
          <w:rFonts w:eastAsia="SimSun" w:hint="eastAsia"/>
        </w:rPr>
        <w:t>条第</w:t>
      </w:r>
      <w:r>
        <w:rPr>
          <w:rFonts w:eastAsia="SimSun" w:hint="eastAsia"/>
        </w:rPr>
        <w:t>3</w:t>
      </w:r>
      <w:r>
        <w:rPr>
          <w:rFonts w:eastAsia="SimSun" w:hint="eastAsia"/>
        </w:rPr>
        <w:t>款规定：“禁止所有基于种族或者民族渊源、</w:t>
      </w:r>
      <w:r>
        <w:rPr>
          <w:rFonts w:eastAsia="SimSun" w:hint="eastAsia"/>
        </w:rPr>
        <w:t>性别、年龄、能力差异、社会条件、健康状况、宗教、观点、爱好、公民身份或者基于其他任何侵害人类尊严，以取消或者限制个人权利与自由为目的的歧视。”</w:t>
      </w:r>
    </w:p>
  </w:footnote>
  <w:footnote w:id="2">
    <w:p w:rsidR="00000000" w:rsidRDefault="00457650" w:rsidP="00457650">
      <w:pPr>
        <w:pStyle w:val="FootnoteText"/>
        <w:tabs>
          <w:tab w:val="left" w:pos="720"/>
        </w:tabs>
        <w:spacing w:line="240" w:lineRule="auto"/>
        <w:ind w:firstLineChars="200" w:firstLine="31680"/>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ab/>
      </w:r>
      <w:r>
        <w:rPr>
          <w:rFonts w:eastAsia="SimSun" w:hint="eastAsia"/>
        </w:rPr>
        <w:t>《预防和消除歧视联邦法案》第</w:t>
      </w:r>
      <w:r>
        <w:rPr>
          <w:rFonts w:eastAsia="SimSun" w:hint="eastAsia"/>
        </w:rPr>
        <w:t>4</w:t>
      </w:r>
      <w:r>
        <w:rPr>
          <w:rFonts w:eastAsia="SimSun" w:hint="eastAsia"/>
        </w:rPr>
        <w:t>条。</w:t>
      </w:r>
    </w:p>
  </w:footnote>
  <w:footnote w:id="3">
    <w:p w:rsidR="00000000" w:rsidRDefault="00457650" w:rsidP="00457650">
      <w:pPr>
        <w:pStyle w:val="FootnoteText"/>
        <w:tabs>
          <w:tab w:val="left" w:pos="840"/>
        </w:tabs>
        <w:spacing w:line="240" w:lineRule="auto"/>
        <w:ind w:firstLineChars="200" w:firstLine="31680"/>
        <w:rPr>
          <w:rFonts w:eastAsia="SimSun" w:hint="eastAsia"/>
        </w:rPr>
      </w:pPr>
      <w:r>
        <w:rPr>
          <w:rStyle w:val="FootnoteReference"/>
          <w:rFonts w:eastAsia="SimSun"/>
        </w:rPr>
        <w:footnoteRef/>
      </w:r>
      <w:r>
        <w:rPr>
          <w:rFonts w:eastAsia="SimSun" w:hint="eastAsia"/>
        </w:rPr>
        <w:t xml:space="preserve"> </w:t>
      </w:r>
      <w:r>
        <w:rPr>
          <w:rFonts w:eastAsia="SimSun" w:hint="eastAsia"/>
        </w:rPr>
        <w:tab/>
      </w:r>
      <w:r>
        <w:rPr>
          <w:rFonts w:eastAsia="SimSun" w:hint="eastAsia"/>
        </w:rPr>
        <w:t>它由联邦分支执行机构的五位代表和由制宪大会任命的五位代表组成，前者属于以下部门：内务、财政和公共信贷部、公共教育部、卫生部及劳工和社会安全部等。下列各公共机构都有一名代表作为常期嘉宾：国家妇女协会、墨西哥青年协会、土著民族发展国家委员会、国家老年人协会、</w:t>
      </w:r>
      <w:r>
        <w:rPr>
          <w:rFonts w:eastAsia="SimSun" w:hint="eastAsia"/>
        </w:rPr>
        <w:t>CONASIDA</w:t>
      </w:r>
      <w:r>
        <w:rPr>
          <w:rFonts w:eastAsia="SimSun" w:hint="eastAsia"/>
        </w:rPr>
        <w:t>和国家家庭综合发展系统。</w:t>
      </w:r>
    </w:p>
  </w:footnote>
  <w:footnote w:id="4">
    <w:p w:rsidR="00000000" w:rsidRDefault="00457650" w:rsidP="00457650">
      <w:pPr>
        <w:pStyle w:val="FootnoteText"/>
        <w:tabs>
          <w:tab w:val="left" w:pos="840"/>
        </w:tabs>
        <w:spacing w:line="240" w:lineRule="auto"/>
        <w:ind w:firstLineChars="200" w:firstLine="31680"/>
        <w:rPr>
          <w:rFonts w:hint="eastAsia"/>
        </w:rPr>
      </w:pPr>
      <w:r>
        <w:rPr>
          <w:rStyle w:val="FootnoteReference"/>
        </w:rPr>
        <w:t>*</w:t>
      </w:r>
      <w:r>
        <w:t xml:space="preserve"> </w:t>
      </w:r>
      <w:r>
        <w:rPr>
          <w:rFonts w:hint="eastAsia"/>
        </w:rPr>
        <w:t xml:space="preserve"> </w:t>
      </w:r>
      <w:r>
        <w:rPr>
          <w:rFonts w:hint="eastAsia"/>
        </w:rPr>
        <w:tab/>
      </w:r>
      <w:r>
        <w:rPr>
          <w:rFonts w:eastAsia="SimSun" w:hint="eastAsia"/>
          <w:szCs w:val="21"/>
        </w:rPr>
        <w:t>HRI/GEN</w:t>
      </w:r>
      <w:r>
        <w:rPr>
          <w:rFonts w:eastAsia="SimSun" w:hint="eastAsia"/>
          <w:szCs w:val="21"/>
        </w:rPr>
        <w:t>/2/Rev.2</w:t>
      </w:r>
      <w:r>
        <w:rPr>
          <w:rFonts w:eastAsia="SimSun" w:hint="eastAsia"/>
          <w:szCs w:val="21"/>
        </w:rPr>
        <w:t>。</w:t>
      </w:r>
    </w:p>
  </w:footnote>
  <w:footnote w:id="5">
    <w:p w:rsidR="00000000" w:rsidRDefault="00457650" w:rsidP="00457650">
      <w:pPr>
        <w:pStyle w:val="FootnoteText"/>
        <w:tabs>
          <w:tab w:val="left" w:pos="840"/>
        </w:tabs>
        <w:spacing w:line="240" w:lineRule="auto"/>
        <w:ind w:firstLineChars="200" w:firstLine="31680"/>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根据</w:t>
      </w:r>
      <w:r>
        <w:rPr>
          <w:rFonts w:eastAsia="SimSun" w:hint="eastAsia"/>
        </w:rPr>
        <w:t>2000</w:t>
      </w:r>
      <w:r>
        <w:rPr>
          <w:rFonts w:eastAsia="SimSun" w:hint="eastAsia"/>
        </w:rPr>
        <w:t>年的人口普查，墨西哥人口大约为</w:t>
      </w:r>
      <w:r>
        <w:rPr>
          <w:rFonts w:eastAsia="SimSun" w:hint="eastAsia"/>
        </w:rPr>
        <w:t>97 483 412</w:t>
      </w:r>
      <w:r>
        <w:rPr>
          <w:rFonts w:eastAsia="SimSun" w:hint="eastAsia"/>
        </w:rPr>
        <w:t>人，年增长率为</w:t>
      </w:r>
      <w:r>
        <w:rPr>
          <w:rFonts w:eastAsia="SimSun" w:hint="eastAsia"/>
        </w:rPr>
        <w:t>1.9%</w:t>
      </w:r>
      <w:r>
        <w:rPr>
          <w:rFonts w:eastAsia="SimSun" w:hint="eastAsia"/>
        </w:rPr>
        <w:t>。</w:t>
      </w:r>
    </w:p>
  </w:footnote>
  <w:footnote w:id="6">
    <w:p w:rsidR="00000000" w:rsidRDefault="00457650" w:rsidP="00457650">
      <w:pPr>
        <w:tabs>
          <w:tab w:val="left" w:pos="840"/>
        </w:tabs>
        <w:spacing w:line="240" w:lineRule="auto"/>
        <w:ind w:firstLineChars="200" w:firstLine="31680"/>
        <w:rPr>
          <w:rFonts w:hint="eastAsia"/>
          <w:sz w:val="18"/>
          <w:szCs w:val="18"/>
        </w:rPr>
      </w:pPr>
      <w:r>
        <w:rPr>
          <w:rStyle w:val="FootnoteReference"/>
          <w:sz w:val="18"/>
        </w:rPr>
        <w:footnoteRef/>
      </w:r>
      <w:r>
        <w:rPr>
          <w:sz w:val="18"/>
        </w:rPr>
        <w:t xml:space="preserve"> </w:t>
      </w:r>
      <w:r>
        <w:rPr>
          <w:rFonts w:hint="eastAsia"/>
          <w:sz w:val="18"/>
        </w:rPr>
        <w:tab/>
      </w:r>
      <w:r>
        <w:rPr>
          <w:rFonts w:hint="eastAsia"/>
          <w:sz w:val="18"/>
          <w:szCs w:val="18"/>
        </w:rPr>
        <w:t>“第</w:t>
      </w:r>
      <w:r>
        <w:rPr>
          <w:rFonts w:hint="eastAsia"/>
          <w:sz w:val="18"/>
          <w:szCs w:val="18"/>
        </w:rPr>
        <w:t>5</w:t>
      </w:r>
      <w:r>
        <w:rPr>
          <w:rFonts w:hint="eastAsia"/>
          <w:sz w:val="18"/>
          <w:szCs w:val="18"/>
        </w:rPr>
        <w:t>条（</w:t>
      </w:r>
      <w:r>
        <w:rPr>
          <w:rFonts w:ascii="SimSun" w:hAnsi="SimSun"/>
          <w:sz w:val="18"/>
          <w:szCs w:val="18"/>
        </w:rPr>
        <w:t>……</w:t>
      </w:r>
      <w:r>
        <w:rPr>
          <w:rFonts w:hint="eastAsia"/>
          <w:sz w:val="18"/>
          <w:szCs w:val="18"/>
        </w:rPr>
        <w:t>）只有当第三方利益受损时的司法命令，或者当社会利益受到侵犯，根据法律颁布的行政命令，才可以禁止行使这种自由。”</w:t>
      </w:r>
    </w:p>
    <w:p w:rsidR="00000000" w:rsidRDefault="00457650" w:rsidP="00457650">
      <w:pPr>
        <w:tabs>
          <w:tab w:val="left" w:pos="840"/>
        </w:tabs>
        <w:spacing w:line="240" w:lineRule="auto"/>
        <w:ind w:firstLineChars="200" w:firstLine="31680"/>
        <w:rPr>
          <w:rFonts w:hint="eastAsia"/>
          <w:sz w:val="18"/>
          <w:szCs w:val="18"/>
        </w:rPr>
      </w:pPr>
      <w:r>
        <w:rPr>
          <w:rFonts w:hint="eastAsia"/>
          <w:sz w:val="18"/>
          <w:szCs w:val="18"/>
        </w:rPr>
        <w:t>每个国家的法律都应明确哪些专业只有在获得文凭的情况下才可以从事，并且列出获得文凭的要求和有权颁发的当局。</w:t>
      </w:r>
    </w:p>
    <w:p w:rsidR="00000000" w:rsidRDefault="00457650" w:rsidP="00457650">
      <w:pPr>
        <w:tabs>
          <w:tab w:val="left" w:pos="840"/>
        </w:tabs>
        <w:spacing w:line="240" w:lineRule="auto"/>
        <w:ind w:firstLineChars="200" w:firstLine="31680"/>
        <w:rPr>
          <w:rFonts w:hint="eastAsia"/>
          <w:sz w:val="18"/>
          <w:szCs w:val="18"/>
        </w:rPr>
      </w:pPr>
      <w:r>
        <w:rPr>
          <w:rFonts w:hint="eastAsia"/>
          <w:sz w:val="18"/>
          <w:szCs w:val="18"/>
        </w:rPr>
        <w:t>不得在没有相应报酬和完全同意的情况下，强迫任何人提供个人服务，除非司法机关作为惩罚的强制劳动，这种劳动根据第</w:t>
      </w:r>
      <w:r>
        <w:rPr>
          <w:rFonts w:hint="eastAsia"/>
          <w:sz w:val="18"/>
          <w:szCs w:val="18"/>
        </w:rPr>
        <w:t>123</w:t>
      </w:r>
      <w:r>
        <w:rPr>
          <w:rFonts w:hint="eastAsia"/>
          <w:sz w:val="18"/>
          <w:szCs w:val="18"/>
        </w:rPr>
        <w:t>条第</w:t>
      </w:r>
      <w:r>
        <w:rPr>
          <w:rFonts w:hint="eastAsia"/>
          <w:sz w:val="18"/>
          <w:szCs w:val="18"/>
        </w:rPr>
        <w:t>1</w:t>
      </w:r>
      <w:r>
        <w:rPr>
          <w:rFonts w:hint="eastAsia"/>
          <w:sz w:val="18"/>
          <w:szCs w:val="18"/>
        </w:rPr>
        <w:t>款和第</w:t>
      </w:r>
      <w:r>
        <w:rPr>
          <w:rFonts w:hint="eastAsia"/>
          <w:sz w:val="18"/>
          <w:szCs w:val="18"/>
        </w:rPr>
        <w:t>2</w:t>
      </w:r>
      <w:r>
        <w:rPr>
          <w:rFonts w:hint="eastAsia"/>
          <w:sz w:val="18"/>
          <w:szCs w:val="18"/>
        </w:rPr>
        <w:t>款的规定执行。</w:t>
      </w:r>
    </w:p>
    <w:p w:rsidR="00000000" w:rsidRDefault="00457650" w:rsidP="00457650">
      <w:pPr>
        <w:tabs>
          <w:tab w:val="left" w:pos="840"/>
        </w:tabs>
        <w:spacing w:line="240" w:lineRule="auto"/>
        <w:ind w:firstLineChars="200" w:firstLine="31680"/>
        <w:rPr>
          <w:rFonts w:hint="eastAsia"/>
          <w:sz w:val="18"/>
          <w:szCs w:val="18"/>
        </w:rPr>
      </w:pPr>
      <w:r>
        <w:rPr>
          <w:rFonts w:hint="eastAsia"/>
          <w:sz w:val="18"/>
          <w:szCs w:val="18"/>
        </w:rPr>
        <w:t>根据各项法律规定</w:t>
      </w:r>
      <w:r>
        <w:rPr>
          <w:rFonts w:hint="eastAsia"/>
          <w:sz w:val="18"/>
          <w:szCs w:val="18"/>
        </w:rPr>
        <w:t>，只有以下的公共服务是必须的：兵役，陪审团义务，市政议员办公室以及直接或间接公众选举办公室对诺言的履行。与选举和人口普查相关的责任应该是强制性并且是无偿的，但是根据《宪法》和所适用法律的规定提供专业行为的人们应该获得报酬。一个社会成员的专业服务是否获得报酬，应该根据法律规定及其中规定的例外情况做决定。</w:t>
      </w:r>
    </w:p>
    <w:p w:rsidR="00000000" w:rsidRDefault="00457650" w:rsidP="00457650">
      <w:pPr>
        <w:pStyle w:val="FootnoteText"/>
        <w:tabs>
          <w:tab w:val="left" w:pos="840"/>
        </w:tabs>
        <w:spacing w:line="240" w:lineRule="auto"/>
        <w:ind w:firstLineChars="200" w:firstLine="31680"/>
        <w:rPr>
          <w:rFonts w:eastAsia="SimSun" w:hint="eastAsia"/>
        </w:rPr>
      </w:pPr>
      <w:r>
        <w:rPr>
          <w:rFonts w:eastAsia="SimSun" w:hint="eastAsia"/>
        </w:rPr>
        <w:t>为了自己的目的，以任何理由禁止、无视或者不可挽回地牺牲人的自由，国家不能允许任何这类合同、契约或者协议得以执行。</w:t>
      </w:r>
    </w:p>
    <w:p w:rsidR="00000000" w:rsidRDefault="00457650" w:rsidP="00457650">
      <w:pPr>
        <w:tabs>
          <w:tab w:val="left" w:pos="840"/>
        </w:tabs>
        <w:spacing w:line="240" w:lineRule="auto"/>
        <w:ind w:firstLineChars="200" w:firstLine="31680"/>
        <w:rPr>
          <w:rFonts w:hint="eastAsia"/>
          <w:sz w:val="18"/>
          <w:szCs w:val="18"/>
        </w:rPr>
      </w:pPr>
      <w:r>
        <w:rPr>
          <w:rFonts w:hint="eastAsia"/>
          <w:sz w:val="18"/>
          <w:szCs w:val="18"/>
        </w:rPr>
        <w:t>同样，没有人能够在法律上同意自己被剥夺权利或被放逐，或者短期或永远脱离一项特定专业或者工业或商</w:t>
      </w:r>
      <w:r>
        <w:rPr>
          <w:rFonts w:hint="eastAsia"/>
          <w:sz w:val="18"/>
          <w:szCs w:val="18"/>
        </w:rPr>
        <w:t>业职务。</w:t>
      </w:r>
    </w:p>
    <w:p w:rsidR="00000000" w:rsidRDefault="00457650" w:rsidP="00457650">
      <w:pPr>
        <w:tabs>
          <w:tab w:val="left" w:pos="840"/>
        </w:tabs>
        <w:spacing w:line="240" w:lineRule="auto"/>
        <w:ind w:firstLineChars="200" w:firstLine="31680"/>
        <w:rPr>
          <w:rFonts w:hint="eastAsia"/>
          <w:sz w:val="18"/>
          <w:szCs w:val="18"/>
        </w:rPr>
      </w:pPr>
      <w:r>
        <w:rPr>
          <w:rFonts w:hint="eastAsia"/>
          <w:sz w:val="18"/>
          <w:szCs w:val="18"/>
        </w:rPr>
        <w:t>劳动合同应该约定只根据法律规定的时间提供认可的服务，不得超过一年导致劳工利益受损，而且在任何情况下不得包含弃权、遗漏或者限制民事或政治权利的内容。</w:t>
      </w:r>
    </w:p>
    <w:p w:rsidR="00000000" w:rsidRDefault="00457650" w:rsidP="00457650">
      <w:pPr>
        <w:tabs>
          <w:tab w:val="left" w:pos="840"/>
        </w:tabs>
        <w:spacing w:line="240" w:lineRule="auto"/>
        <w:ind w:firstLineChars="200" w:firstLine="31680"/>
        <w:rPr>
          <w:rFonts w:hint="eastAsia"/>
          <w:sz w:val="18"/>
          <w:szCs w:val="18"/>
        </w:rPr>
      </w:pPr>
      <w:r>
        <w:rPr>
          <w:rFonts w:hint="eastAsia"/>
          <w:sz w:val="18"/>
          <w:szCs w:val="18"/>
        </w:rPr>
        <w:t>工人不履行这些合同，只会导致其对损失负有民事责任，但在任何情况下都不应默示对其个人的强迫行为。</w:t>
      </w:r>
    </w:p>
  </w:footnote>
  <w:footnote w:id="7">
    <w:p w:rsidR="00000000" w:rsidRDefault="00457650" w:rsidP="00457650">
      <w:pPr>
        <w:tabs>
          <w:tab w:val="left" w:pos="840"/>
        </w:tabs>
        <w:spacing w:line="240" w:lineRule="auto"/>
        <w:ind w:firstLineChars="200" w:firstLine="31680"/>
        <w:rPr>
          <w:rFonts w:hint="eastAsia"/>
          <w:sz w:val="18"/>
          <w:szCs w:val="18"/>
        </w:rPr>
      </w:pPr>
      <w:r>
        <w:rPr>
          <w:rStyle w:val="FootnoteReference"/>
          <w:sz w:val="18"/>
        </w:rPr>
        <w:footnoteRef/>
      </w:r>
      <w:r>
        <w:rPr>
          <w:sz w:val="18"/>
        </w:rPr>
        <w:t xml:space="preserve"> </w:t>
      </w:r>
      <w:r>
        <w:rPr>
          <w:rFonts w:hint="eastAsia"/>
          <w:sz w:val="18"/>
        </w:rPr>
        <w:tab/>
      </w:r>
      <w:r>
        <w:rPr>
          <w:rFonts w:hint="eastAsia"/>
          <w:sz w:val="18"/>
          <w:szCs w:val="18"/>
        </w:rPr>
        <w:t>“第</w:t>
      </w:r>
      <w:r>
        <w:rPr>
          <w:rFonts w:hint="eastAsia"/>
          <w:sz w:val="18"/>
          <w:szCs w:val="18"/>
        </w:rPr>
        <w:t>4</w:t>
      </w:r>
      <w:r>
        <w:rPr>
          <w:rFonts w:hint="eastAsia"/>
          <w:sz w:val="18"/>
          <w:szCs w:val="18"/>
        </w:rPr>
        <w:t>条</w:t>
      </w:r>
    </w:p>
    <w:p w:rsidR="00000000" w:rsidRDefault="00457650" w:rsidP="00457650">
      <w:pPr>
        <w:tabs>
          <w:tab w:val="left" w:pos="1320"/>
        </w:tabs>
        <w:spacing w:line="240" w:lineRule="auto"/>
        <w:ind w:leftChars="399" w:left="31680" w:hangingChars="267" w:firstLine="31680"/>
        <w:rPr>
          <w:rFonts w:hint="eastAsia"/>
          <w:sz w:val="18"/>
          <w:szCs w:val="18"/>
        </w:rPr>
      </w:pPr>
      <w:r>
        <w:rPr>
          <w:rFonts w:hint="eastAsia"/>
          <w:sz w:val="18"/>
          <w:szCs w:val="18"/>
        </w:rPr>
        <w:t>一、</w:t>
      </w:r>
      <w:r>
        <w:rPr>
          <w:rFonts w:hint="eastAsia"/>
          <w:sz w:val="18"/>
          <w:szCs w:val="18"/>
        </w:rPr>
        <w:tab/>
      </w:r>
      <w:r>
        <w:rPr>
          <w:rFonts w:hint="eastAsia"/>
          <w:sz w:val="18"/>
          <w:szCs w:val="18"/>
        </w:rPr>
        <w:t>根据法律定义，在下列情况下第三方权利受到侵犯：</w:t>
      </w:r>
    </w:p>
    <w:p w:rsidR="00000000" w:rsidRDefault="00457650" w:rsidP="00457650">
      <w:pPr>
        <w:tabs>
          <w:tab w:val="left" w:pos="1800"/>
        </w:tabs>
        <w:spacing w:line="240" w:lineRule="auto"/>
        <w:ind w:leftChars="628" w:left="31680" w:hangingChars="267" w:firstLine="31680"/>
        <w:rPr>
          <w:rFonts w:hint="eastAsia"/>
          <w:sz w:val="18"/>
          <w:szCs w:val="18"/>
        </w:rPr>
      </w:pPr>
      <w:r>
        <w:rPr>
          <w:rFonts w:hint="eastAsia"/>
          <w:sz w:val="18"/>
          <w:szCs w:val="18"/>
        </w:rPr>
        <w:t>（</w:t>
      </w:r>
      <w:r>
        <w:rPr>
          <w:rFonts w:hint="eastAsia"/>
          <w:sz w:val="18"/>
          <w:szCs w:val="18"/>
        </w:rPr>
        <w:t>a</w:t>
      </w:r>
      <w:r>
        <w:rPr>
          <w:rFonts w:hint="eastAsia"/>
          <w:sz w:val="18"/>
          <w:szCs w:val="18"/>
        </w:rPr>
        <w:t>）</w:t>
      </w:r>
      <w:r>
        <w:rPr>
          <w:rFonts w:hint="eastAsia"/>
          <w:sz w:val="18"/>
          <w:szCs w:val="18"/>
        </w:rPr>
        <w:tab/>
      </w:r>
      <w:r>
        <w:rPr>
          <w:rFonts w:hint="eastAsia"/>
          <w:sz w:val="18"/>
          <w:szCs w:val="18"/>
        </w:rPr>
        <w:t>调解和仲裁委员没有对案例进行裁决，就发生个别工人最后被替换，或者采取了要替换他的行动；</w:t>
      </w:r>
    </w:p>
    <w:p w:rsidR="00000000" w:rsidRDefault="00457650" w:rsidP="00457650">
      <w:pPr>
        <w:tabs>
          <w:tab w:val="left" w:pos="1800"/>
        </w:tabs>
        <w:spacing w:line="240" w:lineRule="auto"/>
        <w:ind w:leftChars="628" w:left="31680" w:hangingChars="267" w:firstLine="31680"/>
        <w:rPr>
          <w:rFonts w:hint="eastAsia"/>
          <w:sz w:val="18"/>
          <w:szCs w:val="18"/>
        </w:rPr>
      </w:pPr>
      <w:r>
        <w:rPr>
          <w:rFonts w:hint="eastAsia"/>
          <w:sz w:val="18"/>
          <w:szCs w:val="18"/>
        </w:rPr>
        <w:t>（</w:t>
      </w:r>
      <w:r>
        <w:rPr>
          <w:rFonts w:hint="eastAsia"/>
          <w:sz w:val="18"/>
          <w:szCs w:val="18"/>
        </w:rPr>
        <w:t>b</w:t>
      </w:r>
      <w:r>
        <w:rPr>
          <w:rFonts w:hint="eastAsia"/>
          <w:sz w:val="18"/>
          <w:szCs w:val="18"/>
        </w:rPr>
        <w:t>）</w:t>
      </w:r>
      <w:r>
        <w:rPr>
          <w:rFonts w:hint="eastAsia"/>
          <w:sz w:val="18"/>
          <w:szCs w:val="18"/>
        </w:rPr>
        <w:tab/>
      </w:r>
      <w:r>
        <w:rPr>
          <w:rFonts w:hint="eastAsia"/>
          <w:sz w:val="18"/>
          <w:szCs w:val="18"/>
        </w:rPr>
        <w:t>工人因为疾病或者不可抗力，或者获得批准停止工作，当他再次要求从事工作的时候被拒绝返回</w:t>
      </w:r>
      <w:r>
        <w:rPr>
          <w:rFonts w:hint="eastAsia"/>
          <w:sz w:val="18"/>
          <w:szCs w:val="18"/>
        </w:rPr>
        <w:t>先前的工作岗位。</w:t>
      </w:r>
    </w:p>
    <w:p w:rsidR="00000000" w:rsidRDefault="00457650" w:rsidP="00457650">
      <w:pPr>
        <w:tabs>
          <w:tab w:val="left" w:pos="1320"/>
        </w:tabs>
        <w:spacing w:line="240" w:lineRule="auto"/>
        <w:ind w:leftChars="399" w:left="31680" w:hangingChars="267" w:firstLine="31680"/>
        <w:rPr>
          <w:rFonts w:hint="eastAsia"/>
          <w:sz w:val="18"/>
          <w:szCs w:val="18"/>
        </w:rPr>
      </w:pPr>
      <w:r>
        <w:rPr>
          <w:rFonts w:hint="eastAsia"/>
          <w:sz w:val="18"/>
          <w:szCs w:val="18"/>
        </w:rPr>
        <w:t>二、</w:t>
      </w:r>
      <w:r>
        <w:rPr>
          <w:rFonts w:hint="eastAsia"/>
          <w:sz w:val="18"/>
          <w:szCs w:val="18"/>
        </w:rPr>
        <w:tab/>
      </w:r>
      <w:r>
        <w:rPr>
          <w:rFonts w:hint="eastAsia"/>
          <w:sz w:val="18"/>
          <w:szCs w:val="18"/>
        </w:rPr>
        <w:t>根据法律定义，在下列情况下社会权利受到侵犯：</w:t>
      </w:r>
    </w:p>
    <w:p w:rsidR="00000000" w:rsidRDefault="00457650" w:rsidP="00457650">
      <w:pPr>
        <w:tabs>
          <w:tab w:val="left" w:pos="1800"/>
        </w:tabs>
        <w:spacing w:line="240" w:lineRule="auto"/>
        <w:ind w:leftChars="628" w:left="31680" w:hangingChars="267" w:firstLine="31680"/>
        <w:rPr>
          <w:rFonts w:hint="eastAsia"/>
          <w:sz w:val="18"/>
          <w:szCs w:val="18"/>
        </w:rPr>
      </w:pPr>
      <w:r>
        <w:rPr>
          <w:rFonts w:hint="eastAsia"/>
          <w:sz w:val="18"/>
          <w:szCs w:val="18"/>
        </w:rPr>
        <w:t>（</w:t>
      </w:r>
      <w:r>
        <w:rPr>
          <w:rFonts w:hint="eastAsia"/>
          <w:sz w:val="18"/>
          <w:szCs w:val="18"/>
        </w:rPr>
        <w:t>a</w:t>
      </w:r>
      <w:r>
        <w:rPr>
          <w:rFonts w:hint="eastAsia"/>
          <w:sz w:val="18"/>
          <w:szCs w:val="18"/>
        </w:rPr>
        <w:t>）</w:t>
      </w:r>
      <w:r>
        <w:rPr>
          <w:rFonts w:hint="eastAsia"/>
          <w:sz w:val="18"/>
          <w:szCs w:val="18"/>
        </w:rPr>
        <w:tab/>
      </w:r>
      <w:r>
        <w:rPr>
          <w:rFonts w:hint="eastAsia"/>
          <w:sz w:val="18"/>
          <w:szCs w:val="18"/>
        </w:rPr>
        <w:t>在该法规定范围内召集罢工之后，采取行动试图将罢工者从其正常工作中替换下来，或者事实上这种替换发生在引起罢工的争议获得解决之前，除非符合第</w:t>
      </w:r>
      <w:r>
        <w:rPr>
          <w:rFonts w:hint="eastAsia"/>
          <w:sz w:val="18"/>
          <w:szCs w:val="18"/>
        </w:rPr>
        <w:t>468</w:t>
      </w:r>
      <w:r>
        <w:rPr>
          <w:rFonts w:hint="eastAsia"/>
          <w:sz w:val="18"/>
          <w:szCs w:val="18"/>
        </w:rPr>
        <w:t>条规定；</w:t>
      </w:r>
    </w:p>
    <w:p w:rsidR="00000000" w:rsidRDefault="00457650" w:rsidP="00457650">
      <w:pPr>
        <w:tabs>
          <w:tab w:val="left" w:pos="1800"/>
        </w:tabs>
        <w:spacing w:line="240" w:lineRule="auto"/>
        <w:ind w:leftChars="628" w:left="31680" w:hangingChars="267" w:firstLine="31680"/>
        <w:rPr>
          <w:rFonts w:hint="eastAsia"/>
          <w:sz w:val="18"/>
          <w:szCs w:val="18"/>
        </w:rPr>
      </w:pPr>
      <w:r>
        <w:rPr>
          <w:rFonts w:hint="eastAsia"/>
          <w:sz w:val="18"/>
          <w:szCs w:val="18"/>
        </w:rPr>
        <w:t>（</w:t>
      </w:r>
      <w:r>
        <w:rPr>
          <w:rFonts w:hint="eastAsia"/>
          <w:sz w:val="18"/>
          <w:szCs w:val="18"/>
        </w:rPr>
        <w:t>b</w:t>
      </w:r>
      <w:r>
        <w:rPr>
          <w:rFonts w:hint="eastAsia"/>
          <w:sz w:val="18"/>
          <w:szCs w:val="18"/>
        </w:rPr>
        <w:t>）</w:t>
      </w:r>
      <w:r>
        <w:rPr>
          <w:rFonts w:hint="eastAsia"/>
          <w:sz w:val="18"/>
          <w:szCs w:val="18"/>
        </w:rPr>
        <w:tab/>
      </w:r>
      <w:r>
        <w:rPr>
          <w:rFonts w:hint="eastAsia"/>
          <w:sz w:val="18"/>
          <w:szCs w:val="18"/>
        </w:rPr>
        <w:t>当一个企业内部的多数工人通过平等合法的方式组织罢工，而少数人试图或者的确在继续工作。”</w:t>
      </w:r>
    </w:p>
  </w:footnote>
  <w:footnote w:id="8">
    <w:p w:rsidR="00000000" w:rsidRDefault="00457650" w:rsidP="00457650">
      <w:pPr>
        <w:tabs>
          <w:tab w:val="left" w:pos="840"/>
        </w:tabs>
        <w:spacing w:line="240" w:lineRule="auto"/>
        <w:ind w:firstLineChars="200" w:firstLine="31680"/>
        <w:rPr>
          <w:rFonts w:hint="eastAsia"/>
          <w:sz w:val="18"/>
          <w:szCs w:val="18"/>
        </w:rPr>
      </w:pPr>
      <w:r>
        <w:rPr>
          <w:rStyle w:val="FootnoteReference"/>
          <w:sz w:val="18"/>
        </w:rPr>
        <w:footnoteRef/>
      </w:r>
      <w:r>
        <w:rPr>
          <w:rFonts w:hint="eastAsia"/>
          <w:sz w:val="18"/>
          <w:szCs w:val="18"/>
        </w:rPr>
        <w:t xml:space="preserve"> </w:t>
      </w:r>
      <w:r>
        <w:rPr>
          <w:rFonts w:hint="eastAsia"/>
          <w:sz w:val="18"/>
          <w:szCs w:val="18"/>
        </w:rPr>
        <w:tab/>
      </w:r>
      <w:r>
        <w:rPr>
          <w:rFonts w:hint="eastAsia"/>
          <w:sz w:val="18"/>
          <w:szCs w:val="18"/>
        </w:rPr>
        <w:t>第</w:t>
      </w:r>
      <w:r>
        <w:rPr>
          <w:rFonts w:hint="eastAsia"/>
          <w:sz w:val="18"/>
          <w:szCs w:val="18"/>
        </w:rPr>
        <w:t>1</w:t>
      </w:r>
      <w:r>
        <w:rPr>
          <w:rFonts w:hint="eastAsia"/>
          <w:sz w:val="18"/>
          <w:szCs w:val="18"/>
        </w:rPr>
        <w:t>条：墨西哥合众国内的任何人都享有本宪法所保证的权利。除了宪法规定的情况和条件外，不得中止或限制这些权利。</w:t>
      </w:r>
    </w:p>
    <w:p w:rsidR="00000000" w:rsidRDefault="00457650" w:rsidP="00457650">
      <w:pPr>
        <w:tabs>
          <w:tab w:val="left" w:pos="840"/>
        </w:tabs>
        <w:spacing w:line="240" w:lineRule="auto"/>
        <w:ind w:firstLineChars="200" w:firstLine="31680"/>
        <w:rPr>
          <w:rFonts w:hint="eastAsia"/>
          <w:sz w:val="18"/>
          <w:szCs w:val="18"/>
        </w:rPr>
      </w:pPr>
      <w:r>
        <w:rPr>
          <w:rFonts w:hint="eastAsia"/>
          <w:sz w:val="18"/>
          <w:szCs w:val="18"/>
        </w:rPr>
        <w:t>墨西哥合众国内禁止奴隶制度。进入墨西哥领土的外国奴隶仅凭此即可恢复自由</w:t>
      </w:r>
      <w:r>
        <w:rPr>
          <w:rFonts w:hint="eastAsia"/>
          <w:sz w:val="18"/>
          <w:szCs w:val="18"/>
        </w:rPr>
        <w:t>并受到法律保护。</w:t>
      </w:r>
    </w:p>
    <w:p w:rsidR="00000000" w:rsidRDefault="00457650" w:rsidP="00457650">
      <w:pPr>
        <w:pStyle w:val="FootnoteText"/>
        <w:tabs>
          <w:tab w:val="left" w:pos="840"/>
        </w:tabs>
        <w:spacing w:line="240" w:lineRule="auto"/>
        <w:ind w:firstLineChars="200" w:firstLine="31680"/>
        <w:rPr>
          <w:rFonts w:eastAsia="SimSun" w:hint="eastAsia"/>
        </w:rPr>
      </w:pPr>
      <w:r>
        <w:rPr>
          <w:rFonts w:eastAsia="SimSun" w:hint="eastAsia"/>
        </w:rPr>
        <w:t>禁止任何基于种族或国籍、性别、年龄、能力差别、社会条件、健康状况、宗教、观念、爱好、公民身份或其他损害人身尊严和以取消或限制个人权利和自由为目的的歧视。</w:t>
      </w:r>
    </w:p>
  </w:footnote>
  <w:footnote w:id="9">
    <w:p w:rsidR="00000000" w:rsidRDefault="00457650" w:rsidP="00457650">
      <w:pPr>
        <w:tabs>
          <w:tab w:val="left" w:pos="840"/>
        </w:tabs>
        <w:spacing w:line="240" w:lineRule="auto"/>
        <w:ind w:firstLineChars="200" w:firstLine="31680"/>
        <w:rPr>
          <w:rFonts w:hint="eastAsia"/>
          <w:sz w:val="18"/>
          <w:szCs w:val="18"/>
        </w:rPr>
      </w:pPr>
      <w:r>
        <w:rPr>
          <w:rStyle w:val="FootnoteReference"/>
          <w:sz w:val="18"/>
        </w:rPr>
        <w:footnoteRef/>
      </w:r>
      <w:r>
        <w:rPr>
          <w:rFonts w:hint="eastAsia"/>
          <w:sz w:val="18"/>
          <w:szCs w:val="18"/>
        </w:rPr>
        <w:t xml:space="preserve">    </w:t>
      </w:r>
      <w:r>
        <w:rPr>
          <w:rFonts w:hint="eastAsia"/>
          <w:sz w:val="18"/>
          <w:szCs w:val="18"/>
        </w:rPr>
        <w:t>第</w:t>
      </w:r>
      <w:r>
        <w:rPr>
          <w:rFonts w:hint="eastAsia"/>
          <w:sz w:val="18"/>
          <w:szCs w:val="18"/>
        </w:rPr>
        <w:t>3</w:t>
      </w:r>
      <w:r>
        <w:rPr>
          <w:rFonts w:hint="eastAsia"/>
          <w:sz w:val="18"/>
          <w:szCs w:val="18"/>
        </w:rPr>
        <w:t>条：劳动是一项权利，也是一种社会责任。这不是贸易条款。它要求尊重劳动者的自由和尊严，劳动条件必须保证生命、健康并为劳动者及其家庭创造良好的经济条件。</w:t>
      </w:r>
    </w:p>
    <w:p w:rsidR="00000000" w:rsidRDefault="00457650" w:rsidP="00457650">
      <w:pPr>
        <w:tabs>
          <w:tab w:val="left" w:pos="840"/>
        </w:tabs>
        <w:spacing w:line="240" w:lineRule="auto"/>
        <w:ind w:firstLineChars="200" w:firstLine="31680"/>
        <w:rPr>
          <w:rFonts w:hint="eastAsia"/>
          <w:sz w:val="18"/>
          <w:szCs w:val="18"/>
        </w:rPr>
      </w:pPr>
      <w:r>
        <w:rPr>
          <w:rFonts w:hint="eastAsia"/>
          <w:sz w:val="18"/>
          <w:szCs w:val="18"/>
        </w:rPr>
        <w:t>不得以种族、性别、年龄、宗教信仰、政治观点或社会条件区分劳动者。</w:t>
      </w:r>
    </w:p>
    <w:p w:rsidR="00000000" w:rsidRDefault="00457650" w:rsidP="00457650">
      <w:pPr>
        <w:pStyle w:val="FootnoteText"/>
        <w:tabs>
          <w:tab w:val="left" w:pos="840"/>
        </w:tabs>
        <w:spacing w:line="240" w:lineRule="auto"/>
        <w:ind w:firstLineChars="200" w:firstLine="31680"/>
        <w:rPr>
          <w:rFonts w:eastAsia="SimSun" w:hint="eastAsia"/>
        </w:rPr>
      </w:pPr>
      <w:r>
        <w:rPr>
          <w:rFonts w:eastAsia="SimSun" w:hint="eastAsia"/>
        </w:rPr>
        <w:t>同样，加强和监督劳动者的培训和技能提高关系到社会的利益。</w:t>
      </w:r>
    </w:p>
  </w:footnote>
  <w:footnote w:id="10">
    <w:p w:rsidR="00000000" w:rsidRDefault="00457650" w:rsidP="00457650">
      <w:pPr>
        <w:pStyle w:val="FootnoteText"/>
        <w:tabs>
          <w:tab w:val="left" w:pos="840"/>
        </w:tabs>
        <w:spacing w:line="240" w:lineRule="auto"/>
        <w:ind w:firstLineChars="200" w:firstLine="31680"/>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“第</w:t>
      </w:r>
      <w:r>
        <w:rPr>
          <w:rFonts w:eastAsia="SimSun" w:hint="eastAsia"/>
        </w:rPr>
        <w:t>206</w:t>
      </w:r>
      <w:r>
        <w:rPr>
          <w:rFonts w:eastAsia="SimSun" w:hint="eastAsia"/>
        </w:rPr>
        <w:t>条：……应判处一至三年监禁，并缴纳最</w:t>
      </w:r>
      <w:r>
        <w:rPr>
          <w:rFonts w:eastAsia="SimSun" w:hint="eastAsia"/>
        </w:rPr>
        <w:t>低日工资</w:t>
      </w:r>
      <w:r>
        <w:rPr>
          <w:rFonts w:eastAsia="SimSun" w:hint="eastAsia"/>
        </w:rPr>
        <w:t>50</w:t>
      </w:r>
      <w:r>
        <w:rPr>
          <w:rFonts w:eastAsia="SimSun" w:hint="eastAsia"/>
        </w:rPr>
        <w:t>至</w:t>
      </w:r>
      <w:r>
        <w:rPr>
          <w:rFonts w:eastAsia="SimSun" w:hint="eastAsia"/>
        </w:rPr>
        <w:t>200</w:t>
      </w:r>
      <w:r>
        <w:rPr>
          <w:rFonts w:eastAsia="SimSun" w:hint="eastAsia"/>
        </w:rPr>
        <w:t>倍的罚金”。</w:t>
      </w:r>
    </w:p>
  </w:footnote>
  <w:footnote w:id="11">
    <w:p w:rsidR="00000000" w:rsidRDefault="00457650" w:rsidP="00457650">
      <w:pPr>
        <w:tabs>
          <w:tab w:val="left" w:pos="840"/>
        </w:tabs>
        <w:spacing w:line="240" w:lineRule="auto"/>
        <w:ind w:firstLineChars="200" w:firstLine="31680"/>
        <w:rPr>
          <w:rFonts w:hint="eastAsia"/>
          <w:sz w:val="18"/>
          <w:szCs w:val="18"/>
        </w:rPr>
      </w:pPr>
      <w:r>
        <w:rPr>
          <w:rStyle w:val="FootnoteReference"/>
          <w:sz w:val="18"/>
        </w:rPr>
        <w:footnoteRef/>
      </w:r>
      <w:r>
        <w:rPr>
          <w:sz w:val="18"/>
        </w:rPr>
        <w:t xml:space="preserve"> </w:t>
      </w:r>
      <w:r>
        <w:rPr>
          <w:rFonts w:hint="eastAsia"/>
          <w:sz w:val="18"/>
          <w:szCs w:val="18"/>
        </w:rPr>
        <w:t xml:space="preserve"> </w:t>
      </w:r>
      <w:r>
        <w:rPr>
          <w:rFonts w:hint="eastAsia"/>
          <w:sz w:val="18"/>
          <w:szCs w:val="18"/>
        </w:rPr>
        <w:tab/>
      </w:r>
      <w:r>
        <w:rPr>
          <w:rFonts w:hint="eastAsia"/>
          <w:sz w:val="18"/>
          <w:szCs w:val="18"/>
        </w:rPr>
        <w:t>《条例》第</w:t>
      </w:r>
      <w:r>
        <w:rPr>
          <w:rFonts w:hint="eastAsia"/>
          <w:sz w:val="18"/>
          <w:szCs w:val="18"/>
        </w:rPr>
        <w:t>154</w:t>
      </w:r>
      <w:r>
        <w:rPr>
          <w:rFonts w:hint="eastAsia"/>
          <w:sz w:val="18"/>
          <w:szCs w:val="18"/>
        </w:rPr>
        <w:t>条：</w:t>
      </w:r>
    </w:p>
    <w:p w:rsidR="00000000" w:rsidRDefault="00457650" w:rsidP="00457650">
      <w:pPr>
        <w:tabs>
          <w:tab w:val="left" w:pos="1320"/>
        </w:tabs>
        <w:spacing w:line="240" w:lineRule="auto"/>
        <w:ind w:leftChars="399" w:left="31680" w:hangingChars="267" w:firstLine="31680"/>
        <w:rPr>
          <w:rFonts w:hint="eastAsia"/>
          <w:sz w:val="18"/>
          <w:szCs w:val="18"/>
        </w:rPr>
      </w:pPr>
      <w:r>
        <w:rPr>
          <w:rFonts w:hint="eastAsia"/>
          <w:sz w:val="18"/>
          <w:szCs w:val="18"/>
        </w:rPr>
        <w:t>一、加工、运输或储存能导致畸形或诱导突变的物质；</w:t>
      </w:r>
    </w:p>
    <w:p w:rsidR="00000000" w:rsidRDefault="00457650" w:rsidP="00457650">
      <w:pPr>
        <w:tabs>
          <w:tab w:val="left" w:pos="1320"/>
        </w:tabs>
        <w:spacing w:line="240" w:lineRule="auto"/>
        <w:ind w:leftChars="399" w:left="31680" w:hangingChars="267" w:firstLine="31680"/>
        <w:rPr>
          <w:rFonts w:hint="eastAsia"/>
          <w:sz w:val="18"/>
          <w:szCs w:val="18"/>
        </w:rPr>
      </w:pPr>
      <w:r>
        <w:rPr>
          <w:rFonts w:hint="eastAsia"/>
          <w:sz w:val="18"/>
          <w:szCs w:val="18"/>
        </w:rPr>
        <w:t>二、根据现行的法律、法规或标准，暴露在能导致工作环境污染的离子辐射场所；</w:t>
      </w:r>
    </w:p>
    <w:p w:rsidR="00000000" w:rsidRDefault="00457650" w:rsidP="00457650">
      <w:pPr>
        <w:tabs>
          <w:tab w:val="left" w:pos="1320"/>
        </w:tabs>
        <w:spacing w:line="240" w:lineRule="auto"/>
        <w:ind w:leftChars="399" w:left="31680" w:hangingChars="267" w:firstLine="31680"/>
        <w:rPr>
          <w:rFonts w:hint="eastAsia"/>
          <w:sz w:val="18"/>
          <w:szCs w:val="18"/>
        </w:rPr>
      </w:pPr>
      <w:r>
        <w:rPr>
          <w:rFonts w:hint="eastAsia"/>
          <w:sz w:val="18"/>
          <w:szCs w:val="18"/>
        </w:rPr>
        <w:t>三、环境具有超常压力或温度不适宜的场所；</w:t>
      </w:r>
    </w:p>
    <w:p w:rsidR="00000000" w:rsidRDefault="00457650" w:rsidP="00457650">
      <w:pPr>
        <w:tabs>
          <w:tab w:val="left" w:pos="1320"/>
        </w:tabs>
        <w:spacing w:line="240" w:lineRule="auto"/>
        <w:ind w:leftChars="399" w:left="31680" w:hangingChars="267" w:firstLine="31680"/>
        <w:rPr>
          <w:rFonts w:hint="eastAsia"/>
          <w:sz w:val="18"/>
          <w:szCs w:val="18"/>
        </w:rPr>
      </w:pPr>
      <w:r>
        <w:rPr>
          <w:rFonts w:hint="eastAsia"/>
          <w:sz w:val="18"/>
          <w:szCs w:val="18"/>
        </w:rPr>
        <w:t>四、需要重体力劳动；</w:t>
      </w:r>
    </w:p>
    <w:p w:rsidR="00000000" w:rsidRDefault="00457650" w:rsidP="00457650">
      <w:pPr>
        <w:tabs>
          <w:tab w:val="left" w:pos="1320"/>
        </w:tabs>
        <w:spacing w:line="240" w:lineRule="auto"/>
        <w:ind w:leftChars="399" w:left="31680" w:hangingChars="267" w:firstLine="31680"/>
        <w:rPr>
          <w:rFonts w:hint="eastAsia"/>
          <w:sz w:val="18"/>
          <w:szCs w:val="18"/>
        </w:rPr>
      </w:pPr>
      <w:r>
        <w:rPr>
          <w:rFonts w:hint="eastAsia"/>
          <w:sz w:val="18"/>
          <w:szCs w:val="18"/>
        </w:rPr>
        <w:t>五、在钻探设备或海上平台上工作；</w:t>
      </w:r>
    </w:p>
    <w:p w:rsidR="00000000" w:rsidRDefault="00457650" w:rsidP="00457650">
      <w:pPr>
        <w:tabs>
          <w:tab w:val="left" w:pos="1320"/>
        </w:tabs>
        <w:spacing w:line="240" w:lineRule="auto"/>
        <w:ind w:leftChars="399" w:left="31680" w:hangingChars="267" w:firstLine="31680"/>
        <w:rPr>
          <w:rFonts w:hint="eastAsia"/>
          <w:sz w:val="18"/>
          <w:szCs w:val="18"/>
        </w:rPr>
      </w:pPr>
      <w:r>
        <w:rPr>
          <w:rFonts w:hint="eastAsia"/>
          <w:sz w:val="18"/>
          <w:szCs w:val="18"/>
        </w:rPr>
        <w:t>六、在水下或地下或露天矿井中工作；</w:t>
      </w:r>
    </w:p>
    <w:p w:rsidR="00000000" w:rsidRDefault="00457650" w:rsidP="00457650">
      <w:pPr>
        <w:tabs>
          <w:tab w:val="left" w:pos="1320"/>
        </w:tabs>
        <w:spacing w:line="240" w:lineRule="auto"/>
        <w:ind w:leftChars="399" w:left="31680" w:hangingChars="267" w:firstLine="31680"/>
        <w:rPr>
          <w:rFonts w:hint="eastAsia"/>
          <w:sz w:val="18"/>
          <w:szCs w:val="18"/>
        </w:rPr>
      </w:pPr>
      <w:r>
        <w:rPr>
          <w:rFonts w:hint="eastAsia"/>
          <w:sz w:val="18"/>
          <w:szCs w:val="18"/>
        </w:rPr>
        <w:t>七、在狭窄的空间工作；</w:t>
      </w:r>
    </w:p>
    <w:p w:rsidR="00000000" w:rsidRDefault="00457650" w:rsidP="00457650">
      <w:pPr>
        <w:tabs>
          <w:tab w:val="left" w:pos="1320"/>
        </w:tabs>
        <w:spacing w:line="240" w:lineRule="auto"/>
        <w:ind w:leftChars="399" w:left="31680" w:hangingChars="267" w:firstLine="31680"/>
        <w:rPr>
          <w:rFonts w:hint="eastAsia"/>
          <w:sz w:val="18"/>
          <w:szCs w:val="18"/>
        </w:rPr>
      </w:pPr>
      <w:r>
        <w:rPr>
          <w:rFonts w:hint="eastAsia"/>
          <w:sz w:val="18"/>
          <w:szCs w:val="18"/>
        </w:rPr>
        <w:t>八、从事焊接工作；</w:t>
      </w:r>
    </w:p>
    <w:p w:rsidR="00000000" w:rsidRDefault="00457650" w:rsidP="00457650">
      <w:pPr>
        <w:tabs>
          <w:tab w:val="left" w:pos="1320"/>
        </w:tabs>
        <w:spacing w:line="240" w:lineRule="auto"/>
        <w:ind w:leftChars="399" w:left="31680" w:hangingChars="267" w:firstLine="31680"/>
        <w:rPr>
          <w:rFonts w:hint="eastAsia"/>
          <w:sz w:val="18"/>
        </w:rPr>
      </w:pPr>
      <w:r>
        <w:rPr>
          <w:rFonts w:hint="eastAsia"/>
          <w:sz w:val="18"/>
          <w:szCs w:val="18"/>
        </w:rPr>
        <w:t>九</w:t>
      </w:r>
      <w:r>
        <w:rPr>
          <w:rFonts w:hint="eastAsia"/>
          <w:sz w:val="18"/>
        </w:rPr>
        <w:t>、</w:t>
      </w:r>
      <w:r>
        <w:rPr>
          <w:rFonts w:hint="eastAsia"/>
          <w:sz w:val="18"/>
          <w:szCs w:val="18"/>
        </w:rPr>
        <w:t>进行</w:t>
      </w:r>
      <w:r>
        <w:rPr>
          <w:rFonts w:hint="eastAsia"/>
          <w:sz w:val="18"/>
        </w:rPr>
        <w:t>其他法律、法规或标准所规定的危险或不利于健康的活动。</w:t>
      </w:r>
    </w:p>
  </w:footnote>
  <w:footnote w:id="12">
    <w:p w:rsidR="00000000" w:rsidRDefault="00457650" w:rsidP="00457650">
      <w:pPr>
        <w:pStyle w:val="FootnoteText"/>
        <w:tabs>
          <w:tab w:val="left" w:pos="840"/>
        </w:tabs>
        <w:spacing w:line="240" w:lineRule="auto"/>
        <w:ind w:firstLineChars="200" w:firstLine="31680"/>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《联邦劳动法》第</w:t>
      </w:r>
      <w:r>
        <w:rPr>
          <w:rFonts w:eastAsia="SimSun" w:hint="eastAsia"/>
        </w:rPr>
        <w:t>570</w:t>
      </w:r>
      <w:r>
        <w:rPr>
          <w:rFonts w:eastAsia="SimSun"/>
        </w:rPr>
        <w:t>-</w:t>
      </w:r>
      <w:r>
        <w:rPr>
          <w:rFonts w:eastAsia="SimSun" w:hint="eastAsia"/>
        </w:rPr>
        <w:t>574</w:t>
      </w:r>
      <w:r>
        <w:rPr>
          <w:rFonts w:eastAsia="SimSun" w:hint="eastAsia"/>
        </w:rPr>
        <w:t>条。</w:t>
      </w:r>
    </w:p>
  </w:footnote>
  <w:footnote w:id="13">
    <w:p w:rsidR="00000000" w:rsidRDefault="00457650" w:rsidP="00457650">
      <w:pPr>
        <w:tabs>
          <w:tab w:val="left" w:pos="840"/>
        </w:tabs>
        <w:spacing w:line="240" w:lineRule="auto"/>
        <w:ind w:firstLineChars="200" w:firstLine="31680"/>
        <w:rPr>
          <w:rFonts w:hint="eastAsia"/>
          <w:sz w:val="18"/>
          <w:szCs w:val="18"/>
        </w:rPr>
      </w:pPr>
      <w:r>
        <w:rPr>
          <w:rStyle w:val="FootnoteReference"/>
          <w:sz w:val="18"/>
        </w:rPr>
        <w:footnoteRef/>
      </w:r>
      <w:r>
        <w:rPr>
          <w:rFonts w:hint="eastAsia"/>
          <w:sz w:val="18"/>
          <w:szCs w:val="18"/>
        </w:rPr>
        <w:t xml:space="preserve"> </w:t>
      </w:r>
      <w:r>
        <w:rPr>
          <w:rFonts w:hint="eastAsia"/>
          <w:sz w:val="18"/>
          <w:szCs w:val="18"/>
        </w:rPr>
        <w:tab/>
      </w:r>
      <w:r>
        <w:rPr>
          <w:rFonts w:hint="eastAsia"/>
          <w:sz w:val="18"/>
          <w:szCs w:val="18"/>
        </w:rPr>
        <w:t>第</w:t>
      </w:r>
      <w:r>
        <w:rPr>
          <w:rFonts w:hint="eastAsia"/>
          <w:sz w:val="18"/>
          <w:szCs w:val="18"/>
        </w:rPr>
        <w:t>1</w:t>
      </w:r>
      <w:r>
        <w:rPr>
          <w:rFonts w:hint="eastAsia"/>
          <w:sz w:val="18"/>
          <w:szCs w:val="18"/>
        </w:rPr>
        <w:t>条：墨西哥合众国内的任何人都享有</w:t>
      </w:r>
      <w:r>
        <w:rPr>
          <w:rFonts w:hint="eastAsia"/>
          <w:sz w:val="18"/>
          <w:szCs w:val="18"/>
        </w:rPr>
        <w:t>本宪法所保证的权利。除了宪法规定的情况和条件外，不得中止或限制这些权利。</w:t>
      </w:r>
    </w:p>
    <w:p w:rsidR="00000000" w:rsidRDefault="00457650" w:rsidP="00457650">
      <w:pPr>
        <w:tabs>
          <w:tab w:val="left" w:pos="840"/>
        </w:tabs>
        <w:spacing w:line="240" w:lineRule="auto"/>
        <w:ind w:firstLineChars="200" w:firstLine="31680"/>
        <w:rPr>
          <w:rFonts w:hint="eastAsia"/>
          <w:sz w:val="18"/>
          <w:szCs w:val="18"/>
        </w:rPr>
      </w:pPr>
      <w:r>
        <w:rPr>
          <w:rFonts w:hint="eastAsia"/>
          <w:sz w:val="18"/>
          <w:szCs w:val="18"/>
        </w:rPr>
        <w:t>墨西哥合众国内禁止奴隶制度。进入墨西哥领土的外国奴隶仅凭此即可恢复自由并受法律保护。</w:t>
      </w:r>
    </w:p>
    <w:p w:rsidR="00000000" w:rsidRDefault="00457650" w:rsidP="00457650">
      <w:pPr>
        <w:tabs>
          <w:tab w:val="left" w:pos="840"/>
        </w:tabs>
        <w:spacing w:line="240" w:lineRule="auto"/>
        <w:ind w:firstLineChars="200" w:firstLine="31680"/>
        <w:rPr>
          <w:sz w:val="18"/>
          <w:szCs w:val="18"/>
        </w:rPr>
      </w:pPr>
      <w:r>
        <w:rPr>
          <w:rFonts w:hint="eastAsia"/>
          <w:sz w:val="18"/>
          <w:szCs w:val="18"/>
        </w:rPr>
        <w:t>禁止任何基于种族或国籍、性别、年龄、能力差别、社会条件、健康状况、宗教、观念、爱好、公民身份或其他损害人身尊严和以取消或限制个人权利和自由为目的的歧视。</w:t>
      </w:r>
    </w:p>
    <w:p w:rsidR="00000000" w:rsidRDefault="00457650" w:rsidP="00457650">
      <w:pPr>
        <w:pStyle w:val="FootnoteText"/>
        <w:tabs>
          <w:tab w:val="left" w:pos="840"/>
        </w:tabs>
        <w:spacing w:line="240" w:lineRule="auto"/>
        <w:ind w:firstLineChars="200" w:firstLine="31680"/>
        <w:rPr>
          <w:rFonts w:eastAsia="SimSun" w:hint="eastAsia"/>
        </w:rPr>
      </w:pPr>
      <w:r>
        <w:rPr>
          <w:rFonts w:eastAsia="SimSun" w:hint="eastAsia"/>
        </w:rPr>
        <w:t>第</w:t>
      </w:r>
      <w:r>
        <w:rPr>
          <w:rFonts w:eastAsia="SimSun" w:hint="eastAsia"/>
        </w:rPr>
        <w:t>4</w:t>
      </w:r>
      <w:r>
        <w:rPr>
          <w:rFonts w:eastAsia="SimSun" w:hint="eastAsia"/>
        </w:rPr>
        <w:t>条：法律面前男女平等……。</w:t>
      </w:r>
    </w:p>
  </w:footnote>
  <w:footnote w:id="14">
    <w:p w:rsidR="00000000" w:rsidRDefault="00457650" w:rsidP="00457650">
      <w:pPr>
        <w:pStyle w:val="FootnoteText"/>
        <w:tabs>
          <w:tab w:val="left" w:pos="840"/>
        </w:tabs>
        <w:spacing w:line="240" w:lineRule="auto"/>
        <w:ind w:firstLineChars="200" w:firstLine="31680"/>
        <w:rPr>
          <w:rFonts w:eastAsia="SimSun" w:hint="eastAsia"/>
        </w:rPr>
      </w:pPr>
      <w:r>
        <w:rPr>
          <w:rStyle w:val="FootnoteReference"/>
          <w:rFonts w:eastAsia="SimSun"/>
        </w:rPr>
        <w:footnoteRef/>
      </w:r>
      <w:r>
        <w:rPr>
          <w:rFonts w:eastAsia="SimSun" w:hint="eastAsia"/>
        </w:rPr>
        <w:t xml:space="preserve"> </w:t>
      </w:r>
      <w:r>
        <w:rPr>
          <w:rFonts w:eastAsia="SimSun" w:hint="eastAsia"/>
        </w:rPr>
        <w:tab/>
      </w:r>
      <w:r>
        <w:rPr>
          <w:rFonts w:eastAsia="SimSun" w:hint="eastAsia"/>
        </w:rPr>
        <w:t>附件五：《联邦劳动法》第</w:t>
      </w:r>
      <w:r>
        <w:rPr>
          <w:rFonts w:eastAsia="SimSun" w:hint="eastAsia"/>
        </w:rPr>
        <w:t>58</w:t>
      </w:r>
      <w:r>
        <w:rPr>
          <w:rFonts w:eastAsia="SimSun" w:hint="eastAsia"/>
        </w:rPr>
        <w:t>条和第</w:t>
      </w:r>
      <w:r>
        <w:rPr>
          <w:rFonts w:eastAsia="SimSun" w:hint="eastAsia"/>
        </w:rPr>
        <w:t>68</w:t>
      </w:r>
      <w:r>
        <w:rPr>
          <w:rFonts w:eastAsia="SimSun" w:hint="eastAsia"/>
        </w:rPr>
        <w:t>条。</w:t>
      </w:r>
    </w:p>
  </w:footnote>
  <w:footnote w:id="15">
    <w:p w:rsidR="00000000" w:rsidRDefault="00457650" w:rsidP="00457650">
      <w:pPr>
        <w:pStyle w:val="FootnoteText"/>
        <w:tabs>
          <w:tab w:val="left" w:pos="840"/>
        </w:tabs>
        <w:spacing w:line="240" w:lineRule="auto"/>
        <w:ind w:firstLineChars="200" w:firstLine="31680"/>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查阅国际劳工组织网址：</w:t>
      </w:r>
      <w:r>
        <w:rPr>
          <w:rFonts w:eastAsia="SimSun" w:hint="eastAsia"/>
        </w:rPr>
        <w:t>http://www.ilo.org/ilolex/spanish/convdisp2.</w:t>
      </w:r>
      <w:r>
        <w:rPr>
          <w:rFonts w:eastAsia="SimSun" w:hint="eastAsia"/>
        </w:rPr>
        <w:t>htm</w:t>
      </w:r>
      <w:r>
        <w:rPr>
          <w:rFonts w:eastAsia="SimSun" w:hint="eastAsia"/>
        </w:rPr>
        <w:t>。</w:t>
      </w:r>
    </w:p>
  </w:footnote>
  <w:footnote w:id="16">
    <w:p w:rsidR="00000000" w:rsidRDefault="00457650" w:rsidP="00457650">
      <w:pPr>
        <w:pStyle w:val="FootnoteText"/>
        <w:tabs>
          <w:tab w:val="left" w:pos="840"/>
        </w:tabs>
        <w:spacing w:line="240" w:lineRule="auto"/>
        <w:ind w:firstLineChars="200" w:firstLine="31680"/>
        <w:rPr>
          <w:rFonts w:eastAsia="SimSun" w:hint="eastAsia"/>
        </w:rPr>
      </w:pPr>
      <w:r>
        <w:rPr>
          <w:rStyle w:val="FootnoteReference"/>
          <w:rFonts w:eastAsia="SimSun"/>
        </w:rPr>
        <w:footnoteRef/>
      </w:r>
      <w:r>
        <w:rPr>
          <w:rFonts w:eastAsia="SimSun"/>
        </w:rPr>
        <w:t xml:space="preserve"> </w:t>
      </w:r>
      <w:r>
        <w:rPr>
          <w:rFonts w:eastAsia="SimSun"/>
        </w:rPr>
        <w:tab/>
      </w:r>
      <w:r>
        <w:rPr>
          <w:rFonts w:eastAsia="SimSun" w:hint="eastAsia"/>
        </w:rPr>
        <w:t>见附件六。</w:t>
      </w:r>
    </w:p>
  </w:footnote>
  <w:footnote w:id="17">
    <w:p w:rsidR="00000000" w:rsidRDefault="00457650" w:rsidP="00457650">
      <w:pPr>
        <w:pStyle w:val="FootnoteText"/>
        <w:tabs>
          <w:tab w:val="left" w:pos="840"/>
        </w:tabs>
        <w:spacing w:line="240" w:lineRule="auto"/>
        <w:ind w:firstLineChars="200" w:firstLine="31680"/>
        <w:rPr>
          <w:rFonts w:eastAsia="SimSun" w:hint="eastAsia"/>
        </w:rPr>
      </w:pPr>
      <w:r>
        <w:rPr>
          <w:rFonts w:eastAsia="SimSun"/>
          <w:vertAlign w:val="superscript"/>
        </w:rPr>
        <w:footnoteRef/>
      </w:r>
      <w:r>
        <w:rPr>
          <w:rFonts w:eastAsia="SimSun"/>
          <w:vertAlign w:val="superscript"/>
        </w:rPr>
        <w:t xml:space="preserve"> </w:t>
      </w:r>
      <w:r>
        <w:rPr>
          <w:rFonts w:eastAsia="SimSun" w:hint="eastAsia"/>
        </w:rPr>
        <w:tab/>
      </w:r>
      <w:r>
        <w:rPr>
          <w:rFonts w:eastAsia="SimSun" w:hint="eastAsia"/>
        </w:rPr>
        <w:t>“在墨西哥消除童工现象的方针政策”，家庭综合发展系统</w:t>
      </w:r>
      <w:r>
        <w:rPr>
          <w:rFonts w:eastAsia="SimSun" w:hint="eastAsia"/>
        </w:rPr>
        <w:t>-</w:t>
      </w:r>
      <w:r>
        <w:rPr>
          <w:rFonts w:eastAsia="SimSun" w:hint="eastAsia"/>
        </w:rPr>
        <w:t>儿童基金会。</w:t>
      </w:r>
    </w:p>
  </w:footnote>
  <w:footnote w:id="18">
    <w:p w:rsidR="00000000" w:rsidRDefault="00457650" w:rsidP="00457650">
      <w:pPr>
        <w:pStyle w:val="FootnoteText"/>
        <w:tabs>
          <w:tab w:val="left" w:pos="840"/>
        </w:tabs>
        <w:spacing w:line="240" w:lineRule="auto"/>
        <w:ind w:firstLineChars="200" w:firstLine="31680"/>
        <w:rPr>
          <w:rFonts w:eastAsia="SimSun" w:hint="eastAsia"/>
        </w:rPr>
      </w:pPr>
      <w:r>
        <w:rPr>
          <w:rFonts w:eastAsia="SimSun"/>
          <w:vertAlign w:val="superscript"/>
        </w:rPr>
        <w:footnoteRef/>
      </w:r>
      <w:r>
        <w:rPr>
          <w:rFonts w:eastAsia="SimSun"/>
          <w:vertAlign w:val="superscript"/>
        </w:rPr>
        <w:t xml:space="preserve"> </w:t>
      </w:r>
      <w:r>
        <w:rPr>
          <w:rFonts w:eastAsia="SimSun" w:hint="eastAsia"/>
        </w:rPr>
        <w:tab/>
      </w:r>
      <w:r>
        <w:rPr>
          <w:rFonts w:eastAsia="SimSun" w:hint="eastAsia"/>
        </w:rPr>
        <w:t>《联邦劳动法》禁止年龄不满</w:t>
      </w:r>
      <w:r>
        <w:rPr>
          <w:rFonts w:eastAsia="SimSun" w:hint="eastAsia"/>
        </w:rPr>
        <w:t>14</w:t>
      </w:r>
      <w:r>
        <w:rPr>
          <w:rFonts w:eastAsia="SimSun" w:hint="eastAsia"/>
        </w:rPr>
        <w:t>周岁和</w:t>
      </w:r>
      <w:r>
        <w:rPr>
          <w:rFonts w:eastAsia="SimSun" w:hint="eastAsia"/>
        </w:rPr>
        <w:t>14-16</w:t>
      </w:r>
      <w:r>
        <w:rPr>
          <w:rFonts w:eastAsia="SimSun" w:hint="eastAsia"/>
        </w:rPr>
        <w:t>周岁未完成义务教育的未成年人参加工作，但主管机构批准的情况除外（第</w:t>
      </w:r>
      <w:r>
        <w:rPr>
          <w:rFonts w:eastAsia="SimSun" w:hint="eastAsia"/>
        </w:rPr>
        <w:t>22</w:t>
      </w:r>
      <w:r>
        <w:rPr>
          <w:rFonts w:eastAsia="SimSun" w:hint="eastAsia"/>
        </w:rPr>
        <w:t>条）。</w:t>
      </w:r>
    </w:p>
  </w:footnote>
  <w:footnote w:id="19">
    <w:p w:rsidR="00000000" w:rsidRDefault="00457650" w:rsidP="00457650">
      <w:pPr>
        <w:pStyle w:val="FootnoteText"/>
        <w:tabs>
          <w:tab w:val="left" w:pos="840"/>
        </w:tabs>
        <w:spacing w:line="240" w:lineRule="auto"/>
        <w:ind w:firstLineChars="200" w:firstLine="31680"/>
        <w:rPr>
          <w:rFonts w:eastAsia="SimSun" w:hint="eastAsia"/>
        </w:rPr>
      </w:pPr>
      <w:r>
        <w:rPr>
          <w:rFonts w:eastAsia="SimSun"/>
          <w:vertAlign w:val="superscript"/>
        </w:rPr>
        <w:footnoteRef/>
      </w:r>
      <w:r>
        <w:rPr>
          <w:rFonts w:eastAsia="SimSun" w:hint="eastAsia"/>
        </w:rPr>
        <w:t xml:space="preserve"> </w:t>
      </w:r>
      <w:r>
        <w:rPr>
          <w:rFonts w:eastAsia="SimSun" w:hint="eastAsia"/>
        </w:rPr>
        <w:tab/>
      </w:r>
      <w:r>
        <w:rPr>
          <w:rFonts w:eastAsia="SimSun" w:hint="eastAsia"/>
        </w:rPr>
        <w:t>下面将进一步具体解释这些界限。</w:t>
      </w:r>
    </w:p>
  </w:footnote>
  <w:footnote w:id="20">
    <w:p w:rsidR="00000000" w:rsidRDefault="00457650" w:rsidP="00457650">
      <w:pPr>
        <w:pStyle w:val="FootnoteText"/>
        <w:tabs>
          <w:tab w:val="left" w:pos="840"/>
        </w:tabs>
        <w:spacing w:line="240" w:lineRule="auto"/>
        <w:ind w:firstLineChars="200" w:firstLine="31680"/>
        <w:rPr>
          <w:rFonts w:eastAsia="SimSun" w:hint="eastAsia"/>
        </w:rPr>
      </w:pPr>
      <w:r>
        <w:rPr>
          <w:rStyle w:val="FootnoteReference"/>
          <w:rFonts w:eastAsia="SimSun"/>
        </w:rPr>
        <w:footnoteRef/>
      </w:r>
      <w:r>
        <w:rPr>
          <w:rFonts w:eastAsia="SimSun" w:hint="eastAsia"/>
        </w:rPr>
        <w:t xml:space="preserve"> </w:t>
      </w:r>
      <w:r>
        <w:rPr>
          <w:rFonts w:eastAsia="SimSun" w:hint="eastAsia"/>
        </w:rPr>
        <w:tab/>
      </w:r>
      <w:r>
        <w:rPr>
          <w:rFonts w:eastAsia="SimSun" w:hint="eastAsia"/>
        </w:rPr>
        <w:t>随报告附上一盘关于《</w:t>
      </w:r>
      <w:r>
        <w:rPr>
          <w:rFonts w:eastAsia="SimSun" w:hint="eastAsia"/>
        </w:rPr>
        <w:t>1997</w:t>
      </w:r>
      <w:r>
        <w:rPr>
          <w:rFonts w:eastAsia="SimSun" w:hint="eastAsia"/>
        </w:rPr>
        <w:t>年至</w:t>
      </w:r>
      <w:r>
        <w:rPr>
          <w:rFonts w:eastAsia="SimSun" w:hint="eastAsia"/>
        </w:rPr>
        <w:t>2002</w:t>
      </w:r>
      <w:r>
        <w:rPr>
          <w:rFonts w:eastAsia="SimSun" w:hint="eastAsia"/>
        </w:rPr>
        <w:t>年住房统计》和《</w:t>
      </w:r>
      <w:r>
        <w:rPr>
          <w:rFonts w:eastAsia="SimSun" w:hint="eastAsia"/>
        </w:rPr>
        <w:t>2001</w:t>
      </w:r>
      <w:r>
        <w:rPr>
          <w:rFonts w:eastAsia="SimSun" w:hint="eastAsia"/>
        </w:rPr>
        <w:t>年至</w:t>
      </w:r>
      <w:r>
        <w:rPr>
          <w:rFonts w:eastAsia="SimSun" w:hint="eastAsia"/>
        </w:rPr>
        <w:t>2002</w:t>
      </w:r>
      <w:r>
        <w:rPr>
          <w:rFonts w:eastAsia="SimSun" w:hint="eastAsia"/>
        </w:rPr>
        <w:t>年住房统计》的</w:t>
      </w:r>
      <w:r>
        <w:rPr>
          <w:rFonts w:eastAsia="SimSun" w:hint="eastAsia"/>
        </w:rPr>
        <w:t>CD</w:t>
      </w:r>
      <w:r>
        <w:rPr>
          <w:rFonts w:eastAsia="SimSun" w:hint="eastAsia"/>
        </w:rPr>
        <w:t>。</w:t>
      </w:r>
    </w:p>
  </w:footnote>
  <w:footnote w:id="21">
    <w:p w:rsidR="00000000" w:rsidRDefault="00457650" w:rsidP="00457650">
      <w:pPr>
        <w:pStyle w:val="FootnoteText"/>
        <w:tabs>
          <w:tab w:val="left" w:pos="840"/>
        </w:tabs>
        <w:ind w:firstLineChars="200" w:firstLine="31680"/>
        <w:rPr>
          <w:rFonts w:eastAsia="SimSun" w:hint="eastAsia"/>
        </w:rPr>
      </w:pPr>
      <w:r>
        <w:rPr>
          <w:rStyle w:val="FootnoteReference"/>
          <w:rFonts w:eastAsia="SimSun"/>
        </w:rPr>
        <w:footnoteRef/>
      </w:r>
      <w:r>
        <w:rPr>
          <w:rFonts w:eastAsia="SimSun" w:hint="eastAsia"/>
        </w:rPr>
        <w:t xml:space="preserve"> </w:t>
      </w:r>
      <w:r>
        <w:rPr>
          <w:rFonts w:eastAsia="SimSun" w:hint="eastAsia"/>
        </w:rPr>
        <w:tab/>
      </w:r>
      <w:r>
        <w:rPr>
          <w:rFonts w:eastAsia="SimSun" w:hint="eastAsia"/>
        </w:rPr>
        <w:t>这一下降比率的计算是以</w:t>
      </w:r>
      <w:r>
        <w:rPr>
          <w:rFonts w:eastAsia="SimSun" w:hint="eastAsia"/>
        </w:rPr>
        <w:t>100 000</w:t>
      </w:r>
      <w:r>
        <w:rPr>
          <w:rFonts w:eastAsia="SimSun" w:hint="eastAsia"/>
        </w:rPr>
        <w:t>名五岁以下儿童人口抽样为依据的。</w:t>
      </w:r>
    </w:p>
  </w:footnote>
  <w:footnote w:id="22">
    <w:p w:rsidR="00000000" w:rsidRDefault="00457650" w:rsidP="00457650">
      <w:pPr>
        <w:pStyle w:val="FootnoteText"/>
        <w:tabs>
          <w:tab w:val="left" w:pos="840"/>
        </w:tabs>
        <w:ind w:firstLineChars="200" w:firstLine="31680"/>
        <w:rPr>
          <w:rFonts w:eastAsia="SimSun" w:hint="eastAsia"/>
        </w:rPr>
      </w:pPr>
      <w:r>
        <w:rPr>
          <w:rStyle w:val="FootnoteReference"/>
          <w:rFonts w:eastAsia="SimSun"/>
        </w:rPr>
        <w:footnoteRef/>
      </w:r>
      <w:r>
        <w:rPr>
          <w:rFonts w:eastAsia="SimSun"/>
        </w:rPr>
        <w:t xml:space="preserve"> </w:t>
      </w:r>
      <w:r>
        <w:rPr>
          <w:rFonts w:eastAsia="SimSun" w:hint="eastAsia"/>
        </w:rPr>
        <w:tab/>
        <w:t>10</w:t>
      </w:r>
      <w:r>
        <w:rPr>
          <w:rFonts w:eastAsia="SimSun"/>
        </w:rPr>
        <w:t>-</w:t>
      </w:r>
      <w:r>
        <w:rPr>
          <w:rFonts w:eastAsia="SimSun" w:hint="eastAsia"/>
        </w:rPr>
        <w:t>14</w:t>
      </w:r>
      <w:r>
        <w:rPr>
          <w:rFonts w:eastAsia="SimSun" w:hint="eastAsia"/>
        </w:rPr>
        <w:t>岁初等教育方案。一般指导原则。内容、方法和教材</w:t>
      </w:r>
      <w:r>
        <w:rPr>
          <w:rFonts w:eastAsia="SimSun" w:hint="eastAsia"/>
        </w:rPr>
        <w:t>部。国家成人教育学院，</w:t>
      </w:r>
      <w:r>
        <w:rPr>
          <w:rFonts w:eastAsia="SimSun" w:hint="eastAsia"/>
        </w:rPr>
        <w:t>1995</w:t>
      </w:r>
      <w:r>
        <w:rPr>
          <w:rFonts w:eastAsia="SimSun" w:hint="eastAsia"/>
        </w:rPr>
        <w:t>年，第</w:t>
      </w:r>
      <w:r>
        <w:rPr>
          <w:rFonts w:eastAsia="SimSun" w:hint="eastAsia"/>
        </w:rPr>
        <w:t>3</w:t>
      </w:r>
      <w:r>
        <w:rPr>
          <w:rFonts w:eastAsia="SimSun"/>
        </w:rPr>
        <w:t>-</w:t>
      </w:r>
      <w:r>
        <w:rPr>
          <w:rFonts w:eastAsia="SimSun" w:hint="eastAsia"/>
        </w:rPr>
        <w:t>6</w:t>
      </w:r>
      <w:r>
        <w:rPr>
          <w:rFonts w:eastAsia="SimSun" w:hint="eastAsia"/>
        </w:rPr>
        <w:t>页。</w:t>
      </w:r>
    </w:p>
  </w:footnote>
  <w:footnote w:id="23">
    <w:p w:rsidR="00000000" w:rsidRDefault="00457650" w:rsidP="00457650">
      <w:pPr>
        <w:pStyle w:val="FootnoteText"/>
        <w:tabs>
          <w:tab w:val="left" w:pos="840"/>
        </w:tabs>
        <w:ind w:firstLineChars="200" w:firstLine="31680"/>
        <w:jc w:val="both"/>
        <w:rPr>
          <w:rFonts w:eastAsia="SimSun" w:hint="eastAsia"/>
        </w:rPr>
      </w:pPr>
      <w:r>
        <w:rPr>
          <w:rFonts w:eastAsia="SimSun"/>
          <w:vertAlign w:val="superscript"/>
        </w:rPr>
        <w:footnoteRef/>
      </w:r>
      <w:r>
        <w:rPr>
          <w:rFonts w:eastAsia="SimSun" w:hint="eastAsia"/>
          <w:vertAlign w:val="superscript"/>
        </w:rPr>
        <w:t xml:space="preserve"> </w:t>
      </w:r>
      <w:r>
        <w:rPr>
          <w:rFonts w:eastAsia="SimSun" w:hint="eastAsia"/>
        </w:rPr>
        <w:tab/>
      </w:r>
      <w:r>
        <w:rPr>
          <w:rFonts w:eastAsia="SimSun" w:hint="eastAsia"/>
        </w:rPr>
        <w:t>资料包括讲土著语言者和不讲土著语言者，包括不讲任何土著语言但声称自己属于土著群体者，</w:t>
      </w:r>
      <w:r>
        <w:rPr>
          <w:rFonts w:eastAsia="SimSun" w:hint="eastAsia"/>
        </w:rPr>
        <w:t>INI/UNDP/CONAPO</w:t>
      </w:r>
      <w:r>
        <w:rPr>
          <w:rFonts w:eastAsia="SimSun" w:hint="eastAsia"/>
        </w:rPr>
        <w:t>：土著人口的估计依据国家统计、地理和信息技术研究所于</w:t>
      </w:r>
      <w:r>
        <w:rPr>
          <w:rFonts w:eastAsia="SimSun" w:hint="eastAsia"/>
        </w:rPr>
        <w:t>2000</w:t>
      </w:r>
      <w:r>
        <w:rPr>
          <w:rFonts w:eastAsia="SimSun" w:hint="eastAsia"/>
        </w:rPr>
        <w:t>年进行的第</w:t>
      </w:r>
      <w:r>
        <w:rPr>
          <w:rFonts w:eastAsia="SimSun" w:hint="eastAsia"/>
        </w:rPr>
        <w:t>12</w:t>
      </w:r>
      <w:r>
        <w:rPr>
          <w:rFonts w:eastAsia="SimSun" w:hint="eastAsia"/>
        </w:rPr>
        <w:t>次一般人口和住房普查的数据，包括</w:t>
      </w:r>
      <w:r>
        <w:rPr>
          <w:rFonts w:eastAsia="SimSun" w:hint="eastAsia"/>
        </w:rPr>
        <w:t>2002</w:t>
      </w:r>
      <w:r>
        <w:rPr>
          <w:rFonts w:eastAsia="SimSun" w:hint="eastAsia"/>
        </w:rPr>
        <w:t>年墨西哥土著人口社会经济指标。</w:t>
      </w:r>
      <w:r>
        <w:rPr>
          <w:rFonts w:eastAsia="SimSun" w:hint="eastAsia"/>
        </w:rPr>
        <w:t>INI/UNDP/CONAPO</w:t>
      </w:r>
      <w:r>
        <w:rPr>
          <w:rFonts w:eastAsia="SimSun" w:hint="eastAsia"/>
        </w:rPr>
        <w:t>，第</w:t>
      </w:r>
      <w:r>
        <w:rPr>
          <w:rFonts w:eastAsia="SimSun" w:hint="eastAsia"/>
        </w:rPr>
        <w:t>47</w:t>
      </w:r>
      <w:r>
        <w:rPr>
          <w:rFonts w:eastAsia="SimSun" w:hint="eastAsia"/>
        </w:rPr>
        <w:t>页。</w:t>
      </w:r>
    </w:p>
  </w:footnote>
  <w:footnote w:id="24">
    <w:p w:rsidR="00000000" w:rsidRDefault="00457650" w:rsidP="00457650">
      <w:pPr>
        <w:pStyle w:val="FootnoteText"/>
        <w:tabs>
          <w:tab w:val="left" w:pos="840"/>
        </w:tabs>
        <w:ind w:firstLineChars="200" w:firstLine="31680"/>
        <w:jc w:val="both"/>
        <w:rPr>
          <w:rFonts w:eastAsia="SimSun" w:hint="eastAsia"/>
        </w:rPr>
      </w:pPr>
      <w:r>
        <w:rPr>
          <w:rFonts w:eastAsia="SimSun"/>
          <w:vertAlign w:val="superscript"/>
        </w:rPr>
        <w:footnoteRef/>
      </w:r>
      <w:r>
        <w:rPr>
          <w:rFonts w:eastAsia="SimSun"/>
        </w:rPr>
        <w:t xml:space="preserve"> </w:t>
      </w:r>
      <w:r>
        <w:rPr>
          <w:rFonts w:eastAsia="SimSun" w:hint="eastAsia"/>
        </w:rPr>
        <w:tab/>
        <w:t>INI/UNDP/CONAPO</w:t>
      </w:r>
      <w:r>
        <w:rPr>
          <w:rFonts w:eastAsia="SimSun" w:hint="eastAsia"/>
        </w:rPr>
        <w:t>，</w:t>
      </w:r>
      <w:r>
        <w:rPr>
          <w:rFonts w:eastAsia="SimSun" w:hint="eastAsia"/>
        </w:rPr>
        <w:t>2002</w:t>
      </w:r>
      <w:r>
        <w:rPr>
          <w:rFonts w:eastAsia="SimSun" w:hint="eastAsia"/>
        </w:rPr>
        <w:t>年，前引书。</w:t>
      </w:r>
    </w:p>
  </w:footnote>
  <w:footnote w:id="25">
    <w:p w:rsidR="00000000" w:rsidRDefault="00457650" w:rsidP="00457650">
      <w:pPr>
        <w:tabs>
          <w:tab w:val="left" w:pos="340"/>
          <w:tab w:val="left" w:pos="680"/>
        </w:tabs>
        <w:spacing w:after="80"/>
        <w:ind w:firstLineChars="200" w:firstLine="31680"/>
        <w:rPr>
          <w:rFonts w:hint="eastAsia"/>
          <w:sz w:val="18"/>
          <w:szCs w:val="18"/>
        </w:rPr>
      </w:pPr>
      <w:r>
        <w:rPr>
          <w:rStyle w:val="FootnoteReference"/>
          <w:sz w:val="18"/>
          <w:szCs w:val="18"/>
        </w:rPr>
        <w:t>24</w:t>
      </w:r>
      <w:r>
        <w:rPr>
          <w:sz w:val="18"/>
          <w:szCs w:val="18"/>
        </w:rPr>
        <w:t xml:space="preserve"> </w:t>
      </w:r>
      <w:r>
        <w:rPr>
          <w:rFonts w:hint="eastAsia"/>
          <w:sz w:val="18"/>
        </w:rPr>
        <w:tab/>
      </w:r>
      <w:r>
        <w:rPr>
          <w:rFonts w:hint="eastAsia"/>
          <w:spacing w:val="-2"/>
          <w:sz w:val="18"/>
          <w:szCs w:val="18"/>
        </w:rPr>
        <w:t>关于“</w:t>
      </w:r>
      <w:r>
        <w:rPr>
          <w:rFonts w:ascii="SimSun" w:hAnsi="SimSun" w:hint="eastAsia"/>
          <w:sz w:val="18"/>
          <w:szCs w:val="18"/>
        </w:rPr>
        <w:t>针对幼儿园阶段有特殊教育需求的儿童与家长合作的基本方面和支持策略</w:t>
      </w:r>
      <w:r>
        <w:rPr>
          <w:rFonts w:hint="eastAsia"/>
          <w:spacing w:val="-2"/>
          <w:sz w:val="18"/>
          <w:szCs w:val="18"/>
        </w:rPr>
        <w:t>”的课程由韦拉克鲁</w:t>
      </w:r>
      <w:r>
        <w:rPr>
          <w:rFonts w:hint="eastAsia"/>
          <w:spacing w:val="-2"/>
          <w:sz w:val="18"/>
          <w:szCs w:val="18"/>
        </w:rPr>
        <w:t>斯州制定，并成为</w:t>
      </w:r>
      <w:r>
        <w:rPr>
          <w:rFonts w:ascii="SimSun" w:hAnsi="SimSun" w:hint="eastAsia"/>
          <w:sz w:val="18"/>
          <w:szCs w:val="21"/>
        </w:rPr>
        <w:t>国家进修课程库</w:t>
      </w:r>
      <w:r>
        <w:rPr>
          <w:rFonts w:hint="eastAsia"/>
          <w:spacing w:val="-2"/>
          <w:sz w:val="18"/>
          <w:szCs w:val="21"/>
        </w:rPr>
        <w:t>的一部</w:t>
      </w:r>
      <w:r>
        <w:rPr>
          <w:rFonts w:hint="eastAsia"/>
          <w:spacing w:val="-2"/>
          <w:sz w:val="18"/>
          <w:szCs w:val="18"/>
        </w:rPr>
        <w:t>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57650">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457650">
                      <w:pPr>
                        <w:pStyle w:val="Header"/>
                        <w:pBdr>
                          <w:bottom w:val="none" w:sz="0" w:space="0" w:color="auto"/>
                        </w:pBdr>
                        <w:spacing w:after="80"/>
                        <w:jc w:val="both"/>
                        <w:rPr>
                          <w:rFonts w:hint="eastAsia"/>
                          <w:b/>
                        </w:rPr>
                      </w:pPr>
                      <w:r>
                        <w:rPr>
                          <w:b/>
                        </w:rPr>
                        <w:t>CEDAW/C/SGP/3</w:t>
                      </w:r>
                    </w:p>
                  </w:tc>
                  <w:tc>
                    <w:tcPr>
                      <w:tcW w:w="5048" w:type="dxa"/>
                      <w:tcBorders>
                        <w:bottom w:val="single" w:sz="4" w:space="0" w:color="auto"/>
                      </w:tcBorders>
                      <w:vAlign w:val="bottom"/>
                    </w:tcPr>
                    <w:p w:rsidR="00000000" w:rsidRDefault="00457650">
                      <w:pPr>
                        <w:pStyle w:val="Header"/>
                        <w:pBdr>
                          <w:bottom w:val="none" w:sz="0" w:space="0" w:color="auto"/>
                        </w:pBdr>
                      </w:pPr>
                    </w:p>
                  </w:tc>
                </w:tr>
              </w:tbl>
              <w:p w:rsidR="00000000" w:rsidRDefault="0045765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5765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457650">
                      <w:pPr>
                        <w:pStyle w:val="Header"/>
                        <w:pBdr>
                          <w:bottom w:val="none" w:sz="0" w:space="0" w:color="auto"/>
                        </w:pBdr>
                      </w:pPr>
                    </w:p>
                  </w:tc>
                  <w:tc>
                    <w:tcPr>
                      <w:tcW w:w="5048" w:type="dxa"/>
                      <w:tcBorders>
                        <w:bottom w:val="single" w:sz="4" w:space="0" w:color="auto"/>
                      </w:tcBorders>
                      <w:vAlign w:val="bottom"/>
                    </w:tcPr>
                    <w:p w:rsidR="00000000" w:rsidRDefault="00457650">
                      <w:pPr>
                        <w:pStyle w:val="Header"/>
                        <w:pBdr>
                          <w:bottom w:val="none" w:sz="0" w:space="0" w:color="auto"/>
                        </w:pBdr>
                        <w:spacing w:after="80"/>
                        <w:jc w:val="right"/>
                        <w:rPr>
                          <w:rFonts w:hint="eastAsia"/>
                          <w:b/>
                        </w:rPr>
                      </w:pPr>
                      <w:r>
                        <w:rPr>
                          <w:b/>
                        </w:rPr>
                        <w:t>CEDAW/CSGP/3</w:t>
                      </w:r>
                    </w:p>
                  </w:tc>
                </w:tr>
              </w:tbl>
              <w:p w:rsidR="00000000" w:rsidRDefault="0045765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20"/>
      <w:gridCol w:w="1819"/>
      <w:gridCol w:w="245"/>
      <w:gridCol w:w="3110"/>
      <w:gridCol w:w="226"/>
      <w:gridCol w:w="3120"/>
    </w:tblGrid>
    <w:tr w:rsidR="00000000">
      <w:tblPrEx>
        <w:tblCellMar>
          <w:top w:w="0" w:type="dxa"/>
          <w:bottom w:w="0" w:type="dxa"/>
        </w:tblCellMar>
      </w:tblPrEx>
      <w:trPr>
        <w:trHeight w:hRule="exact" w:val="864"/>
      </w:trPr>
      <w:tc>
        <w:tcPr>
          <w:tcW w:w="1320" w:type="dxa"/>
          <w:tcBorders>
            <w:top w:val="nil"/>
            <w:left w:val="nil"/>
            <w:bottom w:val="single" w:sz="4" w:space="0" w:color="auto"/>
            <w:right w:val="nil"/>
          </w:tcBorders>
          <w:vAlign w:val="bottom"/>
        </w:tcPr>
        <w:p w:rsidR="00000000" w:rsidRDefault="00457650">
          <w:pPr>
            <w:pStyle w:val="Header"/>
            <w:pBdr>
              <w:bottom w:val="none" w:sz="0" w:space="0" w:color="auto"/>
            </w:pBdr>
            <w:spacing w:after="120"/>
          </w:pPr>
        </w:p>
      </w:tc>
      <w:tc>
        <w:tcPr>
          <w:tcW w:w="1819" w:type="dxa"/>
          <w:tcBorders>
            <w:top w:val="nil"/>
            <w:left w:val="nil"/>
            <w:bottom w:val="single" w:sz="4" w:space="0" w:color="auto"/>
            <w:right w:val="nil"/>
          </w:tcBorders>
          <w:vAlign w:val="bottom"/>
        </w:tcPr>
        <w:p w:rsidR="00000000" w:rsidRDefault="00457650">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457650">
          <w:pPr>
            <w:pStyle w:val="Header"/>
            <w:pBdr>
              <w:bottom w:val="none" w:sz="0" w:space="0" w:color="auto"/>
            </w:pBdr>
            <w:spacing w:after="120"/>
          </w:pPr>
        </w:p>
      </w:tc>
      <w:tc>
        <w:tcPr>
          <w:tcW w:w="6456" w:type="dxa"/>
          <w:gridSpan w:val="3"/>
          <w:tcBorders>
            <w:top w:val="nil"/>
            <w:left w:val="nil"/>
            <w:bottom w:val="single" w:sz="4" w:space="0" w:color="auto"/>
            <w:right w:val="nil"/>
          </w:tcBorders>
          <w:vAlign w:val="bottom"/>
        </w:tcPr>
        <w:p w:rsidR="00000000" w:rsidRDefault="00457650">
          <w:pPr>
            <w:spacing w:line="240" w:lineRule="auto"/>
            <w:jc w:val="right"/>
            <w:rPr>
              <w:rFonts w:ascii="Arial" w:hAnsi="Arial" w:cs="Arial"/>
              <w:b/>
              <w:bCs/>
              <w:position w:val="-4"/>
              <w:sz w:val="52"/>
            </w:rPr>
          </w:pPr>
          <w:r>
            <w:rPr>
              <w:rFonts w:ascii="Arial" w:hAnsi="Arial" w:cs="Arial" w:hint="eastAsia"/>
              <w:b/>
              <w:bCs/>
              <w:position w:val="-4"/>
              <w:sz w:val="72"/>
            </w:rPr>
            <w:t>E</w:t>
          </w:r>
          <w:r>
            <w:rPr>
              <w:rFonts w:ascii="Arial" w:hAnsi="Arial" w:cs="Arial"/>
              <w:b/>
              <w:bCs/>
              <w:position w:val="-4"/>
              <w:sz w:val="52"/>
            </w:rPr>
            <w:t>  </w:t>
          </w:r>
        </w:p>
      </w:tc>
    </w:tr>
    <w:tr w:rsidR="00000000">
      <w:tblPrEx>
        <w:tblCellMar>
          <w:top w:w="0" w:type="dxa"/>
          <w:bottom w:w="0" w:type="dxa"/>
        </w:tblCellMar>
      </w:tblPrEx>
      <w:trPr>
        <w:trHeight w:hRule="exact" w:val="2880"/>
      </w:trPr>
      <w:tc>
        <w:tcPr>
          <w:tcW w:w="1320" w:type="dxa"/>
          <w:tcBorders>
            <w:left w:val="nil"/>
            <w:bottom w:val="single" w:sz="12" w:space="0" w:color="auto"/>
            <w:right w:val="nil"/>
          </w:tcBorders>
        </w:tcPr>
        <w:p w:rsidR="00000000" w:rsidRDefault="00457650">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4.75pt;height:47.25pt">
                <v:imagedata r:id="rId1" o:title="un logo 800"/>
              </v:shape>
            </w:pict>
          </w:r>
        </w:p>
        <w:p w:rsidR="00000000" w:rsidRDefault="00457650">
          <w:pPr>
            <w:pStyle w:val="Header"/>
            <w:pBdr>
              <w:bottom w:val="none" w:sz="0" w:space="0" w:color="auto"/>
            </w:pBdr>
            <w:spacing w:before="109"/>
            <w:ind w:left="-72"/>
          </w:pPr>
        </w:p>
      </w:tc>
      <w:tc>
        <w:tcPr>
          <w:tcW w:w="5174" w:type="dxa"/>
          <w:gridSpan w:val="3"/>
          <w:tcBorders>
            <w:left w:val="nil"/>
            <w:bottom w:val="single" w:sz="12" w:space="0" w:color="auto"/>
            <w:right w:val="nil"/>
          </w:tcBorders>
        </w:tcPr>
        <w:p w:rsidR="00000000" w:rsidRDefault="00457650">
          <w:pPr>
            <w:pStyle w:val="XLarge"/>
            <w:spacing w:before="109" w:after="140" w:line="520" w:lineRule="exact"/>
            <w:rPr>
              <w:rFonts w:ascii="Univers" w:hAnsi="Univers" w:hint="eastAsia"/>
              <w:b/>
              <w:color w:val="auto"/>
              <w:sz w:val="36"/>
            </w:rPr>
          </w:pPr>
          <w:r>
            <w:rPr>
              <w:rFonts w:hint="eastAsia"/>
              <w:color w:val="auto"/>
            </w:rPr>
            <w:t>经济及社会理事会</w:t>
          </w:r>
        </w:p>
        <w:p w:rsidR="00000000" w:rsidRDefault="00457650">
          <w:pPr>
            <w:spacing w:line="240" w:lineRule="exact"/>
            <w:rPr>
              <w:bCs/>
            </w:rPr>
          </w:pPr>
        </w:p>
      </w:tc>
      <w:tc>
        <w:tcPr>
          <w:tcW w:w="226" w:type="dxa"/>
          <w:tcBorders>
            <w:left w:val="nil"/>
            <w:bottom w:val="single" w:sz="12" w:space="0" w:color="auto"/>
            <w:right w:val="nil"/>
          </w:tcBorders>
        </w:tcPr>
        <w:p w:rsidR="00000000" w:rsidRDefault="00457650">
          <w:pPr>
            <w:pStyle w:val="Header"/>
            <w:pBdr>
              <w:bottom w:val="none" w:sz="0" w:space="0" w:color="auto"/>
            </w:pBdr>
            <w:spacing w:before="109"/>
          </w:pPr>
        </w:p>
      </w:tc>
      <w:tc>
        <w:tcPr>
          <w:tcW w:w="3120" w:type="dxa"/>
          <w:tcBorders>
            <w:left w:val="nil"/>
            <w:bottom w:val="single" w:sz="12" w:space="0" w:color="auto"/>
            <w:right w:val="nil"/>
          </w:tcBorders>
        </w:tcPr>
        <w:p w:rsidR="00000000" w:rsidRDefault="00457650">
          <w:pPr>
            <w:spacing w:before="240" w:line="240" w:lineRule="exact"/>
            <w:rPr>
              <w:sz w:val="24"/>
            </w:rPr>
          </w:pPr>
          <w:r>
            <w:rPr>
              <w:sz w:val="24"/>
            </w:rPr>
            <w:t>Distr.</w:t>
          </w:r>
          <w:r>
            <w:rPr>
              <w:rFonts w:hint="eastAsia"/>
              <w:sz w:val="24"/>
            </w:rPr>
            <w:br/>
          </w:r>
          <w:r>
            <w:rPr>
              <w:sz w:val="24"/>
            </w:rPr>
            <w:t>GENERAL</w:t>
          </w:r>
        </w:p>
        <w:p w:rsidR="00000000" w:rsidRDefault="00457650">
          <w:pPr>
            <w:spacing w:line="240" w:lineRule="exact"/>
            <w:rPr>
              <w:rFonts w:hint="eastAsia"/>
              <w:sz w:val="24"/>
            </w:rPr>
          </w:pPr>
        </w:p>
        <w:p w:rsidR="00000000" w:rsidRDefault="00457650">
          <w:pPr>
            <w:spacing w:line="240" w:lineRule="exact"/>
            <w:rPr>
              <w:sz w:val="24"/>
            </w:rPr>
          </w:pPr>
          <w:r>
            <w:rPr>
              <w:rFonts w:hint="eastAsia"/>
              <w:sz w:val="24"/>
            </w:rPr>
            <w:t>E/C.12/4/Add.16</w:t>
          </w:r>
        </w:p>
        <w:p w:rsidR="00000000" w:rsidRDefault="00457650">
          <w:pPr>
            <w:spacing w:line="240" w:lineRule="exact"/>
            <w:rPr>
              <w:rFonts w:hint="eastAsia"/>
              <w:sz w:val="24"/>
            </w:rPr>
          </w:pPr>
          <w:r>
            <w:rPr>
              <w:rFonts w:hint="eastAsia"/>
              <w:sz w:val="24"/>
            </w:rPr>
            <w:t>25 February 2005</w:t>
          </w:r>
        </w:p>
        <w:p w:rsidR="00000000" w:rsidRDefault="00457650">
          <w:pPr>
            <w:spacing w:line="240" w:lineRule="exact"/>
            <w:rPr>
              <w:rFonts w:hint="eastAsia"/>
              <w:sz w:val="24"/>
            </w:rPr>
          </w:pPr>
        </w:p>
        <w:p w:rsidR="00000000" w:rsidRDefault="00457650">
          <w:pPr>
            <w:spacing w:line="240" w:lineRule="exact"/>
            <w:rPr>
              <w:sz w:val="24"/>
            </w:rPr>
          </w:pPr>
          <w:r>
            <w:rPr>
              <w:sz w:val="24"/>
            </w:rPr>
            <w:t>CHINESE</w:t>
          </w:r>
        </w:p>
        <w:p w:rsidR="00000000" w:rsidRDefault="00457650">
          <w:pPr>
            <w:spacing w:line="240" w:lineRule="exact"/>
            <w:rPr>
              <w:rFonts w:hint="eastAsia"/>
            </w:rPr>
          </w:pPr>
          <w:r>
            <w:rPr>
              <w:sz w:val="24"/>
            </w:rPr>
            <w:t xml:space="preserve">Original: </w:t>
          </w:r>
          <w:r>
            <w:rPr>
              <w:rFonts w:hint="eastAsia"/>
              <w:sz w:val="24"/>
            </w:rPr>
            <w:t>SPANISH</w:t>
          </w:r>
        </w:p>
      </w:tc>
    </w:tr>
  </w:tbl>
  <w:p w:rsidR="00000000" w:rsidRDefault="00457650">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57650">
    <w:pPr>
      <w:pStyle w:val="Header"/>
      <w:pBdr>
        <w:bottom w:val="none" w:sz="0" w:space="0" w:color="auto"/>
      </w:pBdr>
      <w:spacing w:line="240" w:lineRule="auto"/>
      <w:ind w:right="360" w:firstLine="360"/>
      <w:jc w:val="both"/>
      <w:rPr>
        <w:rFonts w:hint="eastAsia"/>
      </w:rPr>
    </w:pPr>
  </w:p>
  <w:p w:rsidR="00000000" w:rsidRDefault="00457650">
    <w:pPr>
      <w:pStyle w:val="Header"/>
      <w:pBdr>
        <w:bottom w:val="none" w:sz="0" w:space="0" w:color="auto"/>
      </w:pBdr>
      <w:spacing w:line="240" w:lineRule="auto"/>
      <w:ind w:right="360"/>
      <w:jc w:val="both"/>
      <w:rPr>
        <w:sz w:val="24"/>
      </w:rPr>
    </w:pPr>
    <w:r>
      <w:rPr>
        <w:noProof/>
        <w:sz w:val="24"/>
      </w:rPr>
      <w:pict>
        <v:rect id="_x0000_s2076" style="position:absolute;left:0;text-align:left;margin-left:-12pt;margin-top:58.15pt;width:510pt;height:15.6pt;z-index:3" stroked="f"/>
      </w:pict>
    </w:r>
    <w:r>
      <w:rPr>
        <w:rFonts w:hint="eastAsia"/>
        <w:sz w:val="24"/>
      </w:rPr>
      <w:t>E/C.12/4/Add.16</w:t>
    </w:r>
  </w:p>
  <w:p w:rsidR="00000000" w:rsidRDefault="00457650">
    <w:pPr>
      <w:pStyle w:val="Header"/>
      <w:pBdr>
        <w:bottom w:val="none" w:sz="0" w:space="0" w:color="auto"/>
      </w:pBdr>
      <w:spacing w:after="240" w:line="240" w:lineRule="auto"/>
      <w:ind w:right="357"/>
      <w:jc w:val="both"/>
      <w:rPr>
        <w:sz w:val="24"/>
      </w:rPr>
    </w:pP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2</w:t>
    </w:r>
    <w:r>
      <w:rPr>
        <w:rStyle w:val="PageNumber"/>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57650">
    <w:pPr>
      <w:pStyle w:val="Header"/>
      <w:pBdr>
        <w:bottom w:val="none" w:sz="0" w:space="0" w:color="auto"/>
      </w:pBdr>
      <w:ind w:right="360" w:firstLine="360"/>
      <w:jc w:val="right"/>
      <w:rPr>
        <w:rFonts w:hint="eastAsia"/>
      </w:rPr>
    </w:pPr>
  </w:p>
  <w:p w:rsidR="00000000" w:rsidRDefault="00457650" w:rsidP="00457650">
    <w:pPr>
      <w:pStyle w:val="Header"/>
      <w:pBdr>
        <w:bottom w:val="none" w:sz="0" w:space="0" w:color="auto"/>
      </w:pBdr>
      <w:tabs>
        <w:tab w:val="clear" w:pos="4320"/>
        <w:tab w:val="clear" w:pos="8640"/>
        <w:tab w:val="left" w:pos="8040"/>
      </w:tabs>
      <w:ind w:rightChars="-10" w:right="31680"/>
      <w:jc w:val="both"/>
      <w:rPr>
        <w:sz w:val="24"/>
      </w:rPr>
    </w:pPr>
    <w:r>
      <w:rPr>
        <w:rFonts w:hint="eastAsia"/>
        <w:b/>
        <w:bCs/>
        <w:sz w:val="20"/>
      </w:rPr>
      <w:tab/>
    </w:r>
    <w:r>
      <w:rPr>
        <w:rFonts w:hint="eastAsia"/>
        <w:sz w:val="24"/>
      </w:rPr>
      <w:t>E/C.12/4/Add.16</w:t>
    </w:r>
  </w:p>
  <w:p w:rsidR="00000000" w:rsidRDefault="00457650" w:rsidP="00457650">
    <w:pPr>
      <w:pStyle w:val="Header"/>
      <w:pBdr>
        <w:bottom w:val="none" w:sz="0" w:space="0" w:color="auto"/>
      </w:pBdr>
      <w:tabs>
        <w:tab w:val="clear" w:pos="4320"/>
        <w:tab w:val="clear" w:pos="8640"/>
        <w:tab w:val="left" w:pos="8040"/>
      </w:tabs>
      <w:spacing w:after="240"/>
      <w:ind w:rightChars="-10" w:right="31680"/>
      <w:jc w:val="both"/>
      <w:rPr>
        <w:sz w:val="24"/>
      </w:rPr>
    </w:pPr>
    <w:r>
      <w:rPr>
        <w:sz w:val="24"/>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23</w:t>
    </w:r>
    <w:r>
      <w:rPr>
        <w:rStyle w:val="PageNumber"/>
        <w:noProof/>
        <w:sz w:val="24"/>
      </w:rPr>
      <w:t>1</w:t>
    </w:r>
    <w:r>
      <w:rPr>
        <w:rStyle w:val="PageNumber"/>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1">
    <w:nsid w:val="FFFFFFFE"/>
    <w:multiLevelType w:val="singleLevel"/>
    <w:tmpl w:val="FFFFFFFF"/>
    <w:lvl w:ilvl="0">
      <w:numFmt w:val="decimal"/>
      <w:lvlText w:val="*"/>
      <w:lvlJc w:val="left"/>
    </w:lvl>
  </w:abstractNum>
  <w:abstractNum w:abstractNumId="12">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3">
    <w:nsid w:val="001D7BE8"/>
    <w:multiLevelType w:val="hybridMultilevel"/>
    <w:tmpl w:val="ADDC651E"/>
    <w:lvl w:ilvl="0" w:tplc="67E08962">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03112B5"/>
    <w:multiLevelType w:val="hybridMultilevel"/>
    <w:tmpl w:val="A5E4BA3E"/>
    <w:lvl w:ilvl="0" w:tplc="84E841B4">
      <w:start w:val="2000"/>
      <w:numFmt w:val="bullet"/>
      <w:lvlText w:val=""/>
      <w:lvlJc w:val="left"/>
      <w:pPr>
        <w:tabs>
          <w:tab w:val="num" w:pos="1205"/>
        </w:tabs>
        <w:ind w:left="1205"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6">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20">
    <w:nsid w:val="00754844"/>
    <w:multiLevelType w:val="hybridMultilevel"/>
    <w:tmpl w:val="3800D2F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3">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5">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0A140BF"/>
    <w:multiLevelType w:val="singleLevel"/>
    <w:tmpl w:val="4114E738"/>
    <w:lvl w:ilvl="0">
      <w:start w:val="1"/>
      <w:numFmt w:val="decimal"/>
      <w:lvlText w:val="%1)"/>
      <w:legacy w:legacy="1" w:legacySpace="0" w:legacyIndent="360"/>
      <w:lvlJc w:val="left"/>
      <w:pPr>
        <w:ind w:left="360" w:hanging="360"/>
      </w:pPr>
    </w:lvl>
  </w:abstractNum>
  <w:abstractNum w:abstractNumId="2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8">
    <w:nsid w:val="00BE1A55"/>
    <w:multiLevelType w:val="hybridMultilevel"/>
    <w:tmpl w:val="E8DE383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9">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0">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31">
    <w:nsid w:val="00E502CA"/>
    <w:multiLevelType w:val="hybridMultilevel"/>
    <w:tmpl w:val="965AA010"/>
    <w:lvl w:ilvl="0" w:tplc="624A112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nsid w:val="00E90CCD"/>
    <w:multiLevelType w:val="hybridMultilevel"/>
    <w:tmpl w:val="81D68D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
    <w:nsid w:val="01316431"/>
    <w:multiLevelType w:val="hybridMultilevel"/>
    <w:tmpl w:val="EF4CBA00"/>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9">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40">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41">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42">
    <w:nsid w:val="0166630F"/>
    <w:multiLevelType w:val="hybridMultilevel"/>
    <w:tmpl w:val="197AB4BE"/>
    <w:lvl w:ilvl="0" w:tplc="88A8329C">
      <w:start w:val="6"/>
      <w:numFmt w:val="upperLetter"/>
      <w:lvlText w:val="%1."/>
      <w:lvlJc w:val="left"/>
      <w:pPr>
        <w:tabs>
          <w:tab w:val="num" w:pos="361"/>
        </w:tabs>
        <w:ind w:left="361" w:hanging="360"/>
      </w:pPr>
      <w:rPr>
        <w:rFonts w:hint="default"/>
      </w:rPr>
    </w:lvl>
    <w:lvl w:ilvl="1" w:tplc="04090019" w:tentative="1">
      <w:start w:val="1"/>
      <w:numFmt w:val="lowerLetter"/>
      <w:lvlText w:val="%2)"/>
      <w:lvlJc w:val="left"/>
      <w:pPr>
        <w:tabs>
          <w:tab w:val="num" w:pos="841"/>
        </w:tabs>
        <w:ind w:left="841" w:hanging="420"/>
      </w:pPr>
    </w:lvl>
    <w:lvl w:ilvl="2" w:tplc="0409001B" w:tentative="1">
      <w:start w:val="1"/>
      <w:numFmt w:val="lowerRoman"/>
      <w:lvlText w:val="%3."/>
      <w:lvlJc w:val="right"/>
      <w:pPr>
        <w:tabs>
          <w:tab w:val="num" w:pos="1261"/>
        </w:tabs>
        <w:ind w:left="1261" w:hanging="420"/>
      </w:pPr>
    </w:lvl>
    <w:lvl w:ilvl="3" w:tplc="0409000F" w:tentative="1">
      <w:start w:val="1"/>
      <w:numFmt w:val="decimal"/>
      <w:lvlText w:val="%4."/>
      <w:lvlJc w:val="left"/>
      <w:pPr>
        <w:tabs>
          <w:tab w:val="num" w:pos="1681"/>
        </w:tabs>
        <w:ind w:left="1681" w:hanging="420"/>
      </w:pPr>
    </w:lvl>
    <w:lvl w:ilvl="4" w:tplc="04090019" w:tentative="1">
      <w:start w:val="1"/>
      <w:numFmt w:val="lowerLetter"/>
      <w:lvlText w:val="%5)"/>
      <w:lvlJc w:val="left"/>
      <w:pPr>
        <w:tabs>
          <w:tab w:val="num" w:pos="2101"/>
        </w:tabs>
        <w:ind w:left="2101" w:hanging="420"/>
      </w:pPr>
    </w:lvl>
    <w:lvl w:ilvl="5" w:tplc="0409001B" w:tentative="1">
      <w:start w:val="1"/>
      <w:numFmt w:val="lowerRoman"/>
      <w:lvlText w:val="%6."/>
      <w:lvlJc w:val="right"/>
      <w:pPr>
        <w:tabs>
          <w:tab w:val="num" w:pos="2521"/>
        </w:tabs>
        <w:ind w:left="2521" w:hanging="420"/>
      </w:pPr>
    </w:lvl>
    <w:lvl w:ilvl="6" w:tplc="0409000F" w:tentative="1">
      <w:start w:val="1"/>
      <w:numFmt w:val="decimal"/>
      <w:lvlText w:val="%7."/>
      <w:lvlJc w:val="left"/>
      <w:pPr>
        <w:tabs>
          <w:tab w:val="num" w:pos="2941"/>
        </w:tabs>
        <w:ind w:left="2941" w:hanging="420"/>
      </w:pPr>
    </w:lvl>
    <w:lvl w:ilvl="7" w:tplc="04090019" w:tentative="1">
      <w:start w:val="1"/>
      <w:numFmt w:val="lowerLetter"/>
      <w:lvlText w:val="%8)"/>
      <w:lvlJc w:val="left"/>
      <w:pPr>
        <w:tabs>
          <w:tab w:val="num" w:pos="3361"/>
        </w:tabs>
        <w:ind w:left="3361" w:hanging="420"/>
      </w:pPr>
    </w:lvl>
    <w:lvl w:ilvl="8" w:tplc="0409001B" w:tentative="1">
      <w:start w:val="1"/>
      <w:numFmt w:val="lowerRoman"/>
      <w:lvlText w:val="%9."/>
      <w:lvlJc w:val="right"/>
      <w:pPr>
        <w:tabs>
          <w:tab w:val="num" w:pos="3781"/>
        </w:tabs>
        <w:ind w:left="3781" w:hanging="420"/>
      </w:pPr>
    </w:lvl>
  </w:abstractNum>
  <w:abstractNum w:abstractNumId="43">
    <w:nsid w:val="018153D1"/>
    <w:multiLevelType w:val="hybridMultilevel"/>
    <w:tmpl w:val="75D29162"/>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01AC4611"/>
    <w:multiLevelType w:val="multilevel"/>
    <w:tmpl w:val="7CEA860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nsid w:val="01C05691"/>
    <w:multiLevelType w:val="singleLevel"/>
    <w:tmpl w:val="36084DBE"/>
    <w:lvl w:ilvl="0">
      <w:start w:val="1"/>
      <w:numFmt w:val="decimal"/>
      <w:lvlText w:val="%1."/>
      <w:lvlJc w:val="left"/>
      <w:pPr>
        <w:tabs>
          <w:tab w:val="num" w:pos="1440"/>
        </w:tabs>
        <w:ind w:left="1440" w:hanging="720"/>
      </w:pPr>
    </w:lvl>
  </w:abstractNum>
  <w:abstractNum w:abstractNumId="46">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8">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9">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0">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
    <w:nsid w:val="02053568"/>
    <w:multiLevelType w:val="hybridMultilevel"/>
    <w:tmpl w:val="00F031C6"/>
    <w:lvl w:ilvl="0" w:tplc="BD980318">
      <w:start w:val="26"/>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2">
    <w:nsid w:val="021218D4"/>
    <w:multiLevelType w:val="multilevel"/>
    <w:tmpl w:val="F8F20A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55">
    <w:nsid w:val="024658D0"/>
    <w:multiLevelType w:val="multilevel"/>
    <w:tmpl w:val="EF3EB06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57">
    <w:nsid w:val="024D769E"/>
    <w:multiLevelType w:val="multilevel"/>
    <w:tmpl w:val="48264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0261642C"/>
    <w:multiLevelType w:val="hybridMultilevel"/>
    <w:tmpl w:val="76BA2646"/>
    <w:lvl w:ilvl="0" w:tplc="04060001">
      <w:start w:val="1"/>
      <w:numFmt w:val="bullet"/>
      <w:lvlText w:val=""/>
      <w:lvlJc w:val="left"/>
      <w:pPr>
        <w:tabs>
          <w:tab w:val="num" w:pos="948"/>
        </w:tabs>
        <w:ind w:left="948" w:hanging="360"/>
      </w:pPr>
      <w:rPr>
        <w:rFonts w:ascii="Symbol" w:hAnsi="Symbol" w:hint="default"/>
      </w:rPr>
    </w:lvl>
    <w:lvl w:ilvl="1" w:tplc="04060003" w:tentative="1">
      <w:start w:val="1"/>
      <w:numFmt w:val="bullet"/>
      <w:lvlText w:val="o"/>
      <w:lvlJc w:val="left"/>
      <w:pPr>
        <w:tabs>
          <w:tab w:val="num" w:pos="1668"/>
        </w:tabs>
        <w:ind w:left="1668" w:hanging="360"/>
      </w:pPr>
      <w:rPr>
        <w:rFonts w:ascii="Courier New" w:hAnsi="Courier New" w:hint="default"/>
      </w:rPr>
    </w:lvl>
    <w:lvl w:ilvl="2" w:tplc="04060005" w:tentative="1">
      <w:start w:val="1"/>
      <w:numFmt w:val="bullet"/>
      <w:lvlText w:val=""/>
      <w:lvlJc w:val="left"/>
      <w:pPr>
        <w:tabs>
          <w:tab w:val="num" w:pos="2388"/>
        </w:tabs>
        <w:ind w:left="2388" w:hanging="360"/>
      </w:pPr>
      <w:rPr>
        <w:rFonts w:ascii="Wingdings" w:hAnsi="Wingdings" w:hint="default"/>
      </w:rPr>
    </w:lvl>
    <w:lvl w:ilvl="3" w:tplc="04060001" w:tentative="1">
      <w:start w:val="1"/>
      <w:numFmt w:val="bullet"/>
      <w:lvlText w:val=""/>
      <w:lvlJc w:val="left"/>
      <w:pPr>
        <w:tabs>
          <w:tab w:val="num" w:pos="3108"/>
        </w:tabs>
        <w:ind w:left="3108" w:hanging="360"/>
      </w:pPr>
      <w:rPr>
        <w:rFonts w:ascii="Symbol" w:hAnsi="Symbol" w:hint="default"/>
      </w:rPr>
    </w:lvl>
    <w:lvl w:ilvl="4" w:tplc="04060003" w:tentative="1">
      <w:start w:val="1"/>
      <w:numFmt w:val="bullet"/>
      <w:lvlText w:val="o"/>
      <w:lvlJc w:val="left"/>
      <w:pPr>
        <w:tabs>
          <w:tab w:val="num" w:pos="3828"/>
        </w:tabs>
        <w:ind w:left="3828" w:hanging="360"/>
      </w:pPr>
      <w:rPr>
        <w:rFonts w:ascii="Courier New" w:hAnsi="Courier New" w:hint="default"/>
      </w:rPr>
    </w:lvl>
    <w:lvl w:ilvl="5" w:tplc="04060005" w:tentative="1">
      <w:start w:val="1"/>
      <w:numFmt w:val="bullet"/>
      <w:lvlText w:val=""/>
      <w:lvlJc w:val="left"/>
      <w:pPr>
        <w:tabs>
          <w:tab w:val="num" w:pos="4548"/>
        </w:tabs>
        <w:ind w:left="4548" w:hanging="360"/>
      </w:pPr>
      <w:rPr>
        <w:rFonts w:ascii="Wingdings" w:hAnsi="Wingdings" w:hint="default"/>
      </w:rPr>
    </w:lvl>
    <w:lvl w:ilvl="6" w:tplc="04060001" w:tentative="1">
      <w:start w:val="1"/>
      <w:numFmt w:val="bullet"/>
      <w:lvlText w:val=""/>
      <w:lvlJc w:val="left"/>
      <w:pPr>
        <w:tabs>
          <w:tab w:val="num" w:pos="5268"/>
        </w:tabs>
        <w:ind w:left="5268" w:hanging="360"/>
      </w:pPr>
      <w:rPr>
        <w:rFonts w:ascii="Symbol" w:hAnsi="Symbol" w:hint="default"/>
      </w:rPr>
    </w:lvl>
    <w:lvl w:ilvl="7" w:tplc="04060003" w:tentative="1">
      <w:start w:val="1"/>
      <w:numFmt w:val="bullet"/>
      <w:lvlText w:val="o"/>
      <w:lvlJc w:val="left"/>
      <w:pPr>
        <w:tabs>
          <w:tab w:val="num" w:pos="5988"/>
        </w:tabs>
        <w:ind w:left="5988" w:hanging="360"/>
      </w:pPr>
      <w:rPr>
        <w:rFonts w:ascii="Courier New" w:hAnsi="Courier New" w:hint="default"/>
      </w:rPr>
    </w:lvl>
    <w:lvl w:ilvl="8" w:tplc="04060005" w:tentative="1">
      <w:start w:val="1"/>
      <w:numFmt w:val="bullet"/>
      <w:lvlText w:val=""/>
      <w:lvlJc w:val="left"/>
      <w:pPr>
        <w:tabs>
          <w:tab w:val="num" w:pos="6708"/>
        </w:tabs>
        <w:ind w:left="6708" w:hanging="360"/>
      </w:pPr>
      <w:rPr>
        <w:rFonts w:ascii="Wingdings" w:hAnsi="Wingdings" w:hint="default"/>
      </w:rPr>
    </w:lvl>
  </w:abstractNum>
  <w:abstractNum w:abstractNumId="59">
    <w:nsid w:val="02662446"/>
    <w:multiLevelType w:val="hybridMultilevel"/>
    <w:tmpl w:val="6FEC205A"/>
    <w:lvl w:ilvl="0" w:tplc="20082A7A">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0">
    <w:nsid w:val="027A2926"/>
    <w:multiLevelType w:val="hybridMultilevel"/>
    <w:tmpl w:val="3FB090E0"/>
    <w:lvl w:ilvl="0" w:tplc="BE66C154">
      <w:start w:val="1994"/>
      <w:numFmt w:val="decimal"/>
      <w:lvlText w:val="%1年"/>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
    <w:nsid w:val="02871C10"/>
    <w:multiLevelType w:val="hybridMultilevel"/>
    <w:tmpl w:val="7A2C81C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254"/>
        </w:tabs>
        <w:ind w:left="1254" w:hanging="420"/>
      </w:pPr>
    </w:lvl>
    <w:lvl w:ilvl="2" w:tplc="0409001B" w:tentative="1">
      <w:start w:val="1"/>
      <w:numFmt w:val="lowerRoman"/>
      <w:lvlText w:val="%3."/>
      <w:lvlJc w:val="right"/>
      <w:pPr>
        <w:tabs>
          <w:tab w:val="num" w:pos="1674"/>
        </w:tabs>
        <w:ind w:left="1674" w:hanging="420"/>
      </w:pPr>
    </w:lvl>
    <w:lvl w:ilvl="3" w:tplc="0409000F" w:tentative="1">
      <w:start w:val="1"/>
      <w:numFmt w:val="decimal"/>
      <w:lvlText w:val="%4."/>
      <w:lvlJc w:val="left"/>
      <w:pPr>
        <w:tabs>
          <w:tab w:val="num" w:pos="2094"/>
        </w:tabs>
        <w:ind w:left="2094" w:hanging="420"/>
      </w:pPr>
    </w:lvl>
    <w:lvl w:ilvl="4" w:tplc="04090019" w:tentative="1">
      <w:start w:val="1"/>
      <w:numFmt w:val="lowerLetter"/>
      <w:lvlText w:val="%5)"/>
      <w:lvlJc w:val="left"/>
      <w:pPr>
        <w:tabs>
          <w:tab w:val="num" w:pos="2514"/>
        </w:tabs>
        <w:ind w:left="2514" w:hanging="420"/>
      </w:pPr>
    </w:lvl>
    <w:lvl w:ilvl="5" w:tplc="0409001B" w:tentative="1">
      <w:start w:val="1"/>
      <w:numFmt w:val="lowerRoman"/>
      <w:lvlText w:val="%6."/>
      <w:lvlJc w:val="right"/>
      <w:pPr>
        <w:tabs>
          <w:tab w:val="num" w:pos="2934"/>
        </w:tabs>
        <w:ind w:left="2934" w:hanging="420"/>
      </w:pPr>
    </w:lvl>
    <w:lvl w:ilvl="6" w:tplc="0409000F" w:tentative="1">
      <w:start w:val="1"/>
      <w:numFmt w:val="decimal"/>
      <w:lvlText w:val="%7."/>
      <w:lvlJc w:val="left"/>
      <w:pPr>
        <w:tabs>
          <w:tab w:val="num" w:pos="3354"/>
        </w:tabs>
        <w:ind w:left="3354" w:hanging="420"/>
      </w:pPr>
    </w:lvl>
    <w:lvl w:ilvl="7" w:tplc="04090019" w:tentative="1">
      <w:start w:val="1"/>
      <w:numFmt w:val="lowerLetter"/>
      <w:lvlText w:val="%8)"/>
      <w:lvlJc w:val="left"/>
      <w:pPr>
        <w:tabs>
          <w:tab w:val="num" w:pos="3774"/>
        </w:tabs>
        <w:ind w:left="3774" w:hanging="420"/>
      </w:pPr>
    </w:lvl>
    <w:lvl w:ilvl="8" w:tplc="0409001B" w:tentative="1">
      <w:start w:val="1"/>
      <w:numFmt w:val="lowerRoman"/>
      <w:lvlText w:val="%9."/>
      <w:lvlJc w:val="right"/>
      <w:pPr>
        <w:tabs>
          <w:tab w:val="num" w:pos="4194"/>
        </w:tabs>
        <w:ind w:left="4194" w:hanging="420"/>
      </w:pPr>
    </w:lvl>
  </w:abstractNum>
  <w:abstractNum w:abstractNumId="62">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3">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64">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66">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
    <w:nsid w:val="02EF4943"/>
    <w:multiLevelType w:val="multilevel"/>
    <w:tmpl w:val="CBEE0838"/>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02FF2DD7"/>
    <w:multiLevelType w:val="multilevel"/>
    <w:tmpl w:val="DC684600"/>
    <w:lvl w:ilvl="0">
      <w:start w:val="1"/>
      <w:numFmt w:val="bullet"/>
      <w:lvlText w:val=""/>
      <w:lvlJc w:val="left"/>
      <w:pPr>
        <w:tabs>
          <w:tab w:val="num" w:pos="814"/>
        </w:tabs>
        <w:ind w:left="814" w:hanging="454"/>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0">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
    <w:nsid w:val="0329689A"/>
    <w:multiLevelType w:val="hybridMultilevel"/>
    <w:tmpl w:val="1382CC6E"/>
    <w:lvl w:ilvl="0" w:tplc="2CA870B4">
      <w:start w:val="1120"/>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
    <w:nsid w:val="036572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4">
    <w:nsid w:val="03684B04"/>
    <w:multiLevelType w:val="hybridMultilevel"/>
    <w:tmpl w:val="47B6896E"/>
    <w:lvl w:ilvl="0" w:tplc="00204200">
      <w:start w:val="10"/>
      <w:numFmt w:val="bullet"/>
      <w:lvlText w:val="-"/>
      <w:lvlJc w:val="left"/>
      <w:pPr>
        <w:tabs>
          <w:tab w:val="num" w:pos="1665"/>
        </w:tabs>
        <w:ind w:left="1665" w:hanging="360"/>
      </w:pPr>
      <w:rPr>
        <w:rFonts w:ascii="Times New Roman" w:eastAsia="Times New Roman" w:hAnsi="Times New Roman" w:cs="Times New Roman" w:hint="default"/>
      </w:rPr>
    </w:lvl>
    <w:lvl w:ilvl="1" w:tplc="04060003" w:tentative="1">
      <w:start w:val="1"/>
      <w:numFmt w:val="bullet"/>
      <w:lvlText w:val="o"/>
      <w:lvlJc w:val="left"/>
      <w:pPr>
        <w:tabs>
          <w:tab w:val="num" w:pos="2385"/>
        </w:tabs>
        <w:ind w:left="2385" w:hanging="360"/>
      </w:pPr>
      <w:rPr>
        <w:rFonts w:ascii="Courier New" w:hAnsi="Courier New" w:cs="Courier New" w:hint="default"/>
      </w:rPr>
    </w:lvl>
    <w:lvl w:ilvl="2" w:tplc="04060005" w:tentative="1">
      <w:start w:val="1"/>
      <w:numFmt w:val="bullet"/>
      <w:lvlText w:val=""/>
      <w:lvlJc w:val="left"/>
      <w:pPr>
        <w:tabs>
          <w:tab w:val="num" w:pos="3105"/>
        </w:tabs>
        <w:ind w:left="3105" w:hanging="360"/>
      </w:pPr>
      <w:rPr>
        <w:rFonts w:ascii="Wingdings" w:hAnsi="Wingdings" w:hint="default"/>
      </w:rPr>
    </w:lvl>
    <w:lvl w:ilvl="3" w:tplc="04060001" w:tentative="1">
      <w:start w:val="1"/>
      <w:numFmt w:val="bullet"/>
      <w:lvlText w:val=""/>
      <w:lvlJc w:val="left"/>
      <w:pPr>
        <w:tabs>
          <w:tab w:val="num" w:pos="3825"/>
        </w:tabs>
        <w:ind w:left="3825" w:hanging="360"/>
      </w:pPr>
      <w:rPr>
        <w:rFonts w:ascii="Symbol" w:hAnsi="Symbol" w:hint="default"/>
      </w:rPr>
    </w:lvl>
    <w:lvl w:ilvl="4" w:tplc="04060003" w:tentative="1">
      <w:start w:val="1"/>
      <w:numFmt w:val="bullet"/>
      <w:lvlText w:val="o"/>
      <w:lvlJc w:val="left"/>
      <w:pPr>
        <w:tabs>
          <w:tab w:val="num" w:pos="4545"/>
        </w:tabs>
        <w:ind w:left="4545" w:hanging="360"/>
      </w:pPr>
      <w:rPr>
        <w:rFonts w:ascii="Courier New" w:hAnsi="Courier New" w:cs="Courier New" w:hint="default"/>
      </w:rPr>
    </w:lvl>
    <w:lvl w:ilvl="5" w:tplc="04060005" w:tentative="1">
      <w:start w:val="1"/>
      <w:numFmt w:val="bullet"/>
      <w:lvlText w:val=""/>
      <w:lvlJc w:val="left"/>
      <w:pPr>
        <w:tabs>
          <w:tab w:val="num" w:pos="5265"/>
        </w:tabs>
        <w:ind w:left="5265" w:hanging="360"/>
      </w:pPr>
      <w:rPr>
        <w:rFonts w:ascii="Wingdings" w:hAnsi="Wingdings" w:hint="default"/>
      </w:rPr>
    </w:lvl>
    <w:lvl w:ilvl="6" w:tplc="04060001" w:tentative="1">
      <w:start w:val="1"/>
      <w:numFmt w:val="bullet"/>
      <w:lvlText w:val=""/>
      <w:lvlJc w:val="left"/>
      <w:pPr>
        <w:tabs>
          <w:tab w:val="num" w:pos="5985"/>
        </w:tabs>
        <w:ind w:left="5985" w:hanging="360"/>
      </w:pPr>
      <w:rPr>
        <w:rFonts w:ascii="Symbol" w:hAnsi="Symbol" w:hint="default"/>
      </w:rPr>
    </w:lvl>
    <w:lvl w:ilvl="7" w:tplc="04060003" w:tentative="1">
      <w:start w:val="1"/>
      <w:numFmt w:val="bullet"/>
      <w:lvlText w:val="o"/>
      <w:lvlJc w:val="left"/>
      <w:pPr>
        <w:tabs>
          <w:tab w:val="num" w:pos="6705"/>
        </w:tabs>
        <w:ind w:left="6705" w:hanging="360"/>
      </w:pPr>
      <w:rPr>
        <w:rFonts w:ascii="Courier New" w:hAnsi="Courier New" w:cs="Courier New" w:hint="default"/>
      </w:rPr>
    </w:lvl>
    <w:lvl w:ilvl="8" w:tplc="04060005" w:tentative="1">
      <w:start w:val="1"/>
      <w:numFmt w:val="bullet"/>
      <w:lvlText w:val=""/>
      <w:lvlJc w:val="left"/>
      <w:pPr>
        <w:tabs>
          <w:tab w:val="num" w:pos="7425"/>
        </w:tabs>
        <w:ind w:left="7425" w:hanging="360"/>
      </w:pPr>
      <w:rPr>
        <w:rFonts w:ascii="Wingdings" w:hAnsi="Wingdings" w:hint="default"/>
      </w:rPr>
    </w:lvl>
  </w:abstractNum>
  <w:abstractNum w:abstractNumId="75">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6">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7">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78">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0">
    <w:nsid w:val="03D35460"/>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1">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82">
    <w:nsid w:val="03EC2729"/>
    <w:multiLevelType w:val="multilevel"/>
    <w:tmpl w:val="1CC4E0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0407396E"/>
    <w:multiLevelType w:val="hybridMultilevel"/>
    <w:tmpl w:val="D1E8466A"/>
    <w:lvl w:ilvl="0" w:tplc="5B1E01C8">
      <w:start w:val="8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
    <w:nsid w:val="0408460A"/>
    <w:multiLevelType w:val="multilevel"/>
    <w:tmpl w:val="6CF203B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6">
    <w:nsid w:val="041F5511"/>
    <w:multiLevelType w:val="hybridMultilevel"/>
    <w:tmpl w:val="855A47E0"/>
    <w:lvl w:ilvl="0" w:tplc="04060001">
      <w:start w:val="1"/>
      <w:numFmt w:val="bullet"/>
      <w:lvlText w:val=""/>
      <w:lvlJc w:val="left"/>
      <w:pPr>
        <w:tabs>
          <w:tab w:val="num" w:pos="360"/>
        </w:tabs>
        <w:ind w:left="36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7">
    <w:nsid w:val="042958C3"/>
    <w:multiLevelType w:val="hybridMultilevel"/>
    <w:tmpl w:val="91144590"/>
    <w:lvl w:ilvl="0" w:tplc="5B28818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8">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89">
    <w:nsid w:val="047A5BD0"/>
    <w:multiLevelType w:val="hybridMultilevel"/>
    <w:tmpl w:val="2854A9B2"/>
    <w:lvl w:ilvl="0" w:tplc="D7321B40">
      <w:start w:val="313"/>
      <w:numFmt w:val="decimal"/>
      <w:lvlText w:val="%1．"/>
      <w:lvlJc w:val="left"/>
      <w:pPr>
        <w:tabs>
          <w:tab w:val="num" w:pos="840"/>
        </w:tabs>
        <w:ind w:left="840" w:hanging="840"/>
      </w:pPr>
      <w:rPr>
        <w:rFonts w:hint="default"/>
      </w:rPr>
    </w:lvl>
    <w:lvl w:ilvl="1" w:tplc="1D2CA090">
      <w:start w:val="10"/>
      <w:numFmt w:val="upperRoman"/>
      <w:lvlText w:val="%2．"/>
      <w:lvlJc w:val="left"/>
      <w:pPr>
        <w:tabs>
          <w:tab w:val="num" w:pos="1140"/>
        </w:tabs>
        <w:ind w:left="1140" w:hanging="720"/>
      </w:pPr>
      <w:rPr>
        <w:rFonts w:hint="default"/>
      </w:r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A2C02A66">
      <w:start w:val="10"/>
      <w:numFmt w:val="upperRoman"/>
      <w:lvlText w:val="%5."/>
      <w:lvlJc w:val="left"/>
      <w:pPr>
        <w:tabs>
          <w:tab w:val="num" w:pos="2400"/>
        </w:tabs>
        <w:ind w:left="2400" w:hanging="720"/>
      </w:pPr>
      <w:rPr>
        <w:rFonts w:hint="default"/>
      </w:r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
    <w:nsid w:val="04A01209"/>
    <w:multiLevelType w:val="hybridMultilevel"/>
    <w:tmpl w:val="22EE497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3">
    <w:nsid w:val="04A7295C"/>
    <w:multiLevelType w:val="multilevel"/>
    <w:tmpl w:val="F3F0E090"/>
    <w:lvl w:ilvl="0">
      <w:start w:val="1"/>
      <w:numFmt w:val="bullet"/>
      <w:lvlText w:val=""/>
      <w:lvlJc w:val="left"/>
      <w:pPr>
        <w:tabs>
          <w:tab w:val="num" w:pos="0"/>
        </w:tabs>
        <w:ind w:left="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4">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5">
    <w:nsid w:val="04BF4320"/>
    <w:multiLevelType w:val="singleLevel"/>
    <w:tmpl w:val="04070017"/>
    <w:lvl w:ilvl="0">
      <w:start w:val="1"/>
      <w:numFmt w:val="lowerLetter"/>
      <w:lvlText w:val="%1)"/>
      <w:lvlJc w:val="left"/>
      <w:pPr>
        <w:tabs>
          <w:tab w:val="num" w:pos="360"/>
        </w:tabs>
        <w:ind w:left="360" w:hanging="360"/>
      </w:pPr>
    </w:lvl>
  </w:abstractNum>
  <w:abstractNum w:abstractNumId="96">
    <w:nsid w:val="04D57EA4"/>
    <w:multiLevelType w:val="multilevel"/>
    <w:tmpl w:val="5C440BC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7">
    <w:nsid w:val="04E919F3"/>
    <w:multiLevelType w:val="hybridMultilevel"/>
    <w:tmpl w:val="35683D3E"/>
    <w:lvl w:ilvl="0" w:tplc="9732E04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
    <w:nsid w:val="04F71CB5"/>
    <w:multiLevelType w:val="hybridMultilevel"/>
    <w:tmpl w:val="18026F62"/>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0">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01">
    <w:nsid w:val="053C0D46"/>
    <w:multiLevelType w:val="multilevel"/>
    <w:tmpl w:val="E65874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2">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3">
    <w:nsid w:val="055B1334"/>
    <w:multiLevelType w:val="hybridMultilevel"/>
    <w:tmpl w:val="C6FE8C76"/>
    <w:lvl w:ilvl="0" w:tplc="6FC8BBF2">
      <w:numFmt w:val="bullet"/>
      <w:lvlText w:val=""/>
      <w:lvlJc w:val="left"/>
      <w:pPr>
        <w:tabs>
          <w:tab w:val="num" w:pos="480"/>
        </w:tabs>
        <w:ind w:left="480" w:hanging="36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04">
    <w:nsid w:val="056947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5">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6">
    <w:nsid w:val="0577493D"/>
    <w:multiLevelType w:val="multilevel"/>
    <w:tmpl w:val="CBEA5238"/>
    <w:lvl w:ilvl="0">
      <w:start w:val="1"/>
      <w:numFmt w:val="bullet"/>
      <w:lvlText w:val=""/>
      <w:lvlJc w:val="left"/>
      <w:pPr>
        <w:tabs>
          <w:tab w:val="num" w:pos="786"/>
        </w:tabs>
        <w:ind w:left="786"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07">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108">
    <w:nsid w:val="057D4E9C"/>
    <w:multiLevelType w:val="multilevel"/>
    <w:tmpl w:val="07548C9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9">
    <w:nsid w:val="05815563"/>
    <w:multiLevelType w:val="hybridMultilevel"/>
    <w:tmpl w:val="16ECBEDA"/>
    <w:lvl w:ilvl="0" w:tplc="333004A6">
      <w:start w:val="1"/>
      <w:numFmt w:val="bullet"/>
      <w:lvlText w:val="-"/>
      <w:lvlJc w:val="left"/>
      <w:pPr>
        <w:tabs>
          <w:tab w:val="num" w:pos="2325"/>
        </w:tabs>
        <w:ind w:left="232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0">
    <w:nsid w:val="058C7B0A"/>
    <w:multiLevelType w:val="hybridMultilevel"/>
    <w:tmpl w:val="29AE3D22"/>
    <w:lvl w:ilvl="0" w:tplc="A4CEEC66">
      <w:start w:val="250"/>
      <w:numFmt w:val="decimal"/>
      <w:lvlText w:val="%1."/>
      <w:lvlJc w:val="left"/>
      <w:pPr>
        <w:tabs>
          <w:tab w:val="num" w:pos="420"/>
        </w:tabs>
        <w:ind w:left="420" w:hanging="420"/>
      </w:pPr>
      <w:rPr>
        <w:rFonts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
    <w:nsid w:val="05A83E89"/>
    <w:multiLevelType w:val="hybridMultilevel"/>
    <w:tmpl w:val="2138C62A"/>
    <w:lvl w:ilvl="0" w:tplc="0BBCA720">
      <w:start w:val="17"/>
      <w:numFmt w:val="bullet"/>
      <w:lvlText w:val="●"/>
      <w:lvlJc w:val="left"/>
      <w:pPr>
        <w:tabs>
          <w:tab w:val="num" w:pos="1197"/>
        </w:tabs>
        <w:ind w:left="1197" w:hanging="720"/>
      </w:pPr>
      <w:rPr>
        <w:rFonts w:ascii="SimSun" w:eastAsia="SimSun" w:hAnsi="SimSun" w:cs="Times New Roman" w:hint="eastAsia"/>
      </w:rPr>
    </w:lvl>
    <w:lvl w:ilvl="1" w:tplc="04090003" w:tentative="1">
      <w:start w:val="1"/>
      <w:numFmt w:val="bullet"/>
      <w:lvlText w:val=""/>
      <w:lvlJc w:val="left"/>
      <w:pPr>
        <w:tabs>
          <w:tab w:val="num" w:pos="1317"/>
        </w:tabs>
        <w:ind w:left="1317" w:hanging="420"/>
      </w:pPr>
      <w:rPr>
        <w:rFonts w:ascii="Wingdings" w:hAnsi="Wingdings" w:hint="default"/>
      </w:rPr>
    </w:lvl>
    <w:lvl w:ilvl="2" w:tplc="04090005" w:tentative="1">
      <w:start w:val="1"/>
      <w:numFmt w:val="bullet"/>
      <w:lvlText w:val=""/>
      <w:lvlJc w:val="left"/>
      <w:pPr>
        <w:tabs>
          <w:tab w:val="num" w:pos="1737"/>
        </w:tabs>
        <w:ind w:left="1737" w:hanging="420"/>
      </w:pPr>
      <w:rPr>
        <w:rFonts w:ascii="Wingdings" w:hAnsi="Wingdings" w:hint="default"/>
      </w:rPr>
    </w:lvl>
    <w:lvl w:ilvl="3" w:tplc="04090001" w:tentative="1">
      <w:start w:val="1"/>
      <w:numFmt w:val="bullet"/>
      <w:lvlText w:val=""/>
      <w:lvlJc w:val="left"/>
      <w:pPr>
        <w:tabs>
          <w:tab w:val="num" w:pos="2157"/>
        </w:tabs>
        <w:ind w:left="2157" w:hanging="420"/>
      </w:pPr>
      <w:rPr>
        <w:rFonts w:ascii="Wingdings" w:hAnsi="Wingdings" w:hint="default"/>
      </w:rPr>
    </w:lvl>
    <w:lvl w:ilvl="4" w:tplc="04090003" w:tentative="1">
      <w:start w:val="1"/>
      <w:numFmt w:val="bullet"/>
      <w:lvlText w:val=""/>
      <w:lvlJc w:val="left"/>
      <w:pPr>
        <w:tabs>
          <w:tab w:val="num" w:pos="2577"/>
        </w:tabs>
        <w:ind w:left="2577" w:hanging="420"/>
      </w:pPr>
      <w:rPr>
        <w:rFonts w:ascii="Wingdings" w:hAnsi="Wingdings" w:hint="default"/>
      </w:rPr>
    </w:lvl>
    <w:lvl w:ilvl="5" w:tplc="04090005" w:tentative="1">
      <w:start w:val="1"/>
      <w:numFmt w:val="bullet"/>
      <w:lvlText w:val=""/>
      <w:lvlJc w:val="left"/>
      <w:pPr>
        <w:tabs>
          <w:tab w:val="num" w:pos="2997"/>
        </w:tabs>
        <w:ind w:left="2997" w:hanging="420"/>
      </w:pPr>
      <w:rPr>
        <w:rFonts w:ascii="Wingdings" w:hAnsi="Wingdings" w:hint="default"/>
      </w:rPr>
    </w:lvl>
    <w:lvl w:ilvl="6" w:tplc="04090001" w:tentative="1">
      <w:start w:val="1"/>
      <w:numFmt w:val="bullet"/>
      <w:lvlText w:val=""/>
      <w:lvlJc w:val="left"/>
      <w:pPr>
        <w:tabs>
          <w:tab w:val="num" w:pos="3417"/>
        </w:tabs>
        <w:ind w:left="3417" w:hanging="420"/>
      </w:pPr>
      <w:rPr>
        <w:rFonts w:ascii="Wingdings" w:hAnsi="Wingdings" w:hint="default"/>
      </w:rPr>
    </w:lvl>
    <w:lvl w:ilvl="7" w:tplc="04090003" w:tentative="1">
      <w:start w:val="1"/>
      <w:numFmt w:val="bullet"/>
      <w:lvlText w:val=""/>
      <w:lvlJc w:val="left"/>
      <w:pPr>
        <w:tabs>
          <w:tab w:val="num" w:pos="3837"/>
        </w:tabs>
        <w:ind w:left="3837" w:hanging="420"/>
      </w:pPr>
      <w:rPr>
        <w:rFonts w:ascii="Wingdings" w:hAnsi="Wingdings" w:hint="default"/>
      </w:rPr>
    </w:lvl>
    <w:lvl w:ilvl="8" w:tplc="04090005" w:tentative="1">
      <w:start w:val="1"/>
      <w:numFmt w:val="bullet"/>
      <w:lvlText w:val=""/>
      <w:lvlJc w:val="left"/>
      <w:pPr>
        <w:tabs>
          <w:tab w:val="num" w:pos="4257"/>
        </w:tabs>
        <w:ind w:left="4257" w:hanging="420"/>
      </w:pPr>
      <w:rPr>
        <w:rFonts w:ascii="Wingdings" w:hAnsi="Wingdings" w:hint="default"/>
      </w:rPr>
    </w:lvl>
  </w:abstractNum>
  <w:abstractNum w:abstractNumId="112">
    <w:nsid w:val="05C45A52"/>
    <w:multiLevelType w:val="hybridMultilevel"/>
    <w:tmpl w:val="B03CA17A"/>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
    <w:nsid w:val="05F129C6"/>
    <w:multiLevelType w:val="multilevel"/>
    <w:tmpl w:val="7CD4791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4">
    <w:nsid w:val="060E065C"/>
    <w:multiLevelType w:val="multilevel"/>
    <w:tmpl w:val="3A2E3E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
    <w:nsid w:val="06163130"/>
    <w:multiLevelType w:val="multilevel"/>
    <w:tmpl w:val="66A07FD4"/>
    <w:lvl w:ilvl="0">
      <w:start w:val="1"/>
      <w:numFmt w:val="bullet"/>
      <w:lvlText w:val="o"/>
      <w:lvlJc w:val="left"/>
      <w:pPr>
        <w:tabs>
          <w:tab w:val="num" w:pos="927"/>
        </w:tabs>
        <w:ind w:left="927"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16">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117">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8">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119">
    <w:nsid w:val="06436C7C"/>
    <w:multiLevelType w:val="hybridMultilevel"/>
    <w:tmpl w:val="3CEEFD52"/>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0">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1">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122">
    <w:nsid w:val="0686793F"/>
    <w:multiLevelType w:val="hybridMultilevel"/>
    <w:tmpl w:val="8F4021E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3">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
    <w:nsid w:val="069B299A"/>
    <w:multiLevelType w:val="hybridMultilevel"/>
    <w:tmpl w:val="512C5F38"/>
    <w:lvl w:ilvl="0" w:tplc="03D6A630">
      <w:start w:val="303"/>
      <w:numFmt w:val="decimal"/>
      <w:lvlText w:val="%1．"/>
      <w:lvlJc w:val="left"/>
      <w:pPr>
        <w:tabs>
          <w:tab w:val="num" w:pos="840"/>
        </w:tabs>
        <w:ind w:left="840" w:hanging="840"/>
      </w:pPr>
      <w:rPr>
        <w:rFonts w:hint="default"/>
      </w:rPr>
    </w:lvl>
    <w:lvl w:ilvl="1" w:tplc="7784714E">
      <w:start w:val="18"/>
      <w:numFmt w:val="upperRoman"/>
      <w:lvlText w:val="%2．"/>
      <w:lvlJc w:val="left"/>
      <w:pPr>
        <w:tabs>
          <w:tab w:val="num" w:pos="1140"/>
        </w:tabs>
        <w:ind w:left="1140" w:hanging="720"/>
      </w:pPr>
      <w:rPr>
        <w:rFonts w:ascii="SimSun" w:hAnsi="Arial" w:cs="SimSu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6">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27">
    <w:nsid w:val="06F80EF0"/>
    <w:multiLevelType w:val="singleLevel"/>
    <w:tmpl w:val="9DCE7590"/>
    <w:lvl w:ilvl="0">
      <w:start w:val="4"/>
      <w:numFmt w:val="upperRoman"/>
      <w:lvlText w:val="%1."/>
      <w:lvlJc w:val="left"/>
      <w:pPr>
        <w:tabs>
          <w:tab w:val="num" w:pos="720"/>
        </w:tabs>
        <w:ind w:left="720" w:hanging="720"/>
      </w:pPr>
      <w:rPr>
        <w:rFonts w:hint="default"/>
      </w:rPr>
    </w:lvl>
  </w:abstractNum>
  <w:abstractNum w:abstractNumId="128">
    <w:nsid w:val="071971D3"/>
    <w:multiLevelType w:val="multilevel"/>
    <w:tmpl w:val="CF267DB4"/>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9">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0">
    <w:nsid w:val="077C47EA"/>
    <w:multiLevelType w:val="multilevel"/>
    <w:tmpl w:val="2ECA47EA"/>
    <w:lvl w:ilvl="0">
      <w:start w:val="1"/>
      <w:numFmt w:val="decimal"/>
      <w:lvlText w:val="%1．"/>
      <w:lvlJc w:val="left"/>
      <w:pPr>
        <w:tabs>
          <w:tab w:val="num" w:pos="720"/>
        </w:tabs>
        <w:ind w:left="720" w:hanging="720"/>
      </w:pPr>
      <w:rPr>
        <w:rFonts w:hint="eastAsia"/>
      </w:rPr>
    </w:lvl>
    <w:lvl w:ilvl="1">
      <w:start w:val="1"/>
      <w:numFmt w:val="decimal"/>
      <w:lvlText w:val="%1．%2．"/>
      <w:lvlJc w:val="left"/>
      <w:pPr>
        <w:tabs>
          <w:tab w:val="num" w:pos="1125"/>
        </w:tabs>
        <w:ind w:left="1125" w:hanging="720"/>
      </w:pPr>
      <w:rPr>
        <w:rFonts w:hint="eastAsia"/>
      </w:rPr>
    </w:lvl>
    <w:lvl w:ilvl="2">
      <w:start w:val="1"/>
      <w:numFmt w:val="decimal"/>
      <w:lvlText w:val="%1．%2．%3."/>
      <w:lvlJc w:val="left"/>
      <w:pPr>
        <w:tabs>
          <w:tab w:val="num" w:pos="1890"/>
        </w:tabs>
        <w:ind w:left="1890" w:hanging="1080"/>
      </w:pPr>
      <w:rPr>
        <w:rFonts w:hint="eastAsia"/>
      </w:rPr>
    </w:lvl>
    <w:lvl w:ilvl="3">
      <w:start w:val="1"/>
      <w:numFmt w:val="decimal"/>
      <w:lvlText w:val="%1．%2．%3.%4."/>
      <w:lvlJc w:val="left"/>
      <w:pPr>
        <w:tabs>
          <w:tab w:val="num" w:pos="2295"/>
        </w:tabs>
        <w:ind w:left="2295" w:hanging="1080"/>
      </w:pPr>
      <w:rPr>
        <w:rFonts w:hint="eastAsia"/>
      </w:rPr>
    </w:lvl>
    <w:lvl w:ilvl="4">
      <w:start w:val="1"/>
      <w:numFmt w:val="decimal"/>
      <w:lvlText w:val="%1．%2．%3.%4.%5."/>
      <w:lvlJc w:val="left"/>
      <w:pPr>
        <w:tabs>
          <w:tab w:val="num" w:pos="2700"/>
        </w:tabs>
        <w:ind w:left="2700" w:hanging="1080"/>
      </w:pPr>
      <w:rPr>
        <w:rFonts w:hint="eastAsia"/>
      </w:rPr>
    </w:lvl>
    <w:lvl w:ilvl="5">
      <w:start w:val="1"/>
      <w:numFmt w:val="decimal"/>
      <w:lvlText w:val="%1．%2．%3.%4.%5.%6."/>
      <w:lvlJc w:val="left"/>
      <w:pPr>
        <w:tabs>
          <w:tab w:val="num" w:pos="3465"/>
        </w:tabs>
        <w:ind w:left="3465" w:hanging="1440"/>
      </w:pPr>
      <w:rPr>
        <w:rFonts w:hint="eastAsia"/>
      </w:rPr>
    </w:lvl>
    <w:lvl w:ilvl="6">
      <w:start w:val="1"/>
      <w:numFmt w:val="decimal"/>
      <w:lvlText w:val="%1．%2．%3.%4.%5.%6.%7."/>
      <w:lvlJc w:val="left"/>
      <w:pPr>
        <w:tabs>
          <w:tab w:val="num" w:pos="3870"/>
        </w:tabs>
        <w:ind w:left="3870" w:hanging="1440"/>
      </w:pPr>
      <w:rPr>
        <w:rFonts w:hint="eastAsia"/>
      </w:rPr>
    </w:lvl>
    <w:lvl w:ilvl="7">
      <w:start w:val="1"/>
      <w:numFmt w:val="decimal"/>
      <w:lvlText w:val="%1．%2．%3.%4.%5.%6.%7.%8."/>
      <w:lvlJc w:val="left"/>
      <w:pPr>
        <w:tabs>
          <w:tab w:val="num" w:pos="4635"/>
        </w:tabs>
        <w:ind w:left="4635" w:hanging="1800"/>
      </w:pPr>
      <w:rPr>
        <w:rFonts w:hint="eastAsia"/>
      </w:rPr>
    </w:lvl>
    <w:lvl w:ilvl="8">
      <w:start w:val="1"/>
      <w:numFmt w:val="decimal"/>
      <w:lvlText w:val="%1．%2．%3.%4.%5.%6.%7.%8.%9."/>
      <w:lvlJc w:val="left"/>
      <w:pPr>
        <w:tabs>
          <w:tab w:val="num" w:pos="5040"/>
        </w:tabs>
        <w:ind w:left="5040" w:hanging="1800"/>
      </w:pPr>
      <w:rPr>
        <w:rFonts w:hint="eastAsia"/>
      </w:rPr>
    </w:lvl>
  </w:abstractNum>
  <w:abstractNum w:abstractNumId="131">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132">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133">
    <w:nsid w:val="07D6463F"/>
    <w:multiLevelType w:val="multilevel"/>
    <w:tmpl w:val="84923C90"/>
    <w:lvl w:ilvl="0">
      <w:start w:val="1"/>
      <w:numFmt w:val="decimal"/>
      <w:lvlText w:val="%1."/>
      <w:lvlJc w:val="left"/>
      <w:pPr>
        <w:tabs>
          <w:tab w:val="num" w:pos="360"/>
        </w:tabs>
        <w:ind w:left="360" w:hanging="360"/>
      </w:pPr>
    </w:lvl>
    <w:lvl w:ilvl="1">
      <w:start w:val="4"/>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108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520"/>
        </w:tabs>
        <w:ind w:left="2520" w:hanging="2520"/>
      </w:pPr>
      <w:rPr>
        <w:rFonts w:hint="default"/>
        <w:b/>
      </w:rPr>
    </w:lvl>
    <w:lvl w:ilvl="8">
      <w:start w:val="1"/>
      <w:numFmt w:val="decimal"/>
      <w:isLgl/>
      <w:lvlText w:val="%1.%2.%3.%4.%5.%6.%7.%8.%9."/>
      <w:lvlJc w:val="left"/>
      <w:pPr>
        <w:tabs>
          <w:tab w:val="num" w:pos="2520"/>
        </w:tabs>
        <w:ind w:left="2520" w:hanging="2520"/>
      </w:pPr>
      <w:rPr>
        <w:rFonts w:hint="default"/>
        <w:b/>
      </w:rPr>
    </w:lvl>
  </w:abstractNum>
  <w:abstractNum w:abstractNumId="134">
    <w:nsid w:val="07D7732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35">
    <w:nsid w:val="07EF129B"/>
    <w:multiLevelType w:val="multilevel"/>
    <w:tmpl w:val="F912BA6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6">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7">
    <w:nsid w:val="080E3651"/>
    <w:multiLevelType w:val="hybridMultilevel"/>
    <w:tmpl w:val="30C085EE"/>
    <w:lvl w:ilvl="0" w:tplc="D3F4F504">
      <w:start w:val="263"/>
      <w:numFmt w:val="decimal"/>
      <w:lvlText w:val="%1."/>
      <w:lvlJc w:val="left"/>
      <w:pPr>
        <w:tabs>
          <w:tab w:val="num" w:pos="630"/>
        </w:tabs>
        <w:ind w:left="630" w:hanging="63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8">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39">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141">
    <w:nsid w:val="083C0A26"/>
    <w:multiLevelType w:val="hybridMultilevel"/>
    <w:tmpl w:val="22184D9E"/>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42">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44">
    <w:nsid w:val="08B23A2A"/>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145">
    <w:nsid w:val="08CE72D2"/>
    <w:multiLevelType w:val="singleLevel"/>
    <w:tmpl w:val="0409000F"/>
    <w:lvl w:ilvl="0">
      <w:start w:val="1"/>
      <w:numFmt w:val="decimal"/>
      <w:lvlText w:val="%1."/>
      <w:lvlJc w:val="left"/>
      <w:pPr>
        <w:tabs>
          <w:tab w:val="num" w:pos="360"/>
        </w:tabs>
        <w:ind w:left="360" w:hanging="360"/>
      </w:pPr>
    </w:lvl>
  </w:abstractNum>
  <w:abstractNum w:abstractNumId="146">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47">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50">
    <w:nsid w:val="092D45B6"/>
    <w:multiLevelType w:val="hybridMultilevel"/>
    <w:tmpl w:val="2D160F9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1">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2">
    <w:nsid w:val="094418C0"/>
    <w:multiLevelType w:val="multilevel"/>
    <w:tmpl w:val="9E06FBB4"/>
    <w:lvl w:ilvl="0">
      <w:start w:val="1"/>
      <w:numFmt w:val="decimal"/>
      <w:lvlText w:val="%1."/>
      <w:lvlJc w:val="left"/>
      <w:pPr>
        <w:tabs>
          <w:tab w:val="num" w:pos="737"/>
        </w:tabs>
        <w:ind w:left="737" w:hanging="377"/>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3">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4">
    <w:nsid w:val="0956627A"/>
    <w:multiLevelType w:val="hybridMultilevel"/>
    <w:tmpl w:val="F4B8DFB6"/>
    <w:lvl w:ilvl="0" w:tplc="05A4A5F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57">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8">
    <w:nsid w:val="09907844"/>
    <w:multiLevelType w:val="hybridMultilevel"/>
    <w:tmpl w:val="50402820"/>
    <w:lvl w:ilvl="0" w:tplc="5A061E7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60">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61">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62">
    <w:nsid w:val="09EA03B2"/>
    <w:multiLevelType w:val="hybridMultilevel"/>
    <w:tmpl w:val="E4EE1E16"/>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3">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
    <w:nsid w:val="0A0B7522"/>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6">
    <w:nsid w:val="0A1C73DB"/>
    <w:multiLevelType w:val="hybridMultilevel"/>
    <w:tmpl w:val="EC3682CC"/>
    <w:lvl w:ilvl="0" w:tplc="673E45E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7">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8">
    <w:nsid w:val="0A3D797A"/>
    <w:multiLevelType w:val="hybridMultilevel"/>
    <w:tmpl w:val="2E363628"/>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69">
    <w:nsid w:val="0A3E0F06"/>
    <w:multiLevelType w:val="hybridMultilevel"/>
    <w:tmpl w:val="A2F4FE1A"/>
    <w:lvl w:ilvl="0" w:tplc="0409000F">
      <w:start w:val="1"/>
      <w:numFmt w:val="decimal"/>
      <w:lvlText w:val="%1."/>
      <w:lvlJc w:val="left"/>
      <w:pPr>
        <w:tabs>
          <w:tab w:val="num" w:pos="420"/>
        </w:tabs>
        <w:ind w:left="420" w:hanging="420"/>
      </w:pPr>
    </w:lvl>
    <w:lvl w:ilvl="1" w:tplc="7BBC47BA">
      <w:start w:val="8"/>
      <w:numFmt w:val="decimal"/>
      <w:lvlText w:val="第%2"/>
      <w:lvlJc w:val="left"/>
      <w:pPr>
        <w:tabs>
          <w:tab w:val="num" w:pos="795"/>
        </w:tabs>
        <w:ind w:left="795" w:hanging="375"/>
      </w:pPr>
      <w:rPr>
        <w:rFonts w:hint="eastAsia"/>
      </w:rPr>
    </w:lvl>
    <w:lvl w:ilvl="2" w:tplc="14A2FA62">
      <w:start w:val="145"/>
      <w:numFmt w:val="decimal"/>
      <w:lvlText w:val="第%3条"/>
      <w:lvlJc w:val="left"/>
      <w:pPr>
        <w:tabs>
          <w:tab w:val="num" w:pos="1920"/>
        </w:tabs>
        <w:ind w:left="1920" w:hanging="1080"/>
      </w:pPr>
      <w:rPr>
        <w:rFonts w:hint="eastAsia"/>
      </w:rPr>
    </w:lvl>
    <w:lvl w:ilvl="3" w:tplc="E468F81A">
      <w:start w:val="1"/>
      <w:numFmt w:val="decimal"/>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71">
    <w:nsid w:val="0A60397A"/>
    <w:multiLevelType w:val="multilevel"/>
    <w:tmpl w:val="9AE25B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2">
    <w:nsid w:val="0A7F4F1C"/>
    <w:multiLevelType w:val="multilevel"/>
    <w:tmpl w:val="04E895B2"/>
    <w:lvl w:ilvl="0">
      <w:start w:val="64"/>
      <w:numFmt w:val="bullet"/>
      <w:lvlText w:val=""/>
      <w:lvlJc w:val="left"/>
      <w:pPr>
        <w:tabs>
          <w:tab w:val="num" w:pos="840"/>
        </w:tabs>
        <w:ind w:left="840" w:hanging="360"/>
      </w:pPr>
      <w:rPr>
        <w:rFonts w:ascii="Wingdings 2" w:eastAsia="SimSun" w:hAnsi="Wingdings 2" w:cs="Times New Roman"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73">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4">
    <w:nsid w:val="0AA621A7"/>
    <w:multiLevelType w:val="hybridMultilevel"/>
    <w:tmpl w:val="69BE2C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75">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6">
    <w:nsid w:val="0AC26C62"/>
    <w:multiLevelType w:val="singleLevel"/>
    <w:tmpl w:val="561E0F3E"/>
    <w:lvl w:ilvl="0">
      <w:start w:val="1"/>
      <w:numFmt w:val="decimal"/>
      <w:lvlText w:val="%1."/>
      <w:lvlJc w:val="left"/>
      <w:pPr>
        <w:tabs>
          <w:tab w:val="num" w:pos="720"/>
        </w:tabs>
        <w:ind w:left="720" w:hanging="720"/>
      </w:pPr>
    </w:lvl>
  </w:abstractNum>
  <w:abstractNum w:abstractNumId="177">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78">
    <w:nsid w:val="0AD83EDA"/>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9">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80">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81">
    <w:nsid w:val="0B127620"/>
    <w:multiLevelType w:val="multilevel"/>
    <w:tmpl w:val="DD1C187E"/>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2">
    <w:nsid w:val="0B2A7CB6"/>
    <w:multiLevelType w:val="hybridMultilevel"/>
    <w:tmpl w:val="3496BC7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3">
    <w:nsid w:val="0B2C3762"/>
    <w:multiLevelType w:val="hybridMultilevel"/>
    <w:tmpl w:val="B8D08EEA"/>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4">
    <w:nsid w:val="0B365879"/>
    <w:multiLevelType w:val="hybridMultilevel"/>
    <w:tmpl w:val="F9908A90"/>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5">
    <w:nsid w:val="0B3B0072"/>
    <w:multiLevelType w:val="singleLevel"/>
    <w:tmpl w:val="04070017"/>
    <w:lvl w:ilvl="0">
      <w:start w:val="1"/>
      <w:numFmt w:val="lowerLetter"/>
      <w:lvlText w:val="%1)"/>
      <w:lvlJc w:val="left"/>
      <w:pPr>
        <w:tabs>
          <w:tab w:val="num" w:pos="360"/>
        </w:tabs>
        <w:ind w:left="360" w:hanging="360"/>
      </w:pPr>
    </w:lvl>
  </w:abstractNum>
  <w:abstractNum w:abstractNumId="186">
    <w:nsid w:val="0B463821"/>
    <w:multiLevelType w:val="hybridMultilevel"/>
    <w:tmpl w:val="729078CA"/>
    <w:lvl w:ilvl="0" w:tplc="C4D84CF2">
      <w:start w:val="3"/>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7">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8">
    <w:nsid w:val="0B6A0A28"/>
    <w:multiLevelType w:val="singleLevel"/>
    <w:tmpl w:val="66FC3666"/>
    <w:lvl w:ilvl="0">
      <w:start w:val="1"/>
      <w:numFmt w:val="lowerLetter"/>
      <w:lvlText w:val="(%1)"/>
      <w:legacy w:legacy="1" w:legacySpace="0" w:legacyIndent="425"/>
      <w:lvlJc w:val="left"/>
      <w:pPr>
        <w:ind w:left="1446" w:hanging="425"/>
      </w:pPr>
    </w:lvl>
  </w:abstractNum>
  <w:abstractNum w:abstractNumId="189">
    <w:nsid w:val="0B765E77"/>
    <w:multiLevelType w:val="hybridMultilevel"/>
    <w:tmpl w:val="715C79CA"/>
    <w:lvl w:ilvl="0" w:tplc="82F45640">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90">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91">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2">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93">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94">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95">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6">
    <w:nsid w:val="0BD10360"/>
    <w:multiLevelType w:val="hybridMultilevel"/>
    <w:tmpl w:val="786AE13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7">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98">
    <w:nsid w:val="0BE74EA1"/>
    <w:multiLevelType w:val="hybridMultilevel"/>
    <w:tmpl w:val="6B0647A8"/>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99">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0">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201">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2">
    <w:nsid w:val="0C1E7D6F"/>
    <w:multiLevelType w:val="multilevel"/>
    <w:tmpl w:val="C0CE47A2"/>
    <w:lvl w:ilvl="0">
      <w:start w:val="1"/>
      <w:numFmt w:val="bullet"/>
      <w:lvlText w:val=""/>
      <w:lvlJc w:val="left"/>
      <w:pPr>
        <w:tabs>
          <w:tab w:val="num" w:pos="680"/>
        </w:tabs>
        <w:ind w:left="680" w:hanging="510"/>
      </w:pPr>
      <w:rPr>
        <w:rFonts w:ascii="Symbol" w:hAnsi="Symbol" w:cs="Times New Roman" w:hint="default"/>
      </w:rPr>
    </w:lvl>
    <w:lvl w:ilvl="1">
      <w:start w:val="1"/>
      <w:numFmt w:val="decimal"/>
      <w:lvlText w:val="%2."/>
      <w:lvlJc w:val="left"/>
      <w:pPr>
        <w:tabs>
          <w:tab w:val="num" w:pos="1440"/>
        </w:tabs>
        <w:ind w:left="1440" w:hanging="360"/>
      </w:pPr>
    </w:lvl>
    <w:lvl w:ilvl="2">
      <w:start w:val="1"/>
      <w:numFmt w:val="bullet"/>
      <w:lvlText w:val=""/>
      <w:lvlJc w:val="left"/>
      <w:pPr>
        <w:tabs>
          <w:tab w:val="num" w:pos="2310"/>
        </w:tabs>
        <w:ind w:left="2310" w:hanging="510"/>
      </w:pPr>
      <w:rPr>
        <w:rFonts w:ascii="Symbol" w:hAnsi="Symbol"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3">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0C2F2520"/>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5">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206">
    <w:nsid w:val="0C3A3633"/>
    <w:multiLevelType w:val="hybridMultilevel"/>
    <w:tmpl w:val="0D3625C6"/>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7">
    <w:nsid w:val="0C511FB5"/>
    <w:multiLevelType w:val="hybridMultilevel"/>
    <w:tmpl w:val="54E8DDFC"/>
    <w:lvl w:ilvl="0" w:tplc="C5E2FDE0">
      <w:start w:val="1"/>
      <w:numFmt w:val="decimal"/>
      <w:lvlText w:val="%1."/>
      <w:lvlJc w:val="left"/>
      <w:pPr>
        <w:tabs>
          <w:tab w:val="num" w:pos="720"/>
        </w:tabs>
        <w:ind w:left="720" w:hanging="360"/>
      </w:pPr>
    </w:lvl>
    <w:lvl w:ilvl="1" w:tplc="2194AF3E" w:tentative="1">
      <w:start w:val="1"/>
      <w:numFmt w:val="decimal"/>
      <w:lvlText w:val="%2."/>
      <w:lvlJc w:val="left"/>
      <w:pPr>
        <w:tabs>
          <w:tab w:val="num" w:pos="1440"/>
        </w:tabs>
        <w:ind w:left="1440" w:hanging="360"/>
      </w:pPr>
    </w:lvl>
    <w:lvl w:ilvl="2" w:tplc="72D6EE22" w:tentative="1">
      <w:start w:val="1"/>
      <w:numFmt w:val="decimal"/>
      <w:lvlText w:val="%3."/>
      <w:lvlJc w:val="left"/>
      <w:pPr>
        <w:tabs>
          <w:tab w:val="num" w:pos="2160"/>
        </w:tabs>
        <w:ind w:left="2160" w:hanging="360"/>
      </w:pPr>
    </w:lvl>
    <w:lvl w:ilvl="3" w:tplc="451469EC" w:tentative="1">
      <w:start w:val="1"/>
      <w:numFmt w:val="decimal"/>
      <w:lvlText w:val="%4."/>
      <w:lvlJc w:val="left"/>
      <w:pPr>
        <w:tabs>
          <w:tab w:val="num" w:pos="2880"/>
        </w:tabs>
        <w:ind w:left="2880" w:hanging="360"/>
      </w:pPr>
    </w:lvl>
    <w:lvl w:ilvl="4" w:tplc="FDF64D42" w:tentative="1">
      <w:start w:val="1"/>
      <w:numFmt w:val="decimal"/>
      <w:lvlText w:val="%5."/>
      <w:lvlJc w:val="left"/>
      <w:pPr>
        <w:tabs>
          <w:tab w:val="num" w:pos="3600"/>
        </w:tabs>
        <w:ind w:left="3600" w:hanging="360"/>
      </w:pPr>
    </w:lvl>
    <w:lvl w:ilvl="5" w:tplc="51848CE2" w:tentative="1">
      <w:start w:val="1"/>
      <w:numFmt w:val="decimal"/>
      <w:lvlText w:val="%6."/>
      <w:lvlJc w:val="left"/>
      <w:pPr>
        <w:tabs>
          <w:tab w:val="num" w:pos="4320"/>
        </w:tabs>
        <w:ind w:left="4320" w:hanging="360"/>
      </w:pPr>
    </w:lvl>
    <w:lvl w:ilvl="6" w:tplc="38E035FA" w:tentative="1">
      <w:start w:val="1"/>
      <w:numFmt w:val="decimal"/>
      <w:lvlText w:val="%7."/>
      <w:lvlJc w:val="left"/>
      <w:pPr>
        <w:tabs>
          <w:tab w:val="num" w:pos="5040"/>
        </w:tabs>
        <w:ind w:left="5040" w:hanging="360"/>
      </w:pPr>
    </w:lvl>
    <w:lvl w:ilvl="7" w:tplc="32D4641E" w:tentative="1">
      <w:start w:val="1"/>
      <w:numFmt w:val="decimal"/>
      <w:lvlText w:val="%8."/>
      <w:lvlJc w:val="left"/>
      <w:pPr>
        <w:tabs>
          <w:tab w:val="num" w:pos="5760"/>
        </w:tabs>
        <w:ind w:left="5760" w:hanging="360"/>
      </w:pPr>
    </w:lvl>
    <w:lvl w:ilvl="8" w:tplc="3C2A6CDC" w:tentative="1">
      <w:start w:val="1"/>
      <w:numFmt w:val="decimal"/>
      <w:lvlText w:val="%9."/>
      <w:lvlJc w:val="left"/>
      <w:pPr>
        <w:tabs>
          <w:tab w:val="num" w:pos="6480"/>
        </w:tabs>
        <w:ind w:left="6480" w:hanging="360"/>
      </w:pPr>
    </w:lvl>
  </w:abstractNum>
  <w:abstractNum w:abstractNumId="208">
    <w:nsid w:val="0C5A79F5"/>
    <w:multiLevelType w:val="hybridMultilevel"/>
    <w:tmpl w:val="0EA67094"/>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9">
    <w:nsid w:val="0C6242F8"/>
    <w:multiLevelType w:val="hybridMultilevel"/>
    <w:tmpl w:val="AAE0D5CA"/>
    <w:lvl w:ilvl="0" w:tplc="04090009">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80"/>
        </w:tabs>
        <w:ind w:left="1380" w:hanging="420"/>
      </w:pPr>
      <w:rPr>
        <w:rFonts w:ascii="Wingdings" w:hAnsi="Wingdings" w:hint="default"/>
      </w:rPr>
    </w:lvl>
    <w:lvl w:ilvl="2" w:tplc="04090005"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3" w:tentative="1">
      <w:start w:val="1"/>
      <w:numFmt w:val="bullet"/>
      <w:lvlText w:val=""/>
      <w:lvlJc w:val="left"/>
      <w:pPr>
        <w:tabs>
          <w:tab w:val="num" w:pos="2640"/>
        </w:tabs>
        <w:ind w:left="2640" w:hanging="420"/>
      </w:pPr>
      <w:rPr>
        <w:rFonts w:ascii="Wingdings" w:hAnsi="Wingdings" w:hint="default"/>
      </w:rPr>
    </w:lvl>
    <w:lvl w:ilvl="5" w:tplc="04090005"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3" w:tentative="1">
      <w:start w:val="1"/>
      <w:numFmt w:val="bullet"/>
      <w:lvlText w:val=""/>
      <w:lvlJc w:val="left"/>
      <w:pPr>
        <w:tabs>
          <w:tab w:val="num" w:pos="3900"/>
        </w:tabs>
        <w:ind w:left="3900" w:hanging="420"/>
      </w:pPr>
      <w:rPr>
        <w:rFonts w:ascii="Wingdings" w:hAnsi="Wingdings" w:hint="default"/>
      </w:rPr>
    </w:lvl>
    <w:lvl w:ilvl="8" w:tplc="04090005" w:tentative="1">
      <w:start w:val="1"/>
      <w:numFmt w:val="bullet"/>
      <w:lvlText w:val=""/>
      <w:lvlJc w:val="left"/>
      <w:pPr>
        <w:tabs>
          <w:tab w:val="num" w:pos="4320"/>
        </w:tabs>
        <w:ind w:left="4320" w:hanging="420"/>
      </w:pPr>
      <w:rPr>
        <w:rFonts w:ascii="Wingdings" w:hAnsi="Wingdings" w:hint="default"/>
      </w:rPr>
    </w:lvl>
  </w:abstractNum>
  <w:abstractNum w:abstractNumId="210">
    <w:nsid w:val="0C636AB7"/>
    <w:multiLevelType w:val="multilevel"/>
    <w:tmpl w:val="8BFE00D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1">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2">
    <w:nsid w:val="0C8861F4"/>
    <w:multiLevelType w:val="multilevel"/>
    <w:tmpl w:val="43D2538E"/>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3">
    <w:nsid w:val="0C88674F"/>
    <w:multiLevelType w:val="multilevel"/>
    <w:tmpl w:val="6FC2063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numFmt w:val="bullet"/>
      <w:lvlText w:val=""/>
      <w:lvlJc w:val="left"/>
      <w:pPr>
        <w:tabs>
          <w:tab w:val="num" w:pos="2340"/>
        </w:tabs>
        <w:ind w:left="2340" w:hanging="360"/>
      </w:pPr>
      <w:rPr>
        <w:rFonts w:ascii="Symbol" w:hAnsi="Symbol" w:cs="Times New Roman"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4">
    <w:nsid w:val="0C9C683C"/>
    <w:multiLevelType w:val="multilevel"/>
    <w:tmpl w:val="1FECF09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5">
    <w:nsid w:val="0CB34E65"/>
    <w:multiLevelType w:val="hybridMultilevel"/>
    <w:tmpl w:val="F8F8C63E"/>
    <w:lvl w:ilvl="0" w:tplc="01B25DE8">
      <w:start w:val="2"/>
      <w:numFmt w:val="japaneseCounting"/>
      <w:lvlText w:val="第%1章"/>
      <w:lvlJc w:val="left"/>
      <w:pPr>
        <w:tabs>
          <w:tab w:val="num" w:pos="930"/>
        </w:tabs>
        <w:ind w:left="930" w:hanging="720"/>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216">
    <w:nsid w:val="0CB65117"/>
    <w:multiLevelType w:val="hybridMultilevel"/>
    <w:tmpl w:val="7F345D86"/>
    <w:lvl w:ilvl="0" w:tplc="80CCBABE">
      <w:start w:val="13"/>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7">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8">
    <w:nsid w:val="0CC3495B"/>
    <w:multiLevelType w:val="multilevel"/>
    <w:tmpl w:val="00000000"/>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19">
    <w:nsid w:val="0CC502F9"/>
    <w:multiLevelType w:val="hybridMultilevel"/>
    <w:tmpl w:val="BFF6D3CE"/>
    <w:lvl w:ilvl="0" w:tplc="83E08934">
      <w:start w:val="941"/>
      <w:numFmt w:val="decimal"/>
      <w:lvlText w:val="%1．"/>
      <w:lvlJc w:val="left"/>
      <w:pPr>
        <w:tabs>
          <w:tab w:val="num" w:pos="840"/>
        </w:tabs>
        <w:ind w:left="840" w:hanging="840"/>
      </w:pPr>
      <w:rPr>
        <w:rFonts w:hint="default"/>
      </w:rPr>
    </w:lvl>
    <w:lvl w:ilvl="1" w:tplc="097C389A">
      <w:start w:val="942"/>
      <w:numFmt w:val="decimal"/>
      <w:lvlText w:val="%2."/>
      <w:lvlJc w:val="left"/>
      <w:pPr>
        <w:tabs>
          <w:tab w:val="num" w:pos="900"/>
        </w:tabs>
        <w:ind w:left="900" w:hanging="48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0">
    <w:nsid w:val="0CF66014"/>
    <w:multiLevelType w:val="hybridMultilevel"/>
    <w:tmpl w:val="6B6A420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21">
    <w:nsid w:val="0D0D5D53"/>
    <w:multiLevelType w:val="hybridMultilevel"/>
    <w:tmpl w:val="0A32A25E"/>
    <w:lvl w:ilvl="0" w:tplc="04060001">
      <w:start w:val="1"/>
      <w:numFmt w:val="bullet"/>
      <w:lvlText w:val=""/>
      <w:lvlJc w:val="left"/>
      <w:pPr>
        <w:tabs>
          <w:tab w:val="num" w:pos="1080"/>
        </w:tabs>
        <w:ind w:left="1080" w:hanging="360"/>
      </w:pPr>
      <w:rPr>
        <w:rFonts w:ascii="Symbol" w:hAnsi="Symbol" w:cs="Symbol" w:hint="default"/>
      </w:rPr>
    </w:lvl>
    <w:lvl w:ilvl="1" w:tplc="04060003">
      <w:start w:val="1"/>
      <w:numFmt w:val="bullet"/>
      <w:lvlText w:val="o"/>
      <w:lvlJc w:val="left"/>
      <w:pPr>
        <w:tabs>
          <w:tab w:val="num" w:pos="1800"/>
        </w:tabs>
        <w:ind w:left="1800" w:hanging="360"/>
      </w:pPr>
      <w:rPr>
        <w:rFonts w:ascii="Courier New" w:hAnsi="Courier New" w:cs="Courier New" w:hint="default"/>
      </w:rPr>
    </w:lvl>
    <w:lvl w:ilvl="2" w:tplc="04060005">
      <w:start w:val="1"/>
      <w:numFmt w:val="bullet"/>
      <w:lvlText w:val=""/>
      <w:lvlJc w:val="left"/>
      <w:pPr>
        <w:tabs>
          <w:tab w:val="num" w:pos="2520"/>
        </w:tabs>
        <w:ind w:left="2520" w:hanging="360"/>
      </w:pPr>
      <w:rPr>
        <w:rFonts w:ascii="Times New Roman" w:hAnsi="Times New Roman" w:cs="Times New Roman" w:hint="default"/>
      </w:rPr>
    </w:lvl>
    <w:lvl w:ilvl="3" w:tplc="04060001">
      <w:start w:val="1"/>
      <w:numFmt w:val="bullet"/>
      <w:lvlText w:val=""/>
      <w:lvlJc w:val="left"/>
      <w:pPr>
        <w:tabs>
          <w:tab w:val="num" w:pos="3240"/>
        </w:tabs>
        <w:ind w:left="3240" w:hanging="360"/>
      </w:pPr>
      <w:rPr>
        <w:rFonts w:ascii="Symbol" w:hAnsi="Symbol" w:cs="Symbol" w:hint="default"/>
      </w:rPr>
    </w:lvl>
    <w:lvl w:ilvl="4" w:tplc="04060003">
      <w:start w:val="1"/>
      <w:numFmt w:val="bullet"/>
      <w:lvlText w:val="o"/>
      <w:lvlJc w:val="left"/>
      <w:pPr>
        <w:tabs>
          <w:tab w:val="num" w:pos="3960"/>
        </w:tabs>
        <w:ind w:left="3960" w:hanging="360"/>
      </w:pPr>
      <w:rPr>
        <w:rFonts w:ascii="Courier New" w:hAnsi="Courier New" w:cs="Courier New" w:hint="default"/>
      </w:rPr>
    </w:lvl>
    <w:lvl w:ilvl="5" w:tplc="04060005">
      <w:start w:val="1"/>
      <w:numFmt w:val="bullet"/>
      <w:lvlText w:val=""/>
      <w:lvlJc w:val="left"/>
      <w:pPr>
        <w:tabs>
          <w:tab w:val="num" w:pos="4680"/>
        </w:tabs>
        <w:ind w:left="4680" w:hanging="360"/>
      </w:pPr>
      <w:rPr>
        <w:rFonts w:ascii="Times New Roman" w:hAnsi="Times New Roman" w:cs="Times New Roman" w:hint="default"/>
      </w:rPr>
    </w:lvl>
    <w:lvl w:ilvl="6" w:tplc="04060001">
      <w:start w:val="1"/>
      <w:numFmt w:val="bullet"/>
      <w:lvlText w:val=""/>
      <w:lvlJc w:val="left"/>
      <w:pPr>
        <w:tabs>
          <w:tab w:val="num" w:pos="5400"/>
        </w:tabs>
        <w:ind w:left="5400" w:hanging="360"/>
      </w:pPr>
      <w:rPr>
        <w:rFonts w:ascii="Symbol" w:hAnsi="Symbol" w:cs="Symbol" w:hint="default"/>
      </w:rPr>
    </w:lvl>
    <w:lvl w:ilvl="7" w:tplc="04060003">
      <w:start w:val="1"/>
      <w:numFmt w:val="bullet"/>
      <w:lvlText w:val="o"/>
      <w:lvlJc w:val="left"/>
      <w:pPr>
        <w:tabs>
          <w:tab w:val="num" w:pos="6120"/>
        </w:tabs>
        <w:ind w:left="6120" w:hanging="360"/>
      </w:pPr>
      <w:rPr>
        <w:rFonts w:ascii="Courier New" w:hAnsi="Courier New" w:cs="Courier New" w:hint="default"/>
      </w:rPr>
    </w:lvl>
    <w:lvl w:ilvl="8" w:tplc="04060005">
      <w:start w:val="1"/>
      <w:numFmt w:val="bullet"/>
      <w:lvlText w:val=""/>
      <w:lvlJc w:val="left"/>
      <w:pPr>
        <w:tabs>
          <w:tab w:val="num" w:pos="6840"/>
        </w:tabs>
        <w:ind w:left="6840" w:hanging="360"/>
      </w:pPr>
      <w:rPr>
        <w:rFonts w:ascii="Times New Roman" w:hAnsi="Times New Roman" w:cs="Times New Roman" w:hint="default"/>
      </w:rPr>
    </w:lvl>
  </w:abstractNum>
  <w:abstractNum w:abstractNumId="222">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3">
    <w:nsid w:val="0D1F064B"/>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224">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25">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6">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227">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228">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29">
    <w:nsid w:val="0DAB1BB7"/>
    <w:multiLevelType w:val="hybridMultilevel"/>
    <w:tmpl w:val="0980C8E2"/>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30">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1">
    <w:nsid w:val="0DB21C45"/>
    <w:multiLevelType w:val="singleLevel"/>
    <w:tmpl w:val="04070017"/>
    <w:lvl w:ilvl="0">
      <w:start w:val="1"/>
      <w:numFmt w:val="lowerLetter"/>
      <w:lvlText w:val="%1)"/>
      <w:lvlJc w:val="left"/>
      <w:pPr>
        <w:tabs>
          <w:tab w:val="num" w:pos="360"/>
        </w:tabs>
        <w:ind w:left="360" w:hanging="360"/>
      </w:pPr>
    </w:lvl>
  </w:abstractNum>
  <w:abstractNum w:abstractNumId="232">
    <w:nsid w:val="0DB341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33">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4">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235">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6">
    <w:nsid w:val="0DEA0871"/>
    <w:multiLevelType w:val="singleLevel"/>
    <w:tmpl w:val="66FC3666"/>
    <w:lvl w:ilvl="0">
      <w:start w:val="1"/>
      <w:numFmt w:val="lowerLetter"/>
      <w:lvlText w:val="(%1)"/>
      <w:legacy w:legacy="1" w:legacySpace="0" w:legacyIndent="425"/>
      <w:lvlJc w:val="left"/>
      <w:pPr>
        <w:ind w:left="1446" w:hanging="425"/>
      </w:pPr>
    </w:lvl>
  </w:abstractNum>
  <w:abstractNum w:abstractNumId="237">
    <w:nsid w:val="0DF062C6"/>
    <w:multiLevelType w:val="hybridMultilevel"/>
    <w:tmpl w:val="259664B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38">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239">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40">
    <w:nsid w:val="0E020ABB"/>
    <w:multiLevelType w:val="hybridMultilevel"/>
    <w:tmpl w:val="CAA801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41">
    <w:nsid w:val="0E0931B0"/>
    <w:multiLevelType w:val="hybridMultilevel"/>
    <w:tmpl w:val="C6DC7F8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42">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243">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244">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245">
    <w:nsid w:val="0E452B1D"/>
    <w:multiLevelType w:val="hybridMultilevel"/>
    <w:tmpl w:val="FDA4336C"/>
    <w:lvl w:ilvl="0" w:tplc="9C7E3EF8">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6">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247">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8">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9">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250">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251">
    <w:nsid w:val="0E806F41"/>
    <w:multiLevelType w:val="multilevel"/>
    <w:tmpl w:val="9CE0CAB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52">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253">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4">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5">
    <w:nsid w:val="0EBA328A"/>
    <w:multiLevelType w:val="hybridMultilevel"/>
    <w:tmpl w:val="2DFA1DAC"/>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56">
    <w:nsid w:val="0EC60689"/>
    <w:multiLevelType w:val="multilevel"/>
    <w:tmpl w:val="DF985CD6"/>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7">
    <w:nsid w:val="0EE47A56"/>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8">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259">
    <w:nsid w:val="0F166865"/>
    <w:multiLevelType w:val="hybridMultilevel"/>
    <w:tmpl w:val="2E7C9FC0"/>
    <w:lvl w:ilvl="0" w:tplc="B72A4540">
      <w:start w:val="4"/>
      <w:numFmt w:val="bullet"/>
      <w:lvlText w:val=""/>
      <w:lvlJc w:val="left"/>
      <w:pPr>
        <w:tabs>
          <w:tab w:val="num" w:pos="360"/>
        </w:tabs>
        <w:ind w:left="360" w:hanging="360"/>
      </w:pPr>
      <w:rPr>
        <w:rFonts w:ascii="Symbol" w:eastAsia="PMingLiU" w:hAnsi="Symbol" w:cs="Times New Roman" w:hint="default"/>
        <w:b w:val="0"/>
      </w:rPr>
    </w:lvl>
    <w:lvl w:ilvl="1" w:tplc="04060003" w:tentative="1">
      <w:start w:val="1"/>
      <w:numFmt w:val="bullet"/>
      <w:lvlText w:val="o"/>
      <w:lvlJc w:val="left"/>
      <w:pPr>
        <w:tabs>
          <w:tab w:val="num" w:pos="1080"/>
        </w:tabs>
        <w:ind w:left="1080" w:hanging="360"/>
      </w:pPr>
      <w:rPr>
        <w:rFonts w:ascii="Courier New" w:hAnsi="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260">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261">
    <w:nsid w:val="0F252F29"/>
    <w:multiLevelType w:val="hybridMultilevel"/>
    <w:tmpl w:val="C74ADC4A"/>
    <w:lvl w:ilvl="0" w:tplc="04090003">
      <w:start w:val="1"/>
      <w:numFmt w:val="bullet"/>
      <w:lvlText w:val=""/>
      <w:lvlJc w:val="left"/>
      <w:pPr>
        <w:tabs>
          <w:tab w:val="num" w:pos="1050"/>
        </w:tabs>
        <w:ind w:left="1050" w:hanging="420"/>
      </w:pPr>
      <w:rPr>
        <w:rFonts w:ascii="Wingdings" w:hAnsi="Wingdings"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262">
    <w:nsid w:val="0F3D5BA3"/>
    <w:multiLevelType w:val="hybridMultilevel"/>
    <w:tmpl w:val="872C3CA4"/>
    <w:lvl w:ilvl="0" w:tplc="1096C920">
      <w:start w:val="1"/>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63">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4">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265">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266">
    <w:nsid w:val="0F7406CB"/>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7">
    <w:nsid w:val="0F821E9F"/>
    <w:multiLevelType w:val="hybridMultilevel"/>
    <w:tmpl w:val="DF80AF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8">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269">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270">
    <w:nsid w:val="0FAC5A31"/>
    <w:multiLevelType w:val="hybridMultilevel"/>
    <w:tmpl w:val="F9FA9DBC"/>
    <w:lvl w:ilvl="0" w:tplc="0409000F">
      <w:start w:val="1"/>
      <w:numFmt w:val="decimal"/>
      <w:lvlText w:val="%1."/>
      <w:lvlJc w:val="left"/>
      <w:pPr>
        <w:tabs>
          <w:tab w:val="num" w:pos="1170"/>
        </w:tabs>
        <w:ind w:left="1170" w:hanging="420"/>
      </w:pPr>
    </w:lvl>
    <w:lvl w:ilvl="1" w:tplc="324C0E56">
      <w:start w:val="190"/>
      <w:numFmt w:val="decimal"/>
      <w:lvlText w:val="第%2条"/>
      <w:lvlJc w:val="left"/>
      <w:pPr>
        <w:tabs>
          <w:tab w:val="num" w:pos="2235"/>
        </w:tabs>
        <w:ind w:left="2235" w:hanging="1065"/>
      </w:pPr>
      <w:rPr>
        <w:rFonts w:hint="eastAsia"/>
      </w:rPr>
    </w:lvl>
    <w:lvl w:ilvl="2" w:tplc="62B40B60">
      <w:start w:val="194"/>
      <w:numFmt w:val="decimal"/>
      <w:lvlText w:val="%3条"/>
      <w:lvlJc w:val="left"/>
      <w:pPr>
        <w:tabs>
          <w:tab w:val="num" w:pos="2400"/>
        </w:tabs>
        <w:ind w:left="2400" w:hanging="810"/>
      </w:pPr>
      <w:rPr>
        <w:rFonts w:hint="eastAsia"/>
      </w:rPr>
    </w:lvl>
    <w:lvl w:ilvl="3" w:tplc="A8927860">
      <w:start w:val="1"/>
      <w:numFmt w:val="decimal"/>
      <w:lvlText w:val="%4．"/>
      <w:lvlJc w:val="left"/>
      <w:pPr>
        <w:tabs>
          <w:tab w:val="num" w:pos="2370"/>
        </w:tabs>
        <w:ind w:left="2370" w:hanging="360"/>
      </w:pPr>
      <w:rPr>
        <w:rFonts w:hint="eastAsia"/>
      </w:rPr>
    </w:lvl>
    <w:lvl w:ilvl="4" w:tplc="0409000F">
      <w:start w:val="1"/>
      <w:numFmt w:val="decimal"/>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271">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2">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273">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4">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5">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6">
    <w:nsid w:val="10541390"/>
    <w:multiLevelType w:val="hybridMultilevel"/>
    <w:tmpl w:val="5E1A6EF0"/>
    <w:lvl w:ilvl="0" w:tplc="67E08962">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7">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8">
    <w:nsid w:val="106A5DFB"/>
    <w:multiLevelType w:val="hybridMultilevel"/>
    <w:tmpl w:val="45006FE6"/>
    <w:lvl w:ilvl="0" w:tplc="04090009">
      <w:start w:val="1"/>
      <w:numFmt w:val="bullet"/>
      <w:lvlText w:val=""/>
      <w:lvlJc w:val="left"/>
      <w:pPr>
        <w:tabs>
          <w:tab w:val="num" w:pos="1065"/>
        </w:tabs>
        <w:ind w:left="1065" w:hanging="420"/>
      </w:pPr>
      <w:rPr>
        <w:rFonts w:ascii="Wingdings" w:hAnsi="Wingdings" w:hint="default"/>
      </w:rPr>
    </w:lvl>
    <w:lvl w:ilvl="1" w:tplc="32600EF0">
      <w:start w:val="1"/>
      <w:numFmt w:val="bullet"/>
      <w:lvlText w:val="→"/>
      <w:lvlJc w:val="left"/>
      <w:pPr>
        <w:tabs>
          <w:tab w:val="num" w:pos="1425"/>
        </w:tabs>
        <w:ind w:left="1425" w:hanging="360"/>
      </w:pPr>
      <w:rPr>
        <w:rFonts w:ascii="SimSun" w:eastAsia="SimSun" w:hAnsi="Symbol" w:hint="eastAsia"/>
      </w:rPr>
    </w:lvl>
    <w:lvl w:ilvl="2" w:tplc="04090005" w:tentative="1">
      <w:start w:val="1"/>
      <w:numFmt w:val="bullet"/>
      <w:lvlText w:val=""/>
      <w:lvlJc w:val="left"/>
      <w:pPr>
        <w:tabs>
          <w:tab w:val="num" w:pos="1905"/>
        </w:tabs>
        <w:ind w:left="1905" w:hanging="420"/>
      </w:pPr>
      <w:rPr>
        <w:rFonts w:ascii="Wingdings" w:hAnsi="Wingdings" w:hint="default"/>
      </w:rPr>
    </w:lvl>
    <w:lvl w:ilvl="3" w:tplc="04090001" w:tentative="1">
      <w:start w:val="1"/>
      <w:numFmt w:val="bullet"/>
      <w:lvlText w:val=""/>
      <w:lvlJc w:val="left"/>
      <w:pPr>
        <w:tabs>
          <w:tab w:val="num" w:pos="2325"/>
        </w:tabs>
        <w:ind w:left="2325" w:hanging="420"/>
      </w:pPr>
      <w:rPr>
        <w:rFonts w:ascii="Wingdings" w:hAnsi="Wingdings" w:hint="default"/>
      </w:rPr>
    </w:lvl>
    <w:lvl w:ilvl="4" w:tplc="04090003" w:tentative="1">
      <w:start w:val="1"/>
      <w:numFmt w:val="bullet"/>
      <w:lvlText w:val=""/>
      <w:lvlJc w:val="left"/>
      <w:pPr>
        <w:tabs>
          <w:tab w:val="num" w:pos="2745"/>
        </w:tabs>
        <w:ind w:left="2745" w:hanging="420"/>
      </w:pPr>
      <w:rPr>
        <w:rFonts w:ascii="Wingdings" w:hAnsi="Wingdings" w:hint="default"/>
      </w:rPr>
    </w:lvl>
    <w:lvl w:ilvl="5" w:tplc="04090005" w:tentative="1">
      <w:start w:val="1"/>
      <w:numFmt w:val="bullet"/>
      <w:lvlText w:val=""/>
      <w:lvlJc w:val="left"/>
      <w:pPr>
        <w:tabs>
          <w:tab w:val="num" w:pos="3165"/>
        </w:tabs>
        <w:ind w:left="3165" w:hanging="420"/>
      </w:pPr>
      <w:rPr>
        <w:rFonts w:ascii="Wingdings" w:hAnsi="Wingdings" w:hint="default"/>
      </w:rPr>
    </w:lvl>
    <w:lvl w:ilvl="6" w:tplc="04090001" w:tentative="1">
      <w:start w:val="1"/>
      <w:numFmt w:val="bullet"/>
      <w:lvlText w:val=""/>
      <w:lvlJc w:val="left"/>
      <w:pPr>
        <w:tabs>
          <w:tab w:val="num" w:pos="3585"/>
        </w:tabs>
        <w:ind w:left="3585" w:hanging="420"/>
      </w:pPr>
      <w:rPr>
        <w:rFonts w:ascii="Wingdings" w:hAnsi="Wingdings" w:hint="default"/>
      </w:rPr>
    </w:lvl>
    <w:lvl w:ilvl="7" w:tplc="04090003" w:tentative="1">
      <w:start w:val="1"/>
      <w:numFmt w:val="bullet"/>
      <w:lvlText w:val=""/>
      <w:lvlJc w:val="left"/>
      <w:pPr>
        <w:tabs>
          <w:tab w:val="num" w:pos="4005"/>
        </w:tabs>
        <w:ind w:left="4005" w:hanging="420"/>
      </w:pPr>
      <w:rPr>
        <w:rFonts w:ascii="Wingdings" w:hAnsi="Wingdings" w:hint="default"/>
      </w:rPr>
    </w:lvl>
    <w:lvl w:ilvl="8" w:tplc="04090005" w:tentative="1">
      <w:start w:val="1"/>
      <w:numFmt w:val="bullet"/>
      <w:lvlText w:val=""/>
      <w:lvlJc w:val="left"/>
      <w:pPr>
        <w:tabs>
          <w:tab w:val="num" w:pos="4425"/>
        </w:tabs>
        <w:ind w:left="4425" w:hanging="420"/>
      </w:pPr>
      <w:rPr>
        <w:rFonts w:ascii="Wingdings" w:hAnsi="Wingdings" w:hint="default"/>
      </w:rPr>
    </w:lvl>
  </w:abstractNum>
  <w:abstractNum w:abstractNumId="279">
    <w:nsid w:val="10733CC3"/>
    <w:multiLevelType w:val="hybridMultilevel"/>
    <w:tmpl w:val="19D2CF60"/>
    <w:lvl w:ilvl="0" w:tplc="EFAC3516">
      <w:start w:val="1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80">
    <w:nsid w:val="108024FC"/>
    <w:multiLevelType w:val="hybridMultilevel"/>
    <w:tmpl w:val="45E4CC06"/>
    <w:lvl w:ilvl="0" w:tplc="92D6958A">
      <w:numFmt w:val="bullet"/>
      <w:lvlText w:val="●"/>
      <w:lvlJc w:val="left"/>
      <w:pPr>
        <w:tabs>
          <w:tab w:val="num" w:pos="785"/>
        </w:tabs>
        <w:ind w:left="785" w:hanging="36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81">
    <w:nsid w:val="108D1F3E"/>
    <w:multiLevelType w:val="multilevel"/>
    <w:tmpl w:val="905E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nsid w:val="10944088"/>
    <w:multiLevelType w:val="multilevel"/>
    <w:tmpl w:val="B8B0F11A"/>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3">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284">
    <w:nsid w:val="10AE115E"/>
    <w:multiLevelType w:val="multilevel"/>
    <w:tmpl w:val="8A72B59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5">
    <w:nsid w:val="10B05B4C"/>
    <w:multiLevelType w:val="hybridMultilevel"/>
    <w:tmpl w:val="F4C4C7A0"/>
    <w:lvl w:ilvl="0" w:tplc="81508014">
      <w:start w:val="109"/>
      <w:numFmt w:val="decimal"/>
      <w:lvlText w:val="%1."/>
      <w:lvlJc w:val="left"/>
      <w:pPr>
        <w:tabs>
          <w:tab w:val="num" w:pos="720"/>
        </w:tabs>
        <w:ind w:left="720" w:hanging="360"/>
      </w:pPr>
      <w:rPr>
        <w:rFonts w:hint="default"/>
        <w:b/>
        <w:i w:val="0"/>
      </w:rPr>
    </w:lvl>
    <w:lvl w:ilvl="1" w:tplc="ECF653A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6">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287">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88">
    <w:nsid w:val="10F52C55"/>
    <w:multiLevelType w:val="multilevel"/>
    <w:tmpl w:val="FB98969A"/>
    <w:lvl w:ilvl="0">
      <w:start w:val="1"/>
      <w:numFmt w:val="bullet"/>
      <w:lvlText w:val=""/>
      <w:lvlJc w:val="left"/>
      <w:pPr>
        <w:tabs>
          <w:tab w:val="num" w:pos="757"/>
        </w:tabs>
        <w:ind w:left="757" w:hanging="397"/>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89">
    <w:nsid w:val="10FC3877"/>
    <w:multiLevelType w:val="multilevel"/>
    <w:tmpl w:val="D3F4AF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0">
    <w:nsid w:val="11076EBA"/>
    <w:multiLevelType w:val="multilevel"/>
    <w:tmpl w:val="23E0AAFC"/>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1">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92">
    <w:nsid w:val="110D5D62"/>
    <w:multiLevelType w:val="multilevel"/>
    <w:tmpl w:val="7114AC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3">
    <w:nsid w:val="111224EB"/>
    <w:multiLevelType w:val="hybridMultilevel"/>
    <w:tmpl w:val="16B47F46"/>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4">
    <w:nsid w:val="111803E2"/>
    <w:multiLevelType w:val="hybridMultilevel"/>
    <w:tmpl w:val="4C2A56FA"/>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95">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6">
    <w:nsid w:val="115F17DB"/>
    <w:multiLevelType w:val="hybridMultilevel"/>
    <w:tmpl w:val="B8D08EEA"/>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7">
    <w:nsid w:val="1163236C"/>
    <w:multiLevelType w:val="hybridMultilevel"/>
    <w:tmpl w:val="C17E88C2"/>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298">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9">
    <w:nsid w:val="117905BB"/>
    <w:multiLevelType w:val="hybridMultilevel"/>
    <w:tmpl w:val="200E454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00">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301">
    <w:nsid w:val="118008E2"/>
    <w:multiLevelType w:val="multilevel"/>
    <w:tmpl w:val="09B6F8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2">
    <w:nsid w:val="118A0F4D"/>
    <w:multiLevelType w:val="hybridMultilevel"/>
    <w:tmpl w:val="7BDE50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3">
    <w:nsid w:val="118F3F79"/>
    <w:multiLevelType w:val="hybridMultilevel"/>
    <w:tmpl w:val="F06E748C"/>
    <w:lvl w:ilvl="0" w:tplc="2F72871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04">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05">
    <w:nsid w:val="11CF5A97"/>
    <w:multiLevelType w:val="hybridMultilevel"/>
    <w:tmpl w:val="2C9E1AA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306">
    <w:nsid w:val="11D843ED"/>
    <w:multiLevelType w:val="hybridMultilevel"/>
    <w:tmpl w:val="84926FF4"/>
    <w:lvl w:ilvl="0" w:tplc="F9944CE0">
      <w:start w:val="193"/>
      <w:numFmt w:val="decimal"/>
      <w:lvlText w:val="%1."/>
      <w:lvlJc w:val="left"/>
      <w:pPr>
        <w:tabs>
          <w:tab w:val="num" w:pos="372"/>
        </w:tabs>
        <w:ind w:left="372" w:hanging="37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7">
    <w:nsid w:val="11FD50B9"/>
    <w:multiLevelType w:val="hybridMultilevel"/>
    <w:tmpl w:val="3EC0C47E"/>
    <w:lvl w:ilvl="0" w:tplc="FFFFFFFF">
      <w:start w:val="2"/>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08">
    <w:nsid w:val="121309CC"/>
    <w:multiLevelType w:val="multilevel"/>
    <w:tmpl w:val="0A5CBD70"/>
    <w:lvl w:ilvl="0">
      <w:start w:val="7"/>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9">
    <w:nsid w:val="12230646"/>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310">
    <w:nsid w:val="12283629"/>
    <w:multiLevelType w:val="hybridMultilevel"/>
    <w:tmpl w:val="1568A12A"/>
    <w:lvl w:ilvl="0" w:tplc="93303F2E">
      <w:start w:val="1"/>
      <w:numFmt w:val="decimal"/>
      <w:lvlText w:val="%1．"/>
      <w:lvlJc w:val="left"/>
      <w:pPr>
        <w:tabs>
          <w:tab w:val="num" w:pos="1452"/>
        </w:tabs>
        <w:ind w:left="1452" w:hanging="372"/>
      </w:pPr>
      <w:rPr>
        <w:rFonts w:eastAsia="SimSun" w:hint="eastAsia"/>
      </w:rPr>
    </w:lvl>
    <w:lvl w:ilvl="1" w:tplc="04090019" w:tentative="1">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311">
    <w:nsid w:val="124479CF"/>
    <w:multiLevelType w:val="singleLevel"/>
    <w:tmpl w:val="66FC3666"/>
    <w:lvl w:ilvl="0">
      <w:start w:val="1"/>
      <w:numFmt w:val="lowerLetter"/>
      <w:lvlText w:val="(%1)"/>
      <w:legacy w:legacy="1" w:legacySpace="0" w:legacyIndent="425"/>
      <w:lvlJc w:val="left"/>
      <w:pPr>
        <w:ind w:left="1446" w:hanging="425"/>
      </w:pPr>
    </w:lvl>
  </w:abstractNum>
  <w:abstractNum w:abstractNumId="312">
    <w:nsid w:val="1268608B"/>
    <w:multiLevelType w:val="hybridMultilevel"/>
    <w:tmpl w:val="9DBA9694"/>
    <w:lvl w:ilvl="0" w:tplc="199CFCB6">
      <w:start w:val="13"/>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13">
    <w:nsid w:val="12811990"/>
    <w:multiLevelType w:val="multilevel"/>
    <w:tmpl w:val="F8F20A86"/>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4">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5">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316">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7">
    <w:nsid w:val="12CA0588"/>
    <w:multiLevelType w:val="hybridMultilevel"/>
    <w:tmpl w:val="3D14A2E0"/>
    <w:lvl w:ilvl="0" w:tplc="89282E8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8">
    <w:nsid w:val="12F61DD1"/>
    <w:multiLevelType w:val="hybridMultilevel"/>
    <w:tmpl w:val="1584AC3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19">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0">
    <w:nsid w:val="13153CBD"/>
    <w:multiLevelType w:val="hybridMultilevel"/>
    <w:tmpl w:val="DB3C2788"/>
    <w:lvl w:ilvl="0" w:tplc="04090003">
      <w:start w:val="1"/>
      <w:numFmt w:val="bullet"/>
      <w:lvlText w:val=""/>
      <w:lvlJc w:val="left"/>
      <w:pPr>
        <w:tabs>
          <w:tab w:val="num" w:pos="1470"/>
        </w:tabs>
        <w:ind w:left="1470" w:hanging="420"/>
      </w:pPr>
      <w:rPr>
        <w:rFonts w:ascii="Wingdings" w:hAnsi="Wingdings" w:hint="default"/>
      </w:rPr>
    </w:lvl>
    <w:lvl w:ilvl="1" w:tplc="0409000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321">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322">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23">
    <w:nsid w:val="13321F42"/>
    <w:multiLevelType w:val="hybridMultilevel"/>
    <w:tmpl w:val="774C1668"/>
    <w:lvl w:ilvl="0" w:tplc="F0464F6C">
      <w:numFmt w:val="bullet"/>
      <w:lvlText w:val="-"/>
      <w:lvlJc w:val="left"/>
      <w:pPr>
        <w:tabs>
          <w:tab w:val="num" w:pos="840"/>
        </w:tabs>
        <w:ind w:left="840" w:hanging="42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4">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5">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26">
    <w:nsid w:val="137C1F0C"/>
    <w:multiLevelType w:val="singleLevel"/>
    <w:tmpl w:val="66FC3666"/>
    <w:lvl w:ilvl="0">
      <w:start w:val="1"/>
      <w:numFmt w:val="lowerLetter"/>
      <w:lvlText w:val="(%1)"/>
      <w:legacy w:legacy="1" w:legacySpace="0" w:legacyIndent="425"/>
      <w:lvlJc w:val="left"/>
      <w:pPr>
        <w:ind w:left="1446" w:hanging="425"/>
      </w:pPr>
    </w:lvl>
  </w:abstractNum>
  <w:abstractNum w:abstractNumId="327">
    <w:nsid w:val="137C3E68"/>
    <w:multiLevelType w:val="hybridMultilevel"/>
    <w:tmpl w:val="97C6EBA8"/>
    <w:lvl w:ilvl="0" w:tplc="D6C24A1E">
      <w:start w:val="1"/>
      <w:numFmt w:val="lowerLetter"/>
      <w:lvlText w:val="%1．"/>
      <w:lvlJc w:val="left"/>
      <w:pPr>
        <w:tabs>
          <w:tab w:val="num" w:pos="360"/>
        </w:tabs>
        <w:ind w:left="360" w:hanging="360"/>
      </w:pPr>
      <w:rPr>
        <w:rFonts w:hint="default"/>
      </w:rPr>
    </w:lvl>
    <w:lvl w:ilvl="1" w:tplc="E1226D46">
      <w:start w:val="1"/>
      <w:numFmt w:val="lowerLetter"/>
      <w:lvlText w:val="%2）"/>
      <w:lvlJc w:val="left"/>
      <w:pPr>
        <w:tabs>
          <w:tab w:val="num" w:pos="780"/>
        </w:tabs>
        <w:ind w:left="780" w:hanging="360"/>
      </w:pPr>
      <w:rPr>
        <w:rFonts w:hint="default"/>
      </w:rPr>
    </w:lvl>
    <w:lvl w:ilvl="2" w:tplc="3570852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8">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329">
    <w:nsid w:val="139C74FC"/>
    <w:multiLevelType w:val="singleLevel"/>
    <w:tmpl w:val="66FC3666"/>
    <w:lvl w:ilvl="0">
      <w:start w:val="1"/>
      <w:numFmt w:val="lowerLetter"/>
      <w:lvlText w:val="(%1)"/>
      <w:legacy w:legacy="1" w:legacySpace="0" w:legacyIndent="425"/>
      <w:lvlJc w:val="left"/>
      <w:pPr>
        <w:ind w:left="1446" w:hanging="425"/>
      </w:pPr>
    </w:lvl>
  </w:abstractNum>
  <w:abstractNum w:abstractNumId="330">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1">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32">
    <w:nsid w:val="13DF7D15"/>
    <w:multiLevelType w:val="multilevel"/>
    <w:tmpl w:val="C9C2A5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33">
    <w:nsid w:val="13E20400"/>
    <w:multiLevelType w:val="hybridMultilevel"/>
    <w:tmpl w:val="54E65B8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34">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35">
    <w:nsid w:val="13E67F91"/>
    <w:multiLevelType w:val="hybridMultilevel"/>
    <w:tmpl w:val="67B860B6"/>
    <w:lvl w:ilvl="0" w:tplc="AC04BA7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6">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7">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38">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339">
    <w:nsid w:val="143C67EA"/>
    <w:multiLevelType w:val="multilevel"/>
    <w:tmpl w:val="78420E2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40">
    <w:nsid w:val="146638A9"/>
    <w:multiLevelType w:val="hybridMultilevel"/>
    <w:tmpl w:val="06A4172E"/>
    <w:lvl w:ilvl="0" w:tplc="73ECA5E6">
      <w:start w:val="16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1">
    <w:nsid w:val="14CE5590"/>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342">
    <w:nsid w:val="14F5204A"/>
    <w:multiLevelType w:val="hybridMultilevel"/>
    <w:tmpl w:val="B746B07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3">
    <w:nsid w:val="15102BBA"/>
    <w:multiLevelType w:val="hybridMultilevel"/>
    <w:tmpl w:val="8A8493F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4">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5">
    <w:nsid w:val="15186156"/>
    <w:multiLevelType w:val="singleLevel"/>
    <w:tmpl w:val="64A0AA2E"/>
    <w:lvl w:ilvl="0">
      <w:start w:val="1"/>
      <w:numFmt w:val="bullet"/>
      <w:lvlText w:val=""/>
      <w:lvlJc w:val="left"/>
      <w:pPr>
        <w:tabs>
          <w:tab w:val="num" w:pos="360"/>
        </w:tabs>
        <w:ind w:left="357" w:hanging="357"/>
      </w:pPr>
      <w:rPr>
        <w:rFonts w:ascii="Symbol" w:hAnsi="Symbol" w:cs="Times New Roman" w:hint="default"/>
      </w:rPr>
    </w:lvl>
  </w:abstractNum>
  <w:abstractNum w:abstractNumId="346">
    <w:nsid w:val="151919A5"/>
    <w:multiLevelType w:val="hybridMultilevel"/>
    <w:tmpl w:val="29E81D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347">
    <w:nsid w:val="15261534"/>
    <w:multiLevelType w:val="multilevel"/>
    <w:tmpl w:val="D8D27CA8"/>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8">
    <w:nsid w:val="15326351"/>
    <w:multiLevelType w:val="multilevel"/>
    <w:tmpl w:val="E4808B8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349">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350">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351">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352">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353">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354">
    <w:nsid w:val="15B02805"/>
    <w:multiLevelType w:val="hybridMultilevel"/>
    <w:tmpl w:val="025AB46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5">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6">
    <w:nsid w:val="15C55794"/>
    <w:multiLevelType w:val="hybridMultilevel"/>
    <w:tmpl w:val="97DE8672"/>
    <w:lvl w:ilvl="0" w:tplc="CD9A2C80">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7">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358">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359">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360">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61">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62">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63">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4">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5">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6">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67">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8">
    <w:nsid w:val="167D7D0B"/>
    <w:multiLevelType w:val="hybridMultilevel"/>
    <w:tmpl w:val="E3AA9B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9">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0">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371">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72">
    <w:nsid w:val="169747CC"/>
    <w:multiLevelType w:val="hybridMultilevel"/>
    <w:tmpl w:val="A1DCFED4"/>
    <w:lvl w:ilvl="0" w:tplc="FF70387A">
      <w:start w:val="1148"/>
      <w:numFmt w:val="decimal"/>
      <w:lvlText w:val="%1．"/>
      <w:lvlJc w:val="left"/>
      <w:pPr>
        <w:tabs>
          <w:tab w:val="num" w:pos="840"/>
        </w:tabs>
        <w:ind w:left="840" w:hanging="840"/>
      </w:pPr>
      <w:rPr>
        <w:rFonts w:hint="default"/>
      </w:rPr>
    </w:lvl>
    <w:lvl w:ilvl="1" w:tplc="CD98C8DC">
      <w:start w:val="42"/>
      <w:numFmt w:val="decimal"/>
      <w:lvlText w:val="%2．"/>
      <w:lvlJc w:val="left"/>
      <w:pPr>
        <w:tabs>
          <w:tab w:val="num" w:pos="810"/>
        </w:tabs>
        <w:ind w:left="810" w:hanging="39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3">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4">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5">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6">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77">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78">
    <w:nsid w:val="170C549E"/>
    <w:multiLevelType w:val="singleLevel"/>
    <w:tmpl w:val="01325DD6"/>
    <w:lvl w:ilvl="0">
      <w:start w:val="1"/>
      <w:numFmt w:val="lowerLetter"/>
      <w:lvlText w:val="(%1)"/>
      <w:lvlJc w:val="left"/>
      <w:pPr>
        <w:tabs>
          <w:tab w:val="num" w:pos="720"/>
        </w:tabs>
        <w:ind w:left="720" w:hanging="720"/>
      </w:pPr>
    </w:lvl>
  </w:abstractNum>
  <w:abstractNum w:abstractNumId="379">
    <w:nsid w:val="170F4B16"/>
    <w:multiLevelType w:val="multilevel"/>
    <w:tmpl w:val="C4B27A7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0">
    <w:nsid w:val="17351184"/>
    <w:multiLevelType w:val="hybridMultilevel"/>
    <w:tmpl w:val="52002710"/>
    <w:lvl w:ilvl="0" w:tplc="041D0001">
      <w:start w:val="1"/>
      <w:numFmt w:val="bullet"/>
      <w:lvlText w:val=""/>
      <w:lvlJc w:val="left"/>
      <w:pPr>
        <w:tabs>
          <w:tab w:val="num" w:pos="780"/>
        </w:tabs>
        <w:ind w:left="780" w:hanging="360"/>
      </w:pPr>
      <w:rPr>
        <w:rFonts w:ascii="Symbol" w:hAnsi="Symbol" w:cs="Symbol" w:hint="default"/>
      </w:rPr>
    </w:lvl>
    <w:lvl w:ilvl="1" w:tplc="041D0003">
      <w:start w:val="1"/>
      <w:numFmt w:val="bullet"/>
      <w:lvlText w:val="o"/>
      <w:lvlJc w:val="left"/>
      <w:pPr>
        <w:tabs>
          <w:tab w:val="num" w:pos="1500"/>
        </w:tabs>
        <w:ind w:left="1500" w:hanging="360"/>
      </w:pPr>
      <w:rPr>
        <w:rFonts w:ascii="Courier New" w:hAnsi="Courier New" w:cs="Courier New" w:hint="default"/>
      </w:rPr>
    </w:lvl>
    <w:lvl w:ilvl="2" w:tplc="041D0005">
      <w:start w:val="1"/>
      <w:numFmt w:val="bullet"/>
      <w:lvlText w:val=""/>
      <w:lvlJc w:val="left"/>
      <w:pPr>
        <w:tabs>
          <w:tab w:val="num" w:pos="2220"/>
        </w:tabs>
        <w:ind w:left="2220" w:hanging="360"/>
      </w:pPr>
      <w:rPr>
        <w:rFonts w:ascii="Times New Roman" w:hAnsi="Times New Roman" w:cs="Times New Roman" w:hint="default"/>
      </w:rPr>
    </w:lvl>
    <w:lvl w:ilvl="3" w:tplc="041D0001">
      <w:start w:val="1"/>
      <w:numFmt w:val="bullet"/>
      <w:lvlText w:val=""/>
      <w:lvlJc w:val="left"/>
      <w:pPr>
        <w:tabs>
          <w:tab w:val="num" w:pos="2940"/>
        </w:tabs>
        <w:ind w:left="2940" w:hanging="360"/>
      </w:pPr>
      <w:rPr>
        <w:rFonts w:ascii="Symbol" w:hAnsi="Symbol" w:cs="Symbol" w:hint="default"/>
      </w:rPr>
    </w:lvl>
    <w:lvl w:ilvl="4" w:tplc="041D0003">
      <w:start w:val="1"/>
      <w:numFmt w:val="bullet"/>
      <w:lvlText w:val="o"/>
      <w:lvlJc w:val="left"/>
      <w:pPr>
        <w:tabs>
          <w:tab w:val="num" w:pos="3660"/>
        </w:tabs>
        <w:ind w:left="3660" w:hanging="360"/>
      </w:pPr>
      <w:rPr>
        <w:rFonts w:ascii="Courier New" w:hAnsi="Courier New" w:cs="Courier New" w:hint="default"/>
      </w:rPr>
    </w:lvl>
    <w:lvl w:ilvl="5" w:tplc="041D0005">
      <w:start w:val="1"/>
      <w:numFmt w:val="bullet"/>
      <w:lvlText w:val=""/>
      <w:lvlJc w:val="left"/>
      <w:pPr>
        <w:tabs>
          <w:tab w:val="num" w:pos="4380"/>
        </w:tabs>
        <w:ind w:left="4380" w:hanging="360"/>
      </w:pPr>
      <w:rPr>
        <w:rFonts w:ascii="Times New Roman" w:hAnsi="Times New Roman" w:cs="Times New Roman" w:hint="default"/>
      </w:rPr>
    </w:lvl>
    <w:lvl w:ilvl="6" w:tplc="041D0001">
      <w:start w:val="1"/>
      <w:numFmt w:val="bullet"/>
      <w:lvlText w:val=""/>
      <w:lvlJc w:val="left"/>
      <w:pPr>
        <w:tabs>
          <w:tab w:val="num" w:pos="5100"/>
        </w:tabs>
        <w:ind w:left="5100" w:hanging="360"/>
      </w:pPr>
      <w:rPr>
        <w:rFonts w:ascii="Symbol" w:hAnsi="Symbol" w:cs="Symbol" w:hint="default"/>
      </w:rPr>
    </w:lvl>
    <w:lvl w:ilvl="7" w:tplc="041D0003">
      <w:start w:val="1"/>
      <w:numFmt w:val="bullet"/>
      <w:lvlText w:val="o"/>
      <w:lvlJc w:val="left"/>
      <w:pPr>
        <w:tabs>
          <w:tab w:val="num" w:pos="5820"/>
        </w:tabs>
        <w:ind w:left="5820" w:hanging="360"/>
      </w:pPr>
      <w:rPr>
        <w:rFonts w:ascii="Courier New" w:hAnsi="Courier New" w:cs="Courier New" w:hint="default"/>
      </w:rPr>
    </w:lvl>
    <w:lvl w:ilvl="8" w:tplc="041D0005">
      <w:start w:val="1"/>
      <w:numFmt w:val="bullet"/>
      <w:lvlText w:val=""/>
      <w:lvlJc w:val="left"/>
      <w:pPr>
        <w:tabs>
          <w:tab w:val="num" w:pos="6540"/>
        </w:tabs>
        <w:ind w:left="6540" w:hanging="360"/>
      </w:pPr>
      <w:rPr>
        <w:rFonts w:ascii="Times New Roman" w:hAnsi="Times New Roman" w:cs="Times New Roman" w:hint="default"/>
      </w:rPr>
    </w:lvl>
  </w:abstractNum>
  <w:abstractNum w:abstractNumId="381">
    <w:nsid w:val="17777713"/>
    <w:multiLevelType w:val="hybridMultilevel"/>
    <w:tmpl w:val="C7ACAF26"/>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2">
    <w:nsid w:val="17803D20"/>
    <w:multiLevelType w:val="hybridMultilevel"/>
    <w:tmpl w:val="BB8A3A6E"/>
    <w:lvl w:ilvl="0" w:tplc="A9BE620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83">
    <w:nsid w:val="17AE155E"/>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4">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85">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86">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7">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388">
    <w:nsid w:val="17E1360D"/>
    <w:multiLevelType w:val="hybridMultilevel"/>
    <w:tmpl w:val="A3FA59F0"/>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9">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90">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391">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392">
    <w:nsid w:val="183D12D7"/>
    <w:multiLevelType w:val="singleLevel"/>
    <w:tmpl w:val="66FC3666"/>
    <w:lvl w:ilvl="0">
      <w:start w:val="1"/>
      <w:numFmt w:val="lowerLetter"/>
      <w:lvlText w:val="(%1)"/>
      <w:legacy w:legacy="1" w:legacySpace="0" w:legacyIndent="425"/>
      <w:lvlJc w:val="left"/>
      <w:pPr>
        <w:ind w:left="1446" w:hanging="425"/>
      </w:pPr>
    </w:lvl>
  </w:abstractNum>
  <w:abstractNum w:abstractNumId="393">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4">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95">
    <w:nsid w:val="185364D1"/>
    <w:multiLevelType w:val="hybridMultilevel"/>
    <w:tmpl w:val="F3D85DA4"/>
    <w:lvl w:ilvl="0" w:tplc="94E2188C">
      <w:start w:val="1113"/>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6">
    <w:nsid w:val="188E253B"/>
    <w:multiLevelType w:val="singleLevel"/>
    <w:tmpl w:val="66FC3666"/>
    <w:lvl w:ilvl="0">
      <w:start w:val="1"/>
      <w:numFmt w:val="lowerLetter"/>
      <w:lvlText w:val="(%1)"/>
      <w:legacy w:legacy="1" w:legacySpace="0" w:legacyIndent="425"/>
      <w:lvlJc w:val="left"/>
      <w:pPr>
        <w:ind w:left="1446" w:hanging="425"/>
      </w:pPr>
    </w:lvl>
  </w:abstractNum>
  <w:abstractNum w:abstractNumId="397">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98">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99">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400">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01">
    <w:nsid w:val="18EB37E1"/>
    <w:multiLevelType w:val="singleLevel"/>
    <w:tmpl w:val="66FC3666"/>
    <w:lvl w:ilvl="0">
      <w:start w:val="1"/>
      <w:numFmt w:val="lowerLetter"/>
      <w:lvlText w:val="(%1)"/>
      <w:legacy w:legacy="1" w:legacySpace="0" w:legacyIndent="425"/>
      <w:lvlJc w:val="left"/>
      <w:pPr>
        <w:ind w:left="1446" w:hanging="425"/>
      </w:pPr>
    </w:lvl>
  </w:abstractNum>
  <w:abstractNum w:abstractNumId="402">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03">
    <w:nsid w:val="19157364"/>
    <w:multiLevelType w:val="hybridMultilevel"/>
    <w:tmpl w:val="20B6693E"/>
    <w:lvl w:ilvl="0" w:tplc="3AF0854C">
      <w:start w:val="1"/>
      <w:numFmt w:val="lowerLetter"/>
      <w:lvlText w:val="（%1）"/>
      <w:lvlJc w:val="left"/>
      <w:pPr>
        <w:tabs>
          <w:tab w:val="num" w:pos="1560"/>
        </w:tabs>
        <w:ind w:left="1560" w:hanging="72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04">
    <w:nsid w:val="1917501F"/>
    <w:multiLevelType w:val="multilevel"/>
    <w:tmpl w:val="F7006B94"/>
    <w:lvl w:ilvl="0">
      <w:start w:val="6"/>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440"/>
        </w:tabs>
        <w:ind w:left="1440" w:hanging="144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2160"/>
        </w:tabs>
        <w:ind w:left="2160" w:hanging="216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405">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406">
    <w:nsid w:val="19230AA0"/>
    <w:multiLevelType w:val="hybridMultilevel"/>
    <w:tmpl w:val="B91AA77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7">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408">
    <w:nsid w:val="194C2777"/>
    <w:multiLevelType w:val="hybridMultilevel"/>
    <w:tmpl w:val="4904A4E6"/>
    <w:lvl w:ilvl="0" w:tplc="299CB982">
      <w:start w:val="5"/>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09">
    <w:nsid w:val="194F236A"/>
    <w:multiLevelType w:val="hybridMultilevel"/>
    <w:tmpl w:val="882C6570"/>
    <w:lvl w:ilvl="0" w:tplc="79727470">
      <w:start w:val="1059"/>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0">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411">
    <w:nsid w:val="19626B66"/>
    <w:multiLevelType w:val="hybridMultilevel"/>
    <w:tmpl w:val="33B625C8"/>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412">
    <w:nsid w:val="196E3733"/>
    <w:multiLevelType w:val="hybridMultilevel"/>
    <w:tmpl w:val="E69EDAC0"/>
    <w:lvl w:ilvl="0" w:tplc="FD38EAE4">
      <w:start w:val="1"/>
      <w:numFmt w:val="decimal"/>
      <w:lvlText w:val="%1．"/>
      <w:lvlJc w:val="left"/>
      <w:pPr>
        <w:tabs>
          <w:tab w:val="num" w:pos="600"/>
        </w:tabs>
        <w:ind w:left="600" w:hanging="360"/>
      </w:pPr>
      <w:rPr>
        <w:rFonts w:hint="eastAsia"/>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413">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4">
    <w:nsid w:val="19A63D56"/>
    <w:multiLevelType w:val="hybridMultilevel"/>
    <w:tmpl w:val="7A5454C6"/>
    <w:lvl w:ilvl="0" w:tplc="9350F382">
      <w:start w:val="12"/>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15">
    <w:nsid w:val="19C845D5"/>
    <w:multiLevelType w:val="hybridMultilevel"/>
    <w:tmpl w:val="28A0ECA8"/>
    <w:lvl w:ilvl="0" w:tplc="C3204A7E">
      <w:start w:val="123"/>
      <w:numFmt w:val="decimal"/>
      <w:lvlText w:val="第%1条"/>
      <w:lvlJc w:val="left"/>
      <w:pPr>
        <w:tabs>
          <w:tab w:val="num" w:pos="1080"/>
        </w:tabs>
        <w:ind w:left="1080" w:hanging="1080"/>
      </w:pPr>
      <w:rPr>
        <w:rFonts w:hint="eastAsia"/>
      </w:rPr>
    </w:lvl>
    <w:lvl w:ilvl="1" w:tplc="809A34BA">
      <w:start w:val="173"/>
      <w:numFmt w:val="decimal"/>
      <w:lvlText w:val="第%2条．"/>
      <w:lvlJc w:val="left"/>
      <w:pPr>
        <w:tabs>
          <w:tab w:val="num" w:pos="1500"/>
        </w:tabs>
        <w:ind w:left="1500" w:hanging="108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6">
    <w:nsid w:val="19D078A1"/>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417">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418">
    <w:nsid w:val="1A074539"/>
    <w:multiLevelType w:val="multilevel"/>
    <w:tmpl w:val="B7C24416"/>
    <w:lvl w:ilvl="0">
      <w:start w:val="11"/>
      <w:numFmt w:val="decimal"/>
      <w:lvlText w:val="%1"/>
      <w:lvlJc w:val="left"/>
      <w:pPr>
        <w:tabs>
          <w:tab w:val="num" w:pos="720"/>
        </w:tabs>
        <w:ind w:left="720" w:hanging="720"/>
      </w:pPr>
      <w:rPr>
        <w:rFonts w:hint="default"/>
      </w:rPr>
    </w:lvl>
    <w:lvl w:ilvl="1">
      <w:start w:val="2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19">
    <w:nsid w:val="1A211540"/>
    <w:multiLevelType w:val="hybridMultilevel"/>
    <w:tmpl w:val="EDEADCB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20">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21">
    <w:nsid w:val="1A864364"/>
    <w:multiLevelType w:val="hybridMultilevel"/>
    <w:tmpl w:val="F154C6CC"/>
    <w:lvl w:ilvl="0" w:tplc="1EAC1D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2">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3">
    <w:nsid w:val="1AAC5EF8"/>
    <w:multiLevelType w:val="multilevel"/>
    <w:tmpl w:val="51EC1B2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24">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5">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426">
    <w:nsid w:val="1B13673B"/>
    <w:multiLevelType w:val="hybridMultilevel"/>
    <w:tmpl w:val="0212BB2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7">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8">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9">
    <w:nsid w:val="1B3E5CEB"/>
    <w:multiLevelType w:val="multilevel"/>
    <w:tmpl w:val="E51031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0">
    <w:nsid w:val="1B4137AF"/>
    <w:multiLevelType w:val="singleLevel"/>
    <w:tmpl w:val="66FC3666"/>
    <w:lvl w:ilvl="0">
      <w:start w:val="1"/>
      <w:numFmt w:val="lowerLetter"/>
      <w:lvlText w:val="(%1)"/>
      <w:legacy w:legacy="1" w:legacySpace="0" w:legacyIndent="425"/>
      <w:lvlJc w:val="left"/>
      <w:pPr>
        <w:ind w:left="1446" w:hanging="425"/>
      </w:pPr>
    </w:lvl>
  </w:abstractNum>
  <w:abstractNum w:abstractNumId="431">
    <w:nsid w:val="1B7A5594"/>
    <w:multiLevelType w:val="hybridMultilevel"/>
    <w:tmpl w:val="02E0ADCC"/>
    <w:lvl w:ilvl="0" w:tplc="A59AA510">
      <w:start w:val="912"/>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2">
    <w:nsid w:val="1B7B6662"/>
    <w:multiLevelType w:val="hybridMultilevel"/>
    <w:tmpl w:val="AB0A4268"/>
    <w:lvl w:ilvl="0" w:tplc="39D613D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3">
    <w:nsid w:val="1B8A45AC"/>
    <w:multiLevelType w:val="hybridMultilevel"/>
    <w:tmpl w:val="10FCE90E"/>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434">
    <w:nsid w:val="1B8F012C"/>
    <w:multiLevelType w:val="hybridMultilevel"/>
    <w:tmpl w:val="46EAF81A"/>
    <w:lvl w:ilvl="0" w:tplc="1A5E0664">
      <w:start w:val="1"/>
      <w:numFmt w:val="bullet"/>
      <w:lvlText w:val=""/>
      <w:lvlJc w:val="left"/>
      <w:pPr>
        <w:tabs>
          <w:tab w:val="num" w:pos="780"/>
        </w:tabs>
        <w:ind w:left="7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5">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436">
    <w:nsid w:val="1B9F6766"/>
    <w:multiLevelType w:val="hybridMultilevel"/>
    <w:tmpl w:val="7CAEBCE8"/>
    <w:lvl w:ilvl="0" w:tplc="E1BC67B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7">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8">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39">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0">
    <w:nsid w:val="1BEF461E"/>
    <w:multiLevelType w:val="hybridMultilevel"/>
    <w:tmpl w:val="69382440"/>
    <w:lvl w:ilvl="0" w:tplc="332A4D3C">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41">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42">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443">
    <w:nsid w:val="1C005FAC"/>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444">
    <w:nsid w:val="1C157640"/>
    <w:multiLevelType w:val="hybridMultilevel"/>
    <w:tmpl w:val="A29E0BA4"/>
    <w:lvl w:ilvl="0" w:tplc="8EB064B4">
      <w:start w:val="25"/>
      <w:numFmt w:val="bullet"/>
      <w:lvlText w:val=""/>
      <w:lvlJc w:val="left"/>
      <w:pPr>
        <w:tabs>
          <w:tab w:val="num" w:pos="360"/>
        </w:tabs>
        <w:ind w:left="36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5">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46">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7">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448">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9">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50">
    <w:nsid w:val="1C801598"/>
    <w:multiLevelType w:val="multilevel"/>
    <w:tmpl w:val="4EDE0BE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1">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452">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53">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54">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5">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456">
    <w:nsid w:val="1CA7728F"/>
    <w:multiLevelType w:val="singleLevel"/>
    <w:tmpl w:val="66FC3666"/>
    <w:lvl w:ilvl="0">
      <w:start w:val="1"/>
      <w:numFmt w:val="lowerLetter"/>
      <w:lvlText w:val="(%1)"/>
      <w:legacy w:legacy="1" w:legacySpace="0" w:legacyIndent="425"/>
      <w:lvlJc w:val="left"/>
      <w:pPr>
        <w:ind w:left="1446" w:hanging="425"/>
      </w:pPr>
    </w:lvl>
  </w:abstractNum>
  <w:abstractNum w:abstractNumId="457">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8">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59">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0">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1">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2">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63">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464">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5">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6">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7">
    <w:nsid w:val="1D904642"/>
    <w:multiLevelType w:val="hybridMultilevel"/>
    <w:tmpl w:val="717625C0"/>
    <w:lvl w:ilvl="0" w:tplc="6018FDE2">
      <w:start w:val="637"/>
      <w:numFmt w:val="decimal"/>
      <w:lvlText w:val="%1."/>
      <w:lvlJc w:val="left"/>
      <w:pPr>
        <w:tabs>
          <w:tab w:val="num" w:pos="841"/>
        </w:tabs>
        <w:ind w:left="841" w:hanging="840"/>
      </w:pPr>
      <w:rPr>
        <w:rFonts w:hint="default"/>
      </w:rPr>
    </w:lvl>
    <w:lvl w:ilvl="1" w:tplc="04090019" w:tentative="1">
      <w:start w:val="1"/>
      <w:numFmt w:val="lowerLetter"/>
      <w:lvlText w:val="%2)"/>
      <w:lvlJc w:val="left"/>
      <w:pPr>
        <w:tabs>
          <w:tab w:val="num" w:pos="841"/>
        </w:tabs>
        <w:ind w:left="841" w:hanging="420"/>
      </w:pPr>
    </w:lvl>
    <w:lvl w:ilvl="2" w:tplc="0409001B" w:tentative="1">
      <w:start w:val="1"/>
      <w:numFmt w:val="lowerRoman"/>
      <w:lvlText w:val="%3."/>
      <w:lvlJc w:val="right"/>
      <w:pPr>
        <w:tabs>
          <w:tab w:val="num" w:pos="1261"/>
        </w:tabs>
        <w:ind w:left="1261" w:hanging="420"/>
      </w:pPr>
    </w:lvl>
    <w:lvl w:ilvl="3" w:tplc="0409000F" w:tentative="1">
      <w:start w:val="1"/>
      <w:numFmt w:val="decimal"/>
      <w:lvlText w:val="%4."/>
      <w:lvlJc w:val="left"/>
      <w:pPr>
        <w:tabs>
          <w:tab w:val="num" w:pos="1681"/>
        </w:tabs>
        <w:ind w:left="1681" w:hanging="420"/>
      </w:pPr>
    </w:lvl>
    <w:lvl w:ilvl="4" w:tplc="04090019" w:tentative="1">
      <w:start w:val="1"/>
      <w:numFmt w:val="lowerLetter"/>
      <w:lvlText w:val="%5)"/>
      <w:lvlJc w:val="left"/>
      <w:pPr>
        <w:tabs>
          <w:tab w:val="num" w:pos="2101"/>
        </w:tabs>
        <w:ind w:left="2101" w:hanging="420"/>
      </w:pPr>
    </w:lvl>
    <w:lvl w:ilvl="5" w:tplc="0409001B" w:tentative="1">
      <w:start w:val="1"/>
      <w:numFmt w:val="lowerRoman"/>
      <w:lvlText w:val="%6."/>
      <w:lvlJc w:val="right"/>
      <w:pPr>
        <w:tabs>
          <w:tab w:val="num" w:pos="2521"/>
        </w:tabs>
        <w:ind w:left="2521" w:hanging="420"/>
      </w:pPr>
    </w:lvl>
    <w:lvl w:ilvl="6" w:tplc="0409000F" w:tentative="1">
      <w:start w:val="1"/>
      <w:numFmt w:val="decimal"/>
      <w:lvlText w:val="%7."/>
      <w:lvlJc w:val="left"/>
      <w:pPr>
        <w:tabs>
          <w:tab w:val="num" w:pos="2941"/>
        </w:tabs>
        <w:ind w:left="2941" w:hanging="420"/>
      </w:pPr>
    </w:lvl>
    <w:lvl w:ilvl="7" w:tplc="04090019" w:tentative="1">
      <w:start w:val="1"/>
      <w:numFmt w:val="lowerLetter"/>
      <w:lvlText w:val="%8)"/>
      <w:lvlJc w:val="left"/>
      <w:pPr>
        <w:tabs>
          <w:tab w:val="num" w:pos="3361"/>
        </w:tabs>
        <w:ind w:left="3361" w:hanging="420"/>
      </w:pPr>
    </w:lvl>
    <w:lvl w:ilvl="8" w:tplc="0409001B" w:tentative="1">
      <w:start w:val="1"/>
      <w:numFmt w:val="lowerRoman"/>
      <w:lvlText w:val="%9."/>
      <w:lvlJc w:val="right"/>
      <w:pPr>
        <w:tabs>
          <w:tab w:val="num" w:pos="3781"/>
        </w:tabs>
        <w:ind w:left="3781" w:hanging="420"/>
      </w:pPr>
    </w:lvl>
  </w:abstractNum>
  <w:abstractNum w:abstractNumId="468">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9">
    <w:nsid w:val="1DA90A59"/>
    <w:multiLevelType w:val="hybridMultilevel"/>
    <w:tmpl w:val="B0C27EFA"/>
    <w:lvl w:ilvl="0" w:tplc="63E23A34">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470">
    <w:nsid w:val="1DBB55C0"/>
    <w:multiLevelType w:val="hybridMultilevel"/>
    <w:tmpl w:val="E2C0794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1">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2">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3">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74">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5">
    <w:nsid w:val="1E071E44"/>
    <w:multiLevelType w:val="hybridMultilevel"/>
    <w:tmpl w:val="BE30CF56"/>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476">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7">
    <w:nsid w:val="1E3F01D8"/>
    <w:multiLevelType w:val="multilevel"/>
    <w:tmpl w:val="AE4AD5F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78">
    <w:nsid w:val="1E490728"/>
    <w:multiLevelType w:val="multilevel"/>
    <w:tmpl w:val="831ADF6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9">
    <w:nsid w:val="1E6F4D71"/>
    <w:multiLevelType w:val="hybridMultilevel"/>
    <w:tmpl w:val="657E13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0">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1">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82">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83">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84">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485">
    <w:nsid w:val="1EBA7D5C"/>
    <w:multiLevelType w:val="hybridMultilevel"/>
    <w:tmpl w:val="FED84198"/>
    <w:lvl w:ilvl="0" w:tplc="04090009">
      <w:start w:val="1"/>
      <w:numFmt w:val="bullet"/>
      <w:lvlText w:val=""/>
      <w:lvlJc w:val="left"/>
      <w:pPr>
        <w:tabs>
          <w:tab w:val="num" w:pos="1521"/>
        </w:tabs>
        <w:ind w:left="1521" w:hanging="420"/>
      </w:pPr>
      <w:rPr>
        <w:rFonts w:ascii="Wingdings" w:hAnsi="Wingdings" w:hint="default"/>
      </w:rPr>
    </w:lvl>
    <w:lvl w:ilvl="1" w:tplc="04090003" w:tentative="1">
      <w:start w:val="1"/>
      <w:numFmt w:val="bullet"/>
      <w:lvlText w:val=""/>
      <w:lvlJc w:val="left"/>
      <w:pPr>
        <w:tabs>
          <w:tab w:val="num" w:pos="1941"/>
        </w:tabs>
        <w:ind w:left="1941" w:hanging="420"/>
      </w:pPr>
      <w:rPr>
        <w:rFonts w:ascii="Wingdings" w:hAnsi="Wingdings" w:hint="default"/>
      </w:rPr>
    </w:lvl>
    <w:lvl w:ilvl="2" w:tplc="04090005" w:tentative="1">
      <w:start w:val="1"/>
      <w:numFmt w:val="bullet"/>
      <w:lvlText w:val=""/>
      <w:lvlJc w:val="left"/>
      <w:pPr>
        <w:tabs>
          <w:tab w:val="num" w:pos="2361"/>
        </w:tabs>
        <w:ind w:left="2361" w:hanging="420"/>
      </w:pPr>
      <w:rPr>
        <w:rFonts w:ascii="Wingdings" w:hAnsi="Wingdings" w:hint="default"/>
      </w:rPr>
    </w:lvl>
    <w:lvl w:ilvl="3" w:tplc="04090001" w:tentative="1">
      <w:start w:val="1"/>
      <w:numFmt w:val="bullet"/>
      <w:lvlText w:val=""/>
      <w:lvlJc w:val="left"/>
      <w:pPr>
        <w:tabs>
          <w:tab w:val="num" w:pos="2781"/>
        </w:tabs>
        <w:ind w:left="2781" w:hanging="420"/>
      </w:pPr>
      <w:rPr>
        <w:rFonts w:ascii="Wingdings" w:hAnsi="Wingdings" w:hint="default"/>
      </w:rPr>
    </w:lvl>
    <w:lvl w:ilvl="4" w:tplc="04090003" w:tentative="1">
      <w:start w:val="1"/>
      <w:numFmt w:val="bullet"/>
      <w:lvlText w:val=""/>
      <w:lvlJc w:val="left"/>
      <w:pPr>
        <w:tabs>
          <w:tab w:val="num" w:pos="3201"/>
        </w:tabs>
        <w:ind w:left="3201" w:hanging="420"/>
      </w:pPr>
      <w:rPr>
        <w:rFonts w:ascii="Wingdings" w:hAnsi="Wingdings" w:hint="default"/>
      </w:rPr>
    </w:lvl>
    <w:lvl w:ilvl="5" w:tplc="04090005" w:tentative="1">
      <w:start w:val="1"/>
      <w:numFmt w:val="bullet"/>
      <w:lvlText w:val=""/>
      <w:lvlJc w:val="left"/>
      <w:pPr>
        <w:tabs>
          <w:tab w:val="num" w:pos="3621"/>
        </w:tabs>
        <w:ind w:left="3621" w:hanging="420"/>
      </w:pPr>
      <w:rPr>
        <w:rFonts w:ascii="Wingdings" w:hAnsi="Wingdings" w:hint="default"/>
      </w:rPr>
    </w:lvl>
    <w:lvl w:ilvl="6" w:tplc="04090001" w:tentative="1">
      <w:start w:val="1"/>
      <w:numFmt w:val="bullet"/>
      <w:lvlText w:val=""/>
      <w:lvlJc w:val="left"/>
      <w:pPr>
        <w:tabs>
          <w:tab w:val="num" w:pos="4041"/>
        </w:tabs>
        <w:ind w:left="4041" w:hanging="420"/>
      </w:pPr>
      <w:rPr>
        <w:rFonts w:ascii="Wingdings" w:hAnsi="Wingdings" w:hint="default"/>
      </w:rPr>
    </w:lvl>
    <w:lvl w:ilvl="7" w:tplc="04090003" w:tentative="1">
      <w:start w:val="1"/>
      <w:numFmt w:val="bullet"/>
      <w:lvlText w:val=""/>
      <w:lvlJc w:val="left"/>
      <w:pPr>
        <w:tabs>
          <w:tab w:val="num" w:pos="4461"/>
        </w:tabs>
        <w:ind w:left="4461" w:hanging="420"/>
      </w:pPr>
      <w:rPr>
        <w:rFonts w:ascii="Wingdings" w:hAnsi="Wingdings" w:hint="default"/>
      </w:rPr>
    </w:lvl>
    <w:lvl w:ilvl="8" w:tplc="04090005" w:tentative="1">
      <w:start w:val="1"/>
      <w:numFmt w:val="bullet"/>
      <w:lvlText w:val=""/>
      <w:lvlJc w:val="left"/>
      <w:pPr>
        <w:tabs>
          <w:tab w:val="num" w:pos="4881"/>
        </w:tabs>
        <w:ind w:left="4881" w:hanging="420"/>
      </w:pPr>
      <w:rPr>
        <w:rFonts w:ascii="Wingdings" w:hAnsi="Wingdings" w:hint="default"/>
      </w:rPr>
    </w:lvl>
  </w:abstractNum>
  <w:abstractNum w:abstractNumId="486">
    <w:nsid w:val="1EDA5A04"/>
    <w:multiLevelType w:val="multilevel"/>
    <w:tmpl w:val="341C93B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87">
    <w:nsid w:val="1EE165CB"/>
    <w:multiLevelType w:val="hybridMultilevel"/>
    <w:tmpl w:val="A66853D6"/>
    <w:lvl w:ilvl="0" w:tplc="373EAE98">
      <w:start w:val="3"/>
      <w:numFmt w:val="bullet"/>
      <w:lvlText w:val="●"/>
      <w:lvlJc w:val="left"/>
      <w:pPr>
        <w:tabs>
          <w:tab w:val="num" w:pos="765"/>
        </w:tabs>
        <w:ind w:left="765" w:hanging="360"/>
      </w:pPr>
      <w:rPr>
        <w:rFonts w:ascii="SimSun" w:eastAsia="SimSun" w:hAnsi="SimSun" w:cs="Times New Roman" w:hint="eastAsia"/>
      </w:rPr>
    </w:lvl>
    <w:lvl w:ilvl="1" w:tplc="04090003" w:tentative="1">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488">
    <w:nsid w:val="1EEA403C"/>
    <w:multiLevelType w:val="hybridMultilevel"/>
    <w:tmpl w:val="FF90E9B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89">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0">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491">
    <w:nsid w:val="1F2F060F"/>
    <w:multiLevelType w:val="hybridMultilevel"/>
    <w:tmpl w:val="215879EA"/>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92">
    <w:nsid w:val="1F3C0789"/>
    <w:multiLevelType w:val="hybridMultilevel"/>
    <w:tmpl w:val="AB9C0E8E"/>
    <w:lvl w:ilvl="0" w:tplc="04090001">
      <w:start w:val="1"/>
      <w:numFmt w:val="bullet"/>
      <w:lvlText w:val=""/>
      <w:lvlJc w:val="left"/>
      <w:pPr>
        <w:tabs>
          <w:tab w:val="num" w:pos="1869"/>
        </w:tabs>
        <w:ind w:left="1869" w:hanging="360"/>
      </w:pPr>
      <w:rPr>
        <w:rFonts w:ascii="Symbol" w:hAnsi="Symbol" w:hint="default"/>
      </w:rPr>
    </w:lvl>
    <w:lvl w:ilvl="1" w:tplc="04090003" w:tentative="1">
      <w:start w:val="1"/>
      <w:numFmt w:val="bullet"/>
      <w:lvlText w:val="o"/>
      <w:lvlJc w:val="left"/>
      <w:pPr>
        <w:tabs>
          <w:tab w:val="num" w:pos="2589"/>
        </w:tabs>
        <w:ind w:left="2589" w:hanging="360"/>
      </w:pPr>
      <w:rPr>
        <w:rFonts w:ascii="Courier New" w:hAnsi="Courier New" w:cs="Courier New" w:hint="default"/>
      </w:rPr>
    </w:lvl>
    <w:lvl w:ilvl="2" w:tplc="04090005" w:tentative="1">
      <w:start w:val="1"/>
      <w:numFmt w:val="bullet"/>
      <w:lvlText w:val=""/>
      <w:lvlJc w:val="left"/>
      <w:pPr>
        <w:tabs>
          <w:tab w:val="num" w:pos="3309"/>
        </w:tabs>
        <w:ind w:left="3309" w:hanging="360"/>
      </w:pPr>
      <w:rPr>
        <w:rFonts w:ascii="Wingdings" w:hAnsi="Wingdings" w:hint="default"/>
      </w:rPr>
    </w:lvl>
    <w:lvl w:ilvl="3" w:tplc="04090001" w:tentative="1">
      <w:start w:val="1"/>
      <w:numFmt w:val="bullet"/>
      <w:lvlText w:val=""/>
      <w:lvlJc w:val="left"/>
      <w:pPr>
        <w:tabs>
          <w:tab w:val="num" w:pos="4029"/>
        </w:tabs>
        <w:ind w:left="4029" w:hanging="360"/>
      </w:pPr>
      <w:rPr>
        <w:rFonts w:ascii="Symbol" w:hAnsi="Symbol" w:hint="default"/>
      </w:rPr>
    </w:lvl>
    <w:lvl w:ilvl="4" w:tplc="04090003" w:tentative="1">
      <w:start w:val="1"/>
      <w:numFmt w:val="bullet"/>
      <w:lvlText w:val="o"/>
      <w:lvlJc w:val="left"/>
      <w:pPr>
        <w:tabs>
          <w:tab w:val="num" w:pos="4749"/>
        </w:tabs>
        <w:ind w:left="4749" w:hanging="360"/>
      </w:pPr>
      <w:rPr>
        <w:rFonts w:ascii="Courier New" w:hAnsi="Courier New" w:cs="Courier New" w:hint="default"/>
      </w:rPr>
    </w:lvl>
    <w:lvl w:ilvl="5" w:tplc="04090005" w:tentative="1">
      <w:start w:val="1"/>
      <w:numFmt w:val="bullet"/>
      <w:lvlText w:val=""/>
      <w:lvlJc w:val="left"/>
      <w:pPr>
        <w:tabs>
          <w:tab w:val="num" w:pos="5469"/>
        </w:tabs>
        <w:ind w:left="5469" w:hanging="360"/>
      </w:pPr>
      <w:rPr>
        <w:rFonts w:ascii="Wingdings" w:hAnsi="Wingdings" w:hint="default"/>
      </w:rPr>
    </w:lvl>
    <w:lvl w:ilvl="6" w:tplc="04090001" w:tentative="1">
      <w:start w:val="1"/>
      <w:numFmt w:val="bullet"/>
      <w:lvlText w:val=""/>
      <w:lvlJc w:val="left"/>
      <w:pPr>
        <w:tabs>
          <w:tab w:val="num" w:pos="6189"/>
        </w:tabs>
        <w:ind w:left="6189" w:hanging="360"/>
      </w:pPr>
      <w:rPr>
        <w:rFonts w:ascii="Symbol" w:hAnsi="Symbol" w:hint="default"/>
      </w:rPr>
    </w:lvl>
    <w:lvl w:ilvl="7" w:tplc="04090003" w:tentative="1">
      <w:start w:val="1"/>
      <w:numFmt w:val="bullet"/>
      <w:lvlText w:val="o"/>
      <w:lvlJc w:val="left"/>
      <w:pPr>
        <w:tabs>
          <w:tab w:val="num" w:pos="6909"/>
        </w:tabs>
        <w:ind w:left="6909" w:hanging="360"/>
      </w:pPr>
      <w:rPr>
        <w:rFonts w:ascii="Courier New" w:hAnsi="Courier New" w:cs="Courier New" w:hint="default"/>
      </w:rPr>
    </w:lvl>
    <w:lvl w:ilvl="8" w:tplc="04090005" w:tentative="1">
      <w:start w:val="1"/>
      <w:numFmt w:val="bullet"/>
      <w:lvlText w:val=""/>
      <w:lvlJc w:val="left"/>
      <w:pPr>
        <w:tabs>
          <w:tab w:val="num" w:pos="7629"/>
        </w:tabs>
        <w:ind w:left="7629" w:hanging="360"/>
      </w:pPr>
      <w:rPr>
        <w:rFonts w:ascii="Wingdings" w:hAnsi="Wingdings" w:hint="default"/>
      </w:rPr>
    </w:lvl>
  </w:abstractNum>
  <w:abstractNum w:abstractNumId="493">
    <w:nsid w:val="1F412B11"/>
    <w:multiLevelType w:val="hybridMultilevel"/>
    <w:tmpl w:val="C506ECD6"/>
    <w:lvl w:ilvl="0" w:tplc="52BC6952">
      <w:start w:val="346"/>
      <w:numFmt w:val="decimal"/>
      <w:lvlText w:val="%1."/>
      <w:lvlJc w:val="left"/>
      <w:pPr>
        <w:tabs>
          <w:tab w:val="num" w:pos="421"/>
        </w:tabs>
        <w:ind w:left="421" w:hanging="420"/>
      </w:pPr>
      <w:rPr>
        <w:rFonts w:hint="default"/>
      </w:rPr>
    </w:lvl>
    <w:lvl w:ilvl="1" w:tplc="04090019" w:tentative="1">
      <w:start w:val="1"/>
      <w:numFmt w:val="lowerLetter"/>
      <w:lvlText w:val="%2)"/>
      <w:lvlJc w:val="left"/>
      <w:pPr>
        <w:tabs>
          <w:tab w:val="num" w:pos="841"/>
        </w:tabs>
        <w:ind w:left="841" w:hanging="420"/>
      </w:pPr>
    </w:lvl>
    <w:lvl w:ilvl="2" w:tplc="0409001B" w:tentative="1">
      <w:start w:val="1"/>
      <w:numFmt w:val="lowerRoman"/>
      <w:lvlText w:val="%3."/>
      <w:lvlJc w:val="right"/>
      <w:pPr>
        <w:tabs>
          <w:tab w:val="num" w:pos="1261"/>
        </w:tabs>
        <w:ind w:left="1261" w:hanging="420"/>
      </w:pPr>
    </w:lvl>
    <w:lvl w:ilvl="3" w:tplc="0409000F" w:tentative="1">
      <w:start w:val="1"/>
      <w:numFmt w:val="decimal"/>
      <w:lvlText w:val="%4."/>
      <w:lvlJc w:val="left"/>
      <w:pPr>
        <w:tabs>
          <w:tab w:val="num" w:pos="1681"/>
        </w:tabs>
        <w:ind w:left="1681" w:hanging="420"/>
      </w:pPr>
    </w:lvl>
    <w:lvl w:ilvl="4" w:tplc="04090019" w:tentative="1">
      <w:start w:val="1"/>
      <w:numFmt w:val="lowerLetter"/>
      <w:lvlText w:val="%5)"/>
      <w:lvlJc w:val="left"/>
      <w:pPr>
        <w:tabs>
          <w:tab w:val="num" w:pos="2101"/>
        </w:tabs>
        <w:ind w:left="2101" w:hanging="420"/>
      </w:pPr>
    </w:lvl>
    <w:lvl w:ilvl="5" w:tplc="0409001B" w:tentative="1">
      <w:start w:val="1"/>
      <w:numFmt w:val="lowerRoman"/>
      <w:lvlText w:val="%6."/>
      <w:lvlJc w:val="right"/>
      <w:pPr>
        <w:tabs>
          <w:tab w:val="num" w:pos="2521"/>
        </w:tabs>
        <w:ind w:left="2521" w:hanging="420"/>
      </w:pPr>
    </w:lvl>
    <w:lvl w:ilvl="6" w:tplc="0409000F" w:tentative="1">
      <w:start w:val="1"/>
      <w:numFmt w:val="decimal"/>
      <w:lvlText w:val="%7."/>
      <w:lvlJc w:val="left"/>
      <w:pPr>
        <w:tabs>
          <w:tab w:val="num" w:pos="2941"/>
        </w:tabs>
        <w:ind w:left="2941" w:hanging="420"/>
      </w:pPr>
    </w:lvl>
    <w:lvl w:ilvl="7" w:tplc="04090019" w:tentative="1">
      <w:start w:val="1"/>
      <w:numFmt w:val="lowerLetter"/>
      <w:lvlText w:val="%8)"/>
      <w:lvlJc w:val="left"/>
      <w:pPr>
        <w:tabs>
          <w:tab w:val="num" w:pos="3361"/>
        </w:tabs>
        <w:ind w:left="3361" w:hanging="420"/>
      </w:pPr>
    </w:lvl>
    <w:lvl w:ilvl="8" w:tplc="0409001B" w:tentative="1">
      <w:start w:val="1"/>
      <w:numFmt w:val="lowerRoman"/>
      <w:lvlText w:val="%9."/>
      <w:lvlJc w:val="right"/>
      <w:pPr>
        <w:tabs>
          <w:tab w:val="num" w:pos="3781"/>
        </w:tabs>
        <w:ind w:left="3781" w:hanging="420"/>
      </w:pPr>
    </w:lvl>
  </w:abstractNum>
  <w:abstractNum w:abstractNumId="494">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495">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6">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7">
    <w:nsid w:val="1F6217CA"/>
    <w:multiLevelType w:val="singleLevel"/>
    <w:tmpl w:val="04070017"/>
    <w:lvl w:ilvl="0">
      <w:start w:val="1"/>
      <w:numFmt w:val="lowerLetter"/>
      <w:lvlText w:val="%1)"/>
      <w:lvlJc w:val="left"/>
      <w:pPr>
        <w:tabs>
          <w:tab w:val="num" w:pos="360"/>
        </w:tabs>
        <w:ind w:left="360" w:hanging="360"/>
      </w:pPr>
    </w:lvl>
  </w:abstractNum>
  <w:abstractNum w:abstractNumId="498">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9">
    <w:nsid w:val="1F6A56A2"/>
    <w:multiLevelType w:val="hybridMultilevel"/>
    <w:tmpl w:val="8A3EF73A"/>
    <w:lvl w:ilvl="0" w:tplc="C3E4AC1E">
      <w:start w:val="1"/>
      <w:numFmt w:val="decimal"/>
      <w:lvlText w:val="%1."/>
      <w:lvlJc w:val="left"/>
      <w:pPr>
        <w:tabs>
          <w:tab w:val="num" w:pos="975"/>
        </w:tabs>
        <w:ind w:left="975" w:hanging="57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500">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501">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502">
    <w:nsid w:val="1F787754"/>
    <w:multiLevelType w:val="hybridMultilevel"/>
    <w:tmpl w:val="592A37B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3">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504">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5">
    <w:nsid w:val="1FB22BB6"/>
    <w:multiLevelType w:val="multilevel"/>
    <w:tmpl w:val="08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06">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7">
    <w:nsid w:val="1FC04DF4"/>
    <w:multiLevelType w:val="multilevel"/>
    <w:tmpl w:val="AF967B14"/>
    <w:lvl w:ilvl="0">
      <w:start w:val="1"/>
      <w:numFmt w:val="bullet"/>
      <w:lvlText w:val=""/>
      <w:lvlJc w:val="left"/>
      <w:pPr>
        <w:tabs>
          <w:tab w:val="num" w:pos="567"/>
        </w:tabs>
        <w:ind w:left="567" w:hanging="567"/>
      </w:pPr>
      <w:rPr>
        <w:rFonts w:ascii="Symbol"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8">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9">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0">
    <w:nsid w:val="1FDC7411"/>
    <w:multiLevelType w:val="multilevel"/>
    <w:tmpl w:val="EDD0EA42"/>
    <w:lvl w:ilvl="0">
      <w:start w:val="16"/>
      <w:numFmt w:val="decimal"/>
      <w:lvlText w:val="%1"/>
      <w:lvlJc w:val="left"/>
      <w:pPr>
        <w:tabs>
          <w:tab w:val="num" w:pos="720"/>
        </w:tabs>
        <w:ind w:left="720" w:hanging="72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11">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2">
    <w:nsid w:val="1FF111E2"/>
    <w:multiLevelType w:val="multilevel"/>
    <w:tmpl w:val="657A83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3">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514">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515">
    <w:nsid w:val="20202812"/>
    <w:multiLevelType w:val="multilevel"/>
    <w:tmpl w:val="E36E97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516">
    <w:nsid w:val="20580BE2"/>
    <w:multiLevelType w:val="hybridMultilevel"/>
    <w:tmpl w:val="C75E0300"/>
    <w:lvl w:ilvl="0" w:tplc="366E6CC2">
      <w:start w:val="937"/>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7">
    <w:nsid w:val="206337B9"/>
    <w:multiLevelType w:val="multilevel"/>
    <w:tmpl w:val="E292832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8">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19">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20">
    <w:nsid w:val="20970794"/>
    <w:multiLevelType w:val="singleLevel"/>
    <w:tmpl w:val="66FC3666"/>
    <w:lvl w:ilvl="0">
      <w:start w:val="1"/>
      <w:numFmt w:val="lowerLetter"/>
      <w:lvlText w:val="(%1)"/>
      <w:legacy w:legacy="1" w:legacySpace="0" w:legacyIndent="425"/>
      <w:lvlJc w:val="left"/>
      <w:pPr>
        <w:ind w:left="1446" w:hanging="425"/>
      </w:pPr>
    </w:lvl>
  </w:abstractNum>
  <w:abstractNum w:abstractNumId="521">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22">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23">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24">
    <w:nsid w:val="20FE6015"/>
    <w:multiLevelType w:val="singleLevel"/>
    <w:tmpl w:val="0409000F"/>
    <w:lvl w:ilvl="0">
      <w:start w:val="1"/>
      <w:numFmt w:val="decimal"/>
      <w:lvlText w:val="%1."/>
      <w:lvlJc w:val="left"/>
      <w:pPr>
        <w:tabs>
          <w:tab w:val="num" w:pos="425"/>
        </w:tabs>
        <w:ind w:left="425" w:hanging="425"/>
      </w:pPr>
    </w:lvl>
  </w:abstractNum>
  <w:abstractNum w:abstractNumId="525">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26">
    <w:nsid w:val="21277B3C"/>
    <w:multiLevelType w:val="hybridMultilevel"/>
    <w:tmpl w:val="5E3A3028"/>
    <w:lvl w:ilvl="0" w:tplc="86B40E20">
      <w:start w:val="981"/>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7">
    <w:nsid w:val="2135268D"/>
    <w:multiLevelType w:val="hybridMultilevel"/>
    <w:tmpl w:val="F016FE76"/>
    <w:lvl w:ilvl="0" w:tplc="A5B6BC6A">
      <w:start w:val="1"/>
      <w:numFmt w:val="decimal"/>
      <w:lvlText w:val="%1．"/>
      <w:lvlJc w:val="left"/>
      <w:pPr>
        <w:tabs>
          <w:tab w:val="num" w:pos="360"/>
        </w:tabs>
        <w:ind w:left="360" w:hanging="360"/>
      </w:pPr>
      <w:rPr>
        <w:rFonts w:hint="eastAsia"/>
      </w:rPr>
    </w:lvl>
    <w:lvl w:ilvl="1" w:tplc="99C4A21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8">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9">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530">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1">
    <w:nsid w:val="215852C3"/>
    <w:multiLevelType w:val="hybridMultilevel"/>
    <w:tmpl w:val="7ADA5FF0"/>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32">
    <w:nsid w:val="21631D59"/>
    <w:multiLevelType w:val="hybridMultilevel"/>
    <w:tmpl w:val="3F088052"/>
    <w:lvl w:ilvl="0" w:tplc="84203D70">
      <w:numFmt w:val="bullet"/>
      <w:lvlText w:val=""/>
      <w:lvlJc w:val="left"/>
      <w:pPr>
        <w:tabs>
          <w:tab w:val="num" w:pos="1935"/>
        </w:tabs>
        <w:ind w:left="1935" w:hanging="360"/>
      </w:pPr>
      <w:rPr>
        <w:rFonts w:ascii="Wingdings" w:eastAsia="SimSun" w:hAnsi="Wingdings" w:cs="Times New Roman" w:hint="default"/>
      </w:rPr>
    </w:lvl>
    <w:lvl w:ilvl="1" w:tplc="04090003">
      <w:start w:val="1"/>
      <w:numFmt w:val="bullet"/>
      <w:lvlText w:val=""/>
      <w:lvlJc w:val="left"/>
      <w:pPr>
        <w:tabs>
          <w:tab w:val="num" w:pos="1455"/>
        </w:tabs>
        <w:ind w:left="1455" w:hanging="420"/>
      </w:pPr>
      <w:rPr>
        <w:rFonts w:ascii="Wingdings" w:hAnsi="Wingdings" w:hint="default"/>
      </w:rPr>
    </w:lvl>
    <w:lvl w:ilvl="2" w:tplc="04090005" w:tentative="1">
      <w:start w:val="1"/>
      <w:numFmt w:val="bullet"/>
      <w:lvlText w:val=""/>
      <w:lvlJc w:val="left"/>
      <w:pPr>
        <w:tabs>
          <w:tab w:val="num" w:pos="1875"/>
        </w:tabs>
        <w:ind w:left="1875" w:hanging="420"/>
      </w:pPr>
      <w:rPr>
        <w:rFonts w:ascii="Wingdings" w:hAnsi="Wingdings" w:hint="default"/>
      </w:rPr>
    </w:lvl>
    <w:lvl w:ilvl="3" w:tplc="04090001" w:tentative="1">
      <w:start w:val="1"/>
      <w:numFmt w:val="bullet"/>
      <w:lvlText w:val=""/>
      <w:lvlJc w:val="left"/>
      <w:pPr>
        <w:tabs>
          <w:tab w:val="num" w:pos="2295"/>
        </w:tabs>
        <w:ind w:left="2295" w:hanging="420"/>
      </w:pPr>
      <w:rPr>
        <w:rFonts w:ascii="Wingdings" w:hAnsi="Wingdings" w:hint="default"/>
      </w:rPr>
    </w:lvl>
    <w:lvl w:ilvl="4" w:tplc="04090003" w:tentative="1">
      <w:start w:val="1"/>
      <w:numFmt w:val="bullet"/>
      <w:lvlText w:val=""/>
      <w:lvlJc w:val="left"/>
      <w:pPr>
        <w:tabs>
          <w:tab w:val="num" w:pos="2715"/>
        </w:tabs>
        <w:ind w:left="2715" w:hanging="420"/>
      </w:pPr>
      <w:rPr>
        <w:rFonts w:ascii="Wingdings" w:hAnsi="Wingdings" w:hint="default"/>
      </w:rPr>
    </w:lvl>
    <w:lvl w:ilvl="5" w:tplc="04090005" w:tentative="1">
      <w:start w:val="1"/>
      <w:numFmt w:val="bullet"/>
      <w:lvlText w:val=""/>
      <w:lvlJc w:val="left"/>
      <w:pPr>
        <w:tabs>
          <w:tab w:val="num" w:pos="3135"/>
        </w:tabs>
        <w:ind w:left="3135" w:hanging="420"/>
      </w:pPr>
      <w:rPr>
        <w:rFonts w:ascii="Wingdings" w:hAnsi="Wingdings" w:hint="default"/>
      </w:rPr>
    </w:lvl>
    <w:lvl w:ilvl="6" w:tplc="04090001" w:tentative="1">
      <w:start w:val="1"/>
      <w:numFmt w:val="bullet"/>
      <w:lvlText w:val=""/>
      <w:lvlJc w:val="left"/>
      <w:pPr>
        <w:tabs>
          <w:tab w:val="num" w:pos="3555"/>
        </w:tabs>
        <w:ind w:left="3555" w:hanging="420"/>
      </w:pPr>
      <w:rPr>
        <w:rFonts w:ascii="Wingdings" w:hAnsi="Wingdings" w:hint="default"/>
      </w:rPr>
    </w:lvl>
    <w:lvl w:ilvl="7" w:tplc="04090003" w:tentative="1">
      <w:start w:val="1"/>
      <w:numFmt w:val="bullet"/>
      <w:lvlText w:val=""/>
      <w:lvlJc w:val="left"/>
      <w:pPr>
        <w:tabs>
          <w:tab w:val="num" w:pos="3975"/>
        </w:tabs>
        <w:ind w:left="3975" w:hanging="420"/>
      </w:pPr>
      <w:rPr>
        <w:rFonts w:ascii="Wingdings" w:hAnsi="Wingdings" w:hint="default"/>
      </w:rPr>
    </w:lvl>
    <w:lvl w:ilvl="8" w:tplc="04090005" w:tentative="1">
      <w:start w:val="1"/>
      <w:numFmt w:val="bullet"/>
      <w:lvlText w:val=""/>
      <w:lvlJc w:val="left"/>
      <w:pPr>
        <w:tabs>
          <w:tab w:val="num" w:pos="4395"/>
        </w:tabs>
        <w:ind w:left="4395" w:hanging="420"/>
      </w:pPr>
      <w:rPr>
        <w:rFonts w:ascii="Wingdings" w:hAnsi="Wingdings" w:hint="default"/>
      </w:rPr>
    </w:lvl>
  </w:abstractNum>
  <w:abstractNum w:abstractNumId="533">
    <w:nsid w:val="217D0207"/>
    <w:multiLevelType w:val="hybridMultilevel"/>
    <w:tmpl w:val="07EC4CF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4">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5">
    <w:nsid w:val="21F01CE1"/>
    <w:multiLevelType w:val="hybridMultilevel"/>
    <w:tmpl w:val="29589DBC"/>
    <w:lvl w:ilvl="0" w:tplc="04060001">
      <w:start w:val="1"/>
      <w:numFmt w:val="bullet"/>
      <w:lvlText w:val=""/>
      <w:lvlJc w:val="left"/>
      <w:pPr>
        <w:tabs>
          <w:tab w:val="num" w:pos="780"/>
        </w:tabs>
        <w:ind w:left="780" w:hanging="360"/>
      </w:pPr>
      <w:rPr>
        <w:rFonts w:ascii="Symbol" w:hAnsi="Symbol" w:hint="default"/>
      </w:rPr>
    </w:lvl>
    <w:lvl w:ilvl="1" w:tplc="04060003" w:tentative="1">
      <w:start w:val="1"/>
      <w:numFmt w:val="bullet"/>
      <w:lvlText w:val="o"/>
      <w:lvlJc w:val="left"/>
      <w:pPr>
        <w:tabs>
          <w:tab w:val="num" w:pos="1500"/>
        </w:tabs>
        <w:ind w:left="1500" w:hanging="360"/>
      </w:pPr>
      <w:rPr>
        <w:rFonts w:ascii="Courier New" w:hAnsi="Courier New" w:cs="Courier New"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cs="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cs="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536">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537">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38">
    <w:nsid w:val="220303CC"/>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9">
    <w:nsid w:val="221B0F80"/>
    <w:multiLevelType w:val="hybridMultilevel"/>
    <w:tmpl w:val="B0ECE0B6"/>
    <w:lvl w:ilvl="0" w:tplc="B686B92C">
      <w:start w:val="1047"/>
      <w:numFmt w:val="decimal"/>
      <w:lvlText w:val="%1．"/>
      <w:lvlJc w:val="left"/>
      <w:pPr>
        <w:tabs>
          <w:tab w:val="num" w:pos="840"/>
        </w:tabs>
        <w:ind w:left="840" w:hanging="840"/>
      </w:pPr>
      <w:rPr>
        <w:rFonts w:hint="default"/>
      </w:rPr>
    </w:lvl>
    <w:lvl w:ilvl="1" w:tplc="28722B06">
      <w:start w:val="41"/>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0">
    <w:nsid w:val="2230393D"/>
    <w:multiLevelType w:val="hybridMultilevel"/>
    <w:tmpl w:val="3AA2B43A"/>
    <w:lvl w:ilvl="0" w:tplc="1FE4F22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1">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2">
    <w:nsid w:val="225F5301"/>
    <w:multiLevelType w:val="hybridMultilevel"/>
    <w:tmpl w:val="212A9F78"/>
    <w:lvl w:ilvl="0" w:tplc="5B8C99F6">
      <w:start w:val="205"/>
      <w:numFmt w:val="decimal"/>
      <w:lvlText w:val="%1."/>
      <w:lvlJc w:val="left"/>
      <w:pPr>
        <w:tabs>
          <w:tab w:val="num" w:pos="792"/>
        </w:tabs>
        <w:ind w:left="792" w:hanging="79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3">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44">
    <w:nsid w:val="226A03B2"/>
    <w:multiLevelType w:val="hybridMultilevel"/>
    <w:tmpl w:val="C588A7D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5">
    <w:nsid w:val="228B7070"/>
    <w:multiLevelType w:val="hybridMultilevel"/>
    <w:tmpl w:val="858EFB46"/>
    <w:lvl w:ilvl="0" w:tplc="1F80D10E">
      <w:start w:val="1"/>
      <w:numFmt w:val="japaneseCounting"/>
      <w:lvlText w:val="%1、"/>
      <w:lvlJc w:val="left"/>
      <w:pPr>
        <w:tabs>
          <w:tab w:val="num" w:pos="432"/>
        </w:tabs>
        <w:ind w:left="432" w:hanging="432"/>
      </w:pPr>
      <w:rPr>
        <w:rFonts w:hint="eastAsia"/>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6">
    <w:nsid w:val="228B7200"/>
    <w:multiLevelType w:val="hybridMultilevel"/>
    <w:tmpl w:val="0F8A86B6"/>
    <w:lvl w:ilvl="0" w:tplc="98F44D7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47">
    <w:nsid w:val="22A84FF5"/>
    <w:multiLevelType w:val="hybridMultilevel"/>
    <w:tmpl w:val="37D69F2E"/>
    <w:lvl w:ilvl="0" w:tplc="47F29E9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8">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49">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0">
    <w:nsid w:val="230E1762"/>
    <w:multiLevelType w:val="hybridMultilevel"/>
    <w:tmpl w:val="88209B4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51">
    <w:nsid w:val="23232587"/>
    <w:multiLevelType w:val="hybridMultilevel"/>
    <w:tmpl w:val="16ECBEDA"/>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2">
    <w:nsid w:val="232C17D3"/>
    <w:multiLevelType w:val="multilevel"/>
    <w:tmpl w:val="44001914"/>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53">
    <w:nsid w:val="233E28C0"/>
    <w:multiLevelType w:val="hybridMultilevel"/>
    <w:tmpl w:val="1960F688"/>
    <w:lvl w:ilvl="0" w:tplc="04090019">
      <w:start w:val="1"/>
      <w:numFmt w:val="lowerLetter"/>
      <w:lvlText w:val="%1)"/>
      <w:lvlJc w:val="left"/>
      <w:pPr>
        <w:tabs>
          <w:tab w:val="num" w:pos="840"/>
        </w:tabs>
        <w:ind w:left="840" w:hanging="420"/>
      </w:pPr>
    </w:lvl>
    <w:lvl w:ilvl="1" w:tplc="0409000F">
      <w:start w:val="1"/>
      <w:numFmt w:val="decimal"/>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54">
    <w:nsid w:val="2340183F"/>
    <w:multiLevelType w:val="hybridMultilevel"/>
    <w:tmpl w:val="EE70C378"/>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5">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6">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57">
    <w:nsid w:val="23760D3E"/>
    <w:multiLevelType w:val="multilevel"/>
    <w:tmpl w:val="55B0A0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58">
    <w:nsid w:val="23901756"/>
    <w:multiLevelType w:val="hybridMultilevel"/>
    <w:tmpl w:val="A4D043D0"/>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559">
    <w:nsid w:val="23AE0A48"/>
    <w:multiLevelType w:val="hybridMultilevel"/>
    <w:tmpl w:val="3B2C57D0"/>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560">
    <w:nsid w:val="23B20B3D"/>
    <w:multiLevelType w:val="multilevel"/>
    <w:tmpl w:val="8A5C65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61">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562">
    <w:nsid w:val="23B80287"/>
    <w:multiLevelType w:val="hybridMultilevel"/>
    <w:tmpl w:val="27345A96"/>
    <w:lvl w:ilvl="0" w:tplc="235AAD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3">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564">
    <w:nsid w:val="23BF1F4E"/>
    <w:multiLevelType w:val="hybridMultilevel"/>
    <w:tmpl w:val="3DB83D7C"/>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5">
    <w:nsid w:val="23C45DF4"/>
    <w:multiLevelType w:val="hybridMultilevel"/>
    <w:tmpl w:val="3E6AFB1E"/>
    <w:lvl w:ilvl="0" w:tplc="9394402C">
      <w:start w:val="1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6">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7">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8">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69">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0">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1">
    <w:nsid w:val="24451E14"/>
    <w:multiLevelType w:val="hybridMultilevel"/>
    <w:tmpl w:val="5A9EB8A8"/>
    <w:lvl w:ilvl="0" w:tplc="04090009">
      <w:start w:val="1"/>
      <w:numFmt w:val="bullet"/>
      <w:lvlText w:val=""/>
      <w:lvlJc w:val="left"/>
      <w:pPr>
        <w:tabs>
          <w:tab w:val="num" w:pos="1800"/>
        </w:tabs>
        <w:ind w:left="1800" w:hanging="420"/>
      </w:pPr>
      <w:rPr>
        <w:rFonts w:ascii="Wingdings" w:hAnsi="Wingdings" w:hint="default"/>
      </w:rPr>
    </w:lvl>
    <w:lvl w:ilvl="1" w:tplc="04090003" w:tentative="1">
      <w:start w:val="1"/>
      <w:numFmt w:val="bullet"/>
      <w:lvlText w:val=""/>
      <w:lvlJc w:val="left"/>
      <w:pPr>
        <w:tabs>
          <w:tab w:val="num" w:pos="2220"/>
        </w:tabs>
        <w:ind w:left="2220" w:hanging="420"/>
      </w:pPr>
      <w:rPr>
        <w:rFonts w:ascii="Wingdings" w:hAnsi="Wingdings" w:hint="default"/>
      </w:rPr>
    </w:lvl>
    <w:lvl w:ilvl="2" w:tplc="04090005" w:tentative="1">
      <w:start w:val="1"/>
      <w:numFmt w:val="bullet"/>
      <w:lvlText w:val=""/>
      <w:lvlJc w:val="left"/>
      <w:pPr>
        <w:tabs>
          <w:tab w:val="num" w:pos="2640"/>
        </w:tabs>
        <w:ind w:left="2640" w:hanging="420"/>
      </w:pPr>
      <w:rPr>
        <w:rFonts w:ascii="Wingdings" w:hAnsi="Wingdings" w:hint="default"/>
      </w:rPr>
    </w:lvl>
    <w:lvl w:ilvl="3" w:tplc="04090001" w:tentative="1">
      <w:start w:val="1"/>
      <w:numFmt w:val="bullet"/>
      <w:lvlText w:val=""/>
      <w:lvlJc w:val="left"/>
      <w:pPr>
        <w:tabs>
          <w:tab w:val="num" w:pos="3060"/>
        </w:tabs>
        <w:ind w:left="3060" w:hanging="420"/>
      </w:pPr>
      <w:rPr>
        <w:rFonts w:ascii="Wingdings" w:hAnsi="Wingdings" w:hint="default"/>
      </w:rPr>
    </w:lvl>
    <w:lvl w:ilvl="4" w:tplc="04090003" w:tentative="1">
      <w:start w:val="1"/>
      <w:numFmt w:val="bullet"/>
      <w:lvlText w:val=""/>
      <w:lvlJc w:val="left"/>
      <w:pPr>
        <w:tabs>
          <w:tab w:val="num" w:pos="3480"/>
        </w:tabs>
        <w:ind w:left="3480" w:hanging="420"/>
      </w:pPr>
      <w:rPr>
        <w:rFonts w:ascii="Wingdings" w:hAnsi="Wingdings" w:hint="default"/>
      </w:rPr>
    </w:lvl>
    <w:lvl w:ilvl="5" w:tplc="04090005" w:tentative="1">
      <w:start w:val="1"/>
      <w:numFmt w:val="bullet"/>
      <w:lvlText w:val=""/>
      <w:lvlJc w:val="left"/>
      <w:pPr>
        <w:tabs>
          <w:tab w:val="num" w:pos="3900"/>
        </w:tabs>
        <w:ind w:left="3900" w:hanging="420"/>
      </w:pPr>
      <w:rPr>
        <w:rFonts w:ascii="Wingdings" w:hAnsi="Wingdings" w:hint="default"/>
      </w:rPr>
    </w:lvl>
    <w:lvl w:ilvl="6" w:tplc="04090001" w:tentative="1">
      <w:start w:val="1"/>
      <w:numFmt w:val="bullet"/>
      <w:lvlText w:val=""/>
      <w:lvlJc w:val="left"/>
      <w:pPr>
        <w:tabs>
          <w:tab w:val="num" w:pos="4320"/>
        </w:tabs>
        <w:ind w:left="4320" w:hanging="420"/>
      </w:pPr>
      <w:rPr>
        <w:rFonts w:ascii="Wingdings" w:hAnsi="Wingdings" w:hint="default"/>
      </w:rPr>
    </w:lvl>
    <w:lvl w:ilvl="7" w:tplc="04090003" w:tentative="1">
      <w:start w:val="1"/>
      <w:numFmt w:val="bullet"/>
      <w:lvlText w:val=""/>
      <w:lvlJc w:val="left"/>
      <w:pPr>
        <w:tabs>
          <w:tab w:val="num" w:pos="4740"/>
        </w:tabs>
        <w:ind w:left="4740" w:hanging="420"/>
      </w:pPr>
      <w:rPr>
        <w:rFonts w:ascii="Wingdings" w:hAnsi="Wingdings" w:hint="default"/>
      </w:rPr>
    </w:lvl>
    <w:lvl w:ilvl="8" w:tplc="04090005" w:tentative="1">
      <w:start w:val="1"/>
      <w:numFmt w:val="bullet"/>
      <w:lvlText w:val=""/>
      <w:lvlJc w:val="left"/>
      <w:pPr>
        <w:tabs>
          <w:tab w:val="num" w:pos="5160"/>
        </w:tabs>
        <w:ind w:left="5160" w:hanging="420"/>
      </w:pPr>
      <w:rPr>
        <w:rFonts w:ascii="Wingdings" w:hAnsi="Wingdings" w:hint="default"/>
      </w:rPr>
    </w:lvl>
  </w:abstractNum>
  <w:abstractNum w:abstractNumId="572">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3">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574">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5">
    <w:nsid w:val="247438EF"/>
    <w:multiLevelType w:val="hybridMultilevel"/>
    <w:tmpl w:val="B96E241E"/>
    <w:lvl w:ilvl="0" w:tplc="E69A3CF6">
      <w:start w:val="1053"/>
      <w:numFmt w:val="decimal"/>
      <w:lvlText w:val="%1．"/>
      <w:lvlJc w:val="left"/>
      <w:pPr>
        <w:tabs>
          <w:tab w:val="num" w:pos="840"/>
        </w:tabs>
        <w:ind w:left="840" w:hanging="840"/>
      </w:pPr>
      <w:rPr>
        <w:rFonts w:hint="default"/>
      </w:rPr>
    </w:lvl>
    <w:lvl w:ilvl="1" w:tplc="E1948CC4">
      <w:start w:val="26"/>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6">
    <w:nsid w:val="247E3C5E"/>
    <w:multiLevelType w:val="hybridMultilevel"/>
    <w:tmpl w:val="268E948A"/>
    <w:lvl w:ilvl="0" w:tplc="D7628D28">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77">
    <w:nsid w:val="24A225B0"/>
    <w:multiLevelType w:val="multilevel"/>
    <w:tmpl w:val="A84C0158"/>
    <w:lvl w:ilvl="0">
      <w:start w:val="1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78">
    <w:nsid w:val="24B62322"/>
    <w:multiLevelType w:val="hybridMultilevel"/>
    <w:tmpl w:val="0A2221C6"/>
    <w:lvl w:ilvl="0" w:tplc="8E96A7C6">
      <w:start w:val="356"/>
      <w:numFmt w:val="decimal"/>
      <w:lvlText w:val="%1."/>
      <w:lvlJc w:val="left"/>
      <w:pPr>
        <w:tabs>
          <w:tab w:val="num" w:pos="841"/>
        </w:tabs>
        <w:ind w:left="841" w:hanging="840"/>
      </w:pPr>
      <w:rPr>
        <w:rFonts w:hint="default"/>
      </w:rPr>
    </w:lvl>
    <w:lvl w:ilvl="1" w:tplc="04090019" w:tentative="1">
      <w:start w:val="1"/>
      <w:numFmt w:val="lowerLetter"/>
      <w:lvlText w:val="%2)"/>
      <w:lvlJc w:val="left"/>
      <w:pPr>
        <w:tabs>
          <w:tab w:val="num" w:pos="841"/>
        </w:tabs>
        <w:ind w:left="841" w:hanging="420"/>
      </w:pPr>
    </w:lvl>
    <w:lvl w:ilvl="2" w:tplc="0409001B" w:tentative="1">
      <w:start w:val="1"/>
      <w:numFmt w:val="lowerRoman"/>
      <w:lvlText w:val="%3."/>
      <w:lvlJc w:val="right"/>
      <w:pPr>
        <w:tabs>
          <w:tab w:val="num" w:pos="1261"/>
        </w:tabs>
        <w:ind w:left="1261" w:hanging="420"/>
      </w:pPr>
    </w:lvl>
    <w:lvl w:ilvl="3" w:tplc="0409000F" w:tentative="1">
      <w:start w:val="1"/>
      <w:numFmt w:val="decimal"/>
      <w:lvlText w:val="%4."/>
      <w:lvlJc w:val="left"/>
      <w:pPr>
        <w:tabs>
          <w:tab w:val="num" w:pos="1681"/>
        </w:tabs>
        <w:ind w:left="1681" w:hanging="420"/>
      </w:pPr>
    </w:lvl>
    <w:lvl w:ilvl="4" w:tplc="04090019" w:tentative="1">
      <w:start w:val="1"/>
      <w:numFmt w:val="lowerLetter"/>
      <w:lvlText w:val="%5)"/>
      <w:lvlJc w:val="left"/>
      <w:pPr>
        <w:tabs>
          <w:tab w:val="num" w:pos="2101"/>
        </w:tabs>
        <w:ind w:left="2101" w:hanging="420"/>
      </w:pPr>
    </w:lvl>
    <w:lvl w:ilvl="5" w:tplc="0409001B" w:tentative="1">
      <w:start w:val="1"/>
      <w:numFmt w:val="lowerRoman"/>
      <w:lvlText w:val="%6."/>
      <w:lvlJc w:val="right"/>
      <w:pPr>
        <w:tabs>
          <w:tab w:val="num" w:pos="2521"/>
        </w:tabs>
        <w:ind w:left="2521" w:hanging="420"/>
      </w:pPr>
    </w:lvl>
    <w:lvl w:ilvl="6" w:tplc="0409000F" w:tentative="1">
      <w:start w:val="1"/>
      <w:numFmt w:val="decimal"/>
      <w:lvlText w:val="%7."/>
      <w:lvlJc w:val="left"/>
      <w:pPr>
        <w:tabs>
          <w:tab w:val="num" w:pos="2941"/>
        </w:tabs>
        <w:ind w:left="2941" w:hanging="420"/>
      </w:pPr>
    </w:lvl>
    <w:lvl w:ilvl="7" w:tplc="04090019" w:tentative="1">
      <w:start w:val="1"/>
      <w:numFmt w:val="lowerLetter"/>
      <w:lvlText w:val="%8)"/>
      <w:lvlJc w:val="left"/>
      <w:pPr>
        <w:tabs>
          <w:tab w:val="num" w:pos="3361"/>
        </w:tabs>
        <w:ind w:left="3361" w:hanging="420"/>
      </w:pPr>
    </w:lvl>
    <w:lvl w:ilvl="8" w:tplc="0409001B" w:tentative="1">
      <w:start w:val="1"/>
      <w:numFmt w:val="lowerRoman"/>
      <w:lvlText w:val="%9."/>
      <w:lvlJc w:val="right"/>
      <w:pPr>
        <w:tabs>
          <w:tab w:val="num" w:pos="3781"/>
        </w:tabs>
        <w:ind w:left="3781" w:hanging="420"/>
      </w:pPr>
    </w:lvl>
  </w:abstractNum>
  <w:abstractNum w:abstractNumId="579">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580">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81">
    <w:nsid w:val="24D82590"/>
    <w:multiLevelType w:val="hybridMultilevel"/>
    <w:tmpl w:val="5F62C29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82">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3">
    <w:nsid w:val="25850A6A"/>
    <w:multiLevelType w:val="hybridMultilevel"/>
    <w:tmpl w:val="C8FC269E"/>
    <w:lvl w:ilvl="0" w:tplc="BE4E5BC4">
      <w:start w:val="129"/>
      <w:numFmt w:val="decimal"/>
      <w:lvlText w:val="%1．"/>
      <w:lvlJc w:val="left"/>
      <w:pPr>
        <w:tabs>
          <w:tab w:val="num" w:pos="840"/>
        </w:tabs>
        <w:ind w:left="840" w:hanging="840"/>
      </w:pPr>
      <w:rPr>
        <w:rFonts w:hint="default"/>
      </w:rPr>
    </w:lvl>
    <w:lvl w:ilvl="1" w:tplc="FD1E187A">
      <w:start w:val="131"/>
      <w:numFmt w:val="decimal"/>
      <w:lvlText w:val="%2."/>
      <w:lvlJc w:val="left"/>
      <w:pPr>
        <w:tabs>
          <w:tab w:val="num" w:pos="840"/>
        </w:tabs>
        <w:ind w:left="840" w:hanging="4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4">
    <w:nsid w:val="25B25277"/>
    <w:multiLevelType w:val="hybridMultilevel"/>
    <w:tmpl w:val="ECDC41E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585">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586">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587">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588">
    <w:nsid w:val="25F0257D"/>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89">
    <w:nsid w:val="26350B46"/>
    <w:multiLevelType w:val="hybridMultilevel"/>
    <w:tmpl w:val="44FAB0B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590">
    <w:nsid w:val="264157F7"/>
    <w:multiLevelType w:val="hybridMultilevel"/>
    <w:tmpl w:val="B87E2B5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91">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592">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593">
    <w:nsid w:val="265260A6"/>
    <w:multiLevelType w:val="hybridMultilevel"/>
    <w:tmpl w:val="90127C00"/>
    <w:lvl w:ilvl="0" w:tplc="3B64C0F8">
      <w:start w:val="1175"/>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4">
    <w:nsid w:val="265672F7"/>
    <w:multiLevelType w:val="multilevel"/>
    <w:tmpl w:val="F2A4FF60"/>
    <w:lvl w:ilvl="0">
      <w:start w:val="1"/>
      <w:numFmt w:val="bullet"/>
      <w:lvlText w:val=""/>
      <w:lvlJc w:val="left"/>
      <w:pPr>
        <w:tabs>
          <w:tab w:val="num" w:pos="700"/>
        </w:tabs>
        <w:ind w:left="624" w:hanging="284"/>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95">
    <w:nsid w:val="265C5213"/>
    <w:multiLevelType w:val="hybridMultilevel"/>
    <w:tmpl w:val="675EEBFA"/>
    <w:lvl w:ilvl="0" w:tplc="BEDC9D34">
      <w:start w:val="1"/>
      <w:numFmt w:val="decimal"/>
      <w:lvlText w:val="%1．"/>
      <w:lvlJc w:val="left"/>
      <w:pPr>
        <w:tabs>
          <w:tab w:val="num" w:pos="840"/>
        </w:tabs>
        <w:ind w:left="840" w:hanging="4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96">
    <w:nsid w:val="2661124F"/>
    <w:multiLevelType w:val="hybridMultilevel"/>
    <w:tmpl w:val="3AF40AF8"/>
    <w:lvl w:ilvl="0" w:tplc="CA6E938E">
      <w:start w:val="1"/>
      <w:numFmt w:val="decimal"/>
      <w:lvlText w:val="（%1）"/>
      <w:lvlJc w:val="left"/>
      <w:pPr>
        <w:tabs>
          <w:tab w:val="num" w:pos="1140"/>
        </w:tabs>
        <w:ind w:left="1140" w:hanging="7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97">
    <w:nsid w:val="266A7AC3"/>
    <w:multiLevelType w:val="hybridMultilevel"/>
    <w:tmpl w:val="5A76F978"/>
    <w:lvl w:ilvl="0" w:tplc="6276D808">
      <w:start w:val="305"/>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8">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9">
    <w:nsid w:val="269C72A4"/>
    <w:multiLevelType w:val="hybridMultilevel"/>
    <w:tmpl w:val="C246A468"/>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600">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01">
    <w:nsid w:val="26CA53F3"/>
    <w:multiLevelType w:val="multilevel"/>
    <w:tmpl w:val="AE1286C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02">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603">
    <w:nsid w:val="26D97B1B"/>
    <w:multiLevelType w:val="hybridMultilevel"/>
    <w:tmpl w:val="3BD4B6F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04">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605">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06">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07">
    <w:nsid w:val="271B69A1"/>
    <w:multiLevelType w:val="hybridMultilevel"/>
    <w:tmpl w:val="45B2162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8">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9">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610">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1">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612">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3">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4">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15">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616">
    <w:nsid w:val="27867377"/>
    <w:multiLevelType w:val="multilevel"/>
    <w:tmpl w:val="AD80B650"/>
    <w:lvl w:ilvl="0">
      <w:start w:val="1"/>
      <w:numFmt w:val="decimal"/>
      <w:lvlText w:val="%1."/>
      <w:lvlJc w:val="left"/>
      <w:pPr>
        <w:tabs>
          <w:tab w:val="num" w:pos="1154"/>
        </w:tabs>
        <w:ind w:left="1154" w:hanging="360"/>
      </w:pPr>
    </w:lvl>
    <w:lvl w:ilvl="1" w:tentative="1">
      <w:start w:val="1"/>
      <w:numFmt w:val="lowerLetter"/>
      <w:lvlText w:val="%2."/>
      <w:lvlJc w:val="left"/>
      <w:pPr>
        <w:tabs>
          <w:tab w:val="num" w:pos="2234"/>
        </w:tabs>
        <w:ind w:left="2234" w:hanging="360"/>
      </w:pPr>
    </w:lvl>
    <w:lvl w:ilvl="2" w:tentative="1">
      <w:start w:val="1"/>
      <w:numFmt w:val="lowerRoman"/>
      <w:lvlText w:val="%3."/>
      <w:lvlJc w:val="right"/>
      <w:pPr>
        <w:tabs>
          <w:tab w:val="num" w:pos="2954"/>
        </w:tabs>
        <w:ind w:left="2954" w:hanging="180"/>
      </w:pPr>
    </w:lvl>
    <w:lvl w:ilvl="3" w:tentative="1">
      <w:start w:val="1"/>
      <w:numFmt w:val="decimal"/>
      <w:lvlText w:val="%4."/>
      <w:lvlJc w:val="left"/>
      <w:pPr>
        <w:tabs>
          <w:tab w:val="num" w:pos="3674"/>
        </w:tabs>
        <w:ind w:left="3674" w:hanging="360"/>
      </w:pPr>
    </w:lvl>
    <w:lvl w:ilvl="4" w:tentative="1">
      <w:start w:val="1"/>
      <w:numFmt w:val="lowerLetter"/>
      <w:lvlText w:val="%5."/>
      <w:lvlJc w:val="left"/>
      <w:pPr>
        <w:tabs>
          <w:tab w:val="num" w:pos="4394"/>
        </w:tabs>
        <w:ind w:left="4394" w:hanging="360"/>
      </w:pPr>
    </w:lvl>
    <w:lvl w:ilvl="5" w:tentative="1">
      <w:start w:val="1"/>
      <w:numFmt w:val="lowerRoman"/>
      <w:lvlText w:val="%6."/>
      <w:lvlJc w:val="right"/>
      <w:pPr>
        <w:tabs>
          <w:tab w:val="num" w:pos="5114"/>
        </w:tabs>
        <w:ind w:left="5114" w:hanging="180"/>
      </w:pPr>
    </w:lvl>
    <w:lvl w:ilvl="6" w:tentative="1">
      <w:start w:val="1"/>
      <w:numFmt w:val="decimal"/>
      <w:lvlText w:val="%7."/>
      <w:lvlJc w:val="left"/>
      <w:pPr>
        <w:tabs>
          <w:tab w:val="num" w:pos="5834"/>
        </w:tabs>
        <w:ind w:left="5834" w:hanging="360"/>
      </w:pPr>
    </w:lvl>
    <w:lvl w:ilvl="7" w:tentative="1">
      <w:start w:val="1"/>
      <w:numFmt w:val="lowerLetter"/>
      <w:lvlText w:val="%8."/>
      <w:lvlJc w:val="left"/>
      <w:pPr>
        <w:tabs>
          <w:tab w:val="num" w:pos="6554"/>
        </w:tabs>
        <w:ind w:left="6554" w:hanging="360"/>
      </w:pPr>
    </w:lvl>
    <w:lvl w:ilvl="8" w:tentative="1">
      <w:start w:val="1"/>
      <w:numFmt w:val="lowerRoman"/>
      <w:lvlText w:val="%9."/>
      <w:lvlJc w:val="right"/>
      <w:pPr>
        <w:tabs>
          <w:tab w:val="num" w:pos="7274"/>
        </w:tabs>
        <w:ind w:left="7274" w:hanging="180"/>
      </w:pPr>
    </w:lvl>
  </w:abstractNum>
  <w:abstractNum w:abstractNumId="617">
    <w:nsid w:val="2789618A"/>
    <w:multiLevelType w:val="hybridMultilevel"/>
    <w:tmpl w:val="6F32581A"/>
    <w:lvl w:ilvl="0" w:tplc="55C4D344">
      <w:start w:val="1183"/>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8">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9">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0">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21">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2">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3">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24">
    <w:nsid w:val="27FB0A20"/>
    <w:multiLevelType w:val="singleLevel"/>
    <w:tmpl w:val="389E55FA"/>
    <w:lvl w:ilvl="0">
      <w:numFmt w:val="bullet"/>
      <w:lvlText w:val="-"/>
      <w:lvlJc w:val="left"/>
      <w:pPr>
        <w:tabs>
          <w:tab w:val="num" w:pos="780"/>
        </w:tabs>
        <w:ind w:left="780" w:hanging="360"/>
      </w:pPr>
      <w:rPr>
        <w:rFonts w:hint="eastAsia"/>
      </w:rPr>
    </w:lvl>
  </w:abstractNum>
  <w:abstractNum w:abstractNumId="625">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6">
    <w:nsid w:val="280B67A2"/>
    <w:multiLevelType w:val="hybridMultilevel"/>
    <w:tmpl w:val="F2BE1B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27">
    <w:nsid w:val="281F6004"/>
    <w:multiLevelType w:val="multilevel"/>
    <w:tmpl w:val="A1F25A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28">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9">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630">
    <w:nsid w:val="283D5C60"/>
    <w:multiLevelType w:val="hybridMultilevel"/>
    <w:tmpl w:val="7300665A"/>
    <w:lvl w:ilvl="0" w:tplc="89B462E6">
      <w:start w:val="126"/>
      <w:numFmt w:val="decimal"/>
      <w:lvlText w:val="第%1条"/>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1">
    <w:nsid w:val="284E6299"/>
    <w:multiLevelType w:val="hybridMultilevel"/>
    <w:tmpl w:val="82D825C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32">
    <w:nsid w:val="286305A9"/>
    <w:multiLevelType w:val="hybridMultilevel"/>
    <w:tmpl w:val="C8F4BD5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33">
    <w:nsid w:val="28725DAD"/>
    <w:multiLevelType w:val="hybridMultilevel"/>
    <w:tmpl w:val="EBD85C56"/>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4">
    <w:nsid w:val="28741351"/>
    <w:multiLevelType w:val="singleLevel"/>
    <w:tmpl w:val="6F383110"/>
    <w:lvl w:ilvl="0">
      <w:start w:val="1"/>
      <w:numFmt w:val="upperLetter"/>
      <w:lvlText w:val="%1."/>
      <w:lvlJc w:val="left"/>
      <w:pPr>
        <w:tabs>
          <w:tab w:val="num" w:pos="1080"/>
        </w:tabs>
        <w:ind w:left="1080" w:hanging="360"/>
      </w:pPr>
      <w:rPr>
        <w:rFonts w:hint="default"/>
      </w:rPr>
    </w:lvl>
  </w:abstractNum>
  <w:abstractNum w:abstractNumId="635">
    <w:nsid w:val="28822DE2"/>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636">
    <w:nsid w:val="288D6269"/>
    <w:multiLevelType w:val="singleLevel"/>
    <w:tmpl w:val="04070017"/>
    <w:lvl w:ilvl="0">
      <w:start w:val="1"/>
      <w:numFmt w:val="lowerLetter"/>
      <w:lvlText w:val="%1)"/>
      <w:lvlJc w:val="left"/>
      <w:pPr>
        <w:tabs>
          <w:tab w:val="num" w:pos="360"/>
        </w:tabs>
        <w:ind w:left="360" w:hanging="360"/>
      </w:pPr>
    </w:lvl>
  </w:abstractNum>
  <w:abstractNum w:abstractNumId="637">
    <w:nsid w:val="28AD31C7"/>
    <w:multiLevelType w:val="multilevel"/>
    <w:tmpl w:val="DCC89E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38">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639">
    <w:nsid w:val="28CC65AA"/>
    <w:multiLevelType w:val="hybridMultilevel"/>
    <w:tmpl w:val="4F2499B4"/>
    <w:lvl w:ilvl="0" w:tplc="D4C2BD1C">
      <w:start w:val="23"/>
      <w:numFmt w:val="decimal"/>
      <w:lvlText w:val="%1．"/>
      <w:lvlJc w:val="left"/>
      <w:pPr>
        <w:tabs>
          <w:tab w:val="num" w:pos="855"/>
        </w:tabs>
        <w:ind w:left="855" w:hanging="43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40">
    <w:nsid w:val="28D1150C"/>
    <w:multiLevelType w:val="hybridMultilevel"/>
    <w:tmpl w:val="68DC5C7E"/>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1">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2">
    <w:nsid w:val="28E47EB4"/>
    <w:multiLevelType w:val="singleLevel"/>
    <w:tmpl w:val="04070017"/>
    <w:lvl w:ilvl="0">
      <w:start w:val="1"/>
      <w:numFmt w:val="lowerLetter"/>
      <w:lvlText w:val="%1)"/>
      <w:lvlJc w:val="left"/>
      <w:pPr>
        <w:tabs>
          <w:tab w:val="num" w:pos="360"/>
        </w:tabs>
        <w:ind w:left="360" w:hanging="360"/>
      </w:pPr>
    </w:lvl>
  </w:abstractNum>
  <w:abstractNum w:abstractNumId="643">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4">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45">
    <w:nsid w:val="291425F8"/>
    <w:multiLevelType w:val="multilevel"/>
    <w:tmpl w:val="B2608A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46">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7">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48">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649">
    <w:nsid w:val="2935233C"/>
    <w:multiLevelType w:val="hybridMultilevel"/>
    <w:tmpl w:val="D25A43D8"/>
    <w:lvl w:ilvl="0" w:tplc="3B34CB5A">
      <w:start w:val="1"/>
      <w:numFmt w:val="bullet"/>
      <w:lvlText w:val=""/>
      <w:lvlJc w:val="left"/>
      <w:pPr>
        <w:tabs>
          <w:tab w:val="num" w:pos="1050"/>
        </w:tabs>
        <w:ind w:left="1050" w:hanging="420"/>
      </w:pPr>
      <w:rPr>
        <w:rFonts w:ascii="Wingdings 2" w:hAnsi="Wingdings 2"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650">
    <w:nsid w:val="29393CB5"/>
    <w:multiLevelType w:val="singleLevel"/>
    <w:tmpl w:val="66FC3666"/>
    <w:lvl w:ilvl="0">
      <w:start w:val="1"/>
      <w:numFmt w:val="lowerLetter"/>
      <w:lvlText w:val="(%1)"/>
      <w:legacy w:legacy="1" w:legacySpace="0" w:legacyIndent="425"/>
      <w:lvlJc w:val="left"/>
      <w:pPr>
        <w:ind w:left="1446" w:hanging="425"/>
      </w:pPr>
    </w:lvl>
  </w:abstractNum>
  <w:abstractNum w:abstractNumId="651">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2">
    <w:nsid w:val="297E0362"/>
    <w:multiLevelType w:val="hybridMultilevel"/>
    <w:tmpl w:val="47922A00"/>
    <w:lvl w:ilvl="0" w:tplc="30DA95E0">
      <w:start w:val="92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3">
    <w:nsid w:val="29816E9B"/>
    <w:multiLevelType w:val="singleLevel"/>
    <w:tmpl w:val="C62C0E52"/>
    <w:lvl w:ilvl="0">
      <w:start w:val="1"/>
      <w:numFmt w:val="bullet"/>
      <w:lvlText w:val=""/>
      <w:lvlJc w:val="left"/>
      <w:pPr>
        <w:tabs>
          <w:tab w:val="num" w:pos="360"/>
        </w:tabs>
        <w:ind w:left="360" w:hanging="360"/>
      </w:pPr>
      <w:rPr>
        <w:rFonts w:ascii="Symbol" w:hAnsi="Symbol" w:cs="Times New Roman" w:hint="default"/>
      </w:rPr>
    </w:lvl>
  </w:abstractNum>
  <w:abstractNum w:abstractNumId="654">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55">
    <w:nsid w:val="29A54697"/>
    <w:multiLevelType w:val="singleLevel"/>
    <w:tmpl w:val="04070017"/>
    <w:lvl w:ilvl="0">
      <w:start w:val="1"/>
      <w:numFmt w:val="lowerLetter"/>
      <w:lvlText w:val="%1)"/>
      <w:lvlJc w:val="left"/>
      <w:pPr>
        <w:tabs>
          <w:tab w:val="num" w:pos="360"/>
        </w:tabs>
        <w:ind w:left="360" w:hanging="360"/>
      </w:pPr>
    </w:lvl>
  </w:abstractNum>
  <w:abstractNum w:abstractNumId="656">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657">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58">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9">
    <w:nsid w:val="29E91054"/>
    <w:multiLevelType w:val="hybridMultilevel"/>
    <w:tmpl w:val="26AC1D04"/>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660">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1">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662">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3">
    <w:nsid w:val="2A4D16DC"/>
    <w:multiLevelType w:val="hybridMultilevel"/>
    <w:tmpl w:val="38E06A28"/>
    <w:lvl w:ilvl="0" w:tplc="D7AED208">
      <w:start w:val="196"/>
      <w:numFmt w:val="decimal"/>
      <w:lvlText w:val="%1."/>
      <w:lvlJc w:val="left"/>
      <w:pPr>
        <w:tabs>
          <w:tab w:val="num" w:pos="792"/>
        </w:tabs>
        <w:ind w:left="792" w:hanging="79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4">
    <w:nsid w:val="2A5D7452"/>
    <w:multiLevelType w:val="hybridMultilevel"/>
    <w:tmpl w:val="667403D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65">
    <w:nsid w:val="2A5F406F"/>
    <w:multiLevelType w:val="hybridMultilevel"/>
    <w:tmpl w:val="6152E728"/>
    <w:lvl w:ilvl="0" w:tplc="299CB982">
      <w:start w:val="6"/>
      <w:numFmt w:val="bullet"/>
      <w:lvlText w:val="-"/>
      <w:lvlJc w:val="left"/>
      <w:pPr>
        <w:tabs>
          <w:tab w:val="num" w:pos="1080"/>
        </w:tabs>
        <w:ind w:left="1080" w:hanging="360"/>
      </w:pPr>
      <w:rPr>
        <w:rFonts w:ascii="Times New Roman" w:eastAsia="Times New Roman" w:hAnsi="Times New Roman" w:cs="Times New Roman"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666">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7">
    <w:nsid w:val="2AB10E3F"/>
    <w:multiLevelType w:val="singleLevel"/>
    <w:tmpl w:val="04070017"/>
    <w:lvl w:ilvl="0">
      <w:start w:val="1"/>
      <w:numFmt w:val="lowerLetter"/>
      <w:lvlText w:val="%1)"/>
      <w:lvlJc w:val="left"/>
      <w:pPr>
        <w:tabs>
          <w:tab w:val="num" w:pos="360"/>
        </w:tabs>
        <w:ind w:left="360" w:hanging="360"/>
      </w:pPr>
    </w:lvl>
  </w:abstractNum>
  <w:abstractNum w:abstractNumId="668">
    <w:nsid w:val="2AC04960"/>
    <w:multiLevelType w:val="multilevel"/>
    <w:tmpl w:val="63566A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69">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670">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71">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2">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673">
    <w:nsid w:val="2B27427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7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675">
    <w:nsid w:val="2B41279D"/>
    <w:multiLevelType w:val="hybridMultilevel"/>
    <w:tmpl w:val="D6E8FA28"/>
    <w:lvl w:ilvl="0" w:tplc="68E21C74">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76">
    <w:nsid w:val="2B440378"/>
    <w:multiLevelType w:val="hybridMultilevel"/>
    <w:tmpl w:val="5DFCF6C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7">
    <w:nsid w:val="2B4A5EAE"/>
    <w:multiLevelType w:val="hybridMultilevel"/>
    <w:tmpl w:val="1626FFDA"/>
    <w:lvl w:ilvl="0" w:tplc="2B1E6F30">
      <w:start w:val="1187"/>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8">
    <w:nsid w:val="2B5B069C"/>
    <w:multiLevelType w:val="hybridMultilevel"/>
    <w:tmpl w:val="26EEC40E"/>
    <w:lvl w:ilvl="0" w:tplc="C9E01C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9">
    <w:nsid w:val="2B5F0EE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680">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681">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682">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683">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4">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5">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86">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7">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688">
    <w:nsid w:val="2C3B0425"/>
    <w:multiLevelType w:val="hybridMultilevel"/>
    <w:tmpl w:val="25F8EE82"/>
    <w:lvl w:ilvl="0" w:tplc="056072BC">
      <w:start w:val="1"/>
      <w:numFmt w:val="lowerLetter"/>
      <w:lvlText w:val="（%1）"/>
      <w:lvlJc w:val="left"/>
      <w:pPr>
        <w:tabs>
          <w:tab w:val="num" w:pos="930"/>
        </w:tabs>
        <w:ind w:left="930" w:hanging="720"/>
      </w:pPr>
      <w:rPr>
        <w:rFonts w:hint="eastAsia"/>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689">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0">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1">
    <w:nsid w:val="2C70054F"/>
    <w:multiLevelType w:val="hybridMultilevel"/>
    <w:tmpl w:val="D598DFCC"/>
    <w:lvl w:ilvl="0" w:tplc="1DC4720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2">
    <w:nsid w:val="2C724BE1"/>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3">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94">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5">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696">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697">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8">
    <w:nsid w:val="2CE75426"/>
    <w:multiLevelType w:val="hybridMultilevel"/>
    <w:tmpl w:val="DBCA76C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9">
    <w:nsid w:val="2D1532F3"/>
    <w:multiLevelType w:val="hybridMultilevel"/>
    <w:tmpl w:val="94B43B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00">
    <w:nsid w:val="2D332706"/>
    <w:multiLevelType w:val="hybridMultilevel"/>
    <w:tmpl w:val="6F4086F4"/>
    <w:lvl w:ilvl="0" w:tplc="AEE2BF9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1">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2">
    <w:nsid w:val="2D4C070E"/>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03">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04">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705">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706">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707">
    <w:nsid w:val="2DD21965"/>
    <w:multiLevelType w:val="hybridMultilevel"/>
    <w:tmpl w:val="5EF073DA"/>
    <w:lvl w:ilvl="0" w:tplc="92FE98AA">
      <w:start w:val="13"/>
      <w:numFmt w:val="upperRoman"/>
      <w:lvlText w:val="%1．"/>
      <w:lvlJc w:val="left"/>
      <w:pPr>
        <w:tabs>
          <w:tab w:val="num" w:pos="2400"/>
        </w:tabs>
        <w:ind w:left="2400" w:hanging="720"/>
      </w:pPr>
      <w:rPr>
        <w:rFonts w:hint="default"/>
      </w:rPr>
    </w:lvl>
    <w:lvl w:ilvl="1" w:tplc="04090019" w:tentative="1">
      <w:start w:val="1"/>
      <w:numFmt w:val="lowerLetter"/>
      <w:lvlText w:val="%2)"/>
      <w:lvlJc w:val="left"/>
      <w:pPr>
        <w:tabs>
          <w:tab w:val="num" w:pos="2520"/>
        </w:tabs>
        <w:ind w:left="2520" w:hanging="420"/>
      </w:pPr>
    </w:lvl>
    <w:lvl w:ilvl="2" w:tplc="0409001B" w:tentative="1">
      <w:start w:val="1"/>
      <w:numFmt w:val="lowerRoman"/>
      <w:lvlText w:val="%3."/>
      <w:lvlJc w:val="right"/>
      <w:pPr>
        <w:tabs>
          <w:tab w:val="num" w:pos="2940"/>
        </w:tabs>
        <w:ind w:left="2940" w:hanging="420"/>
      </w:pPr>
    </w:lvl>
    <w:lvl w:ilvl="3" w:tplc="0409000F" w:tentative="1">
      <w:start w:val="1"/>
      <w:numFmt w:val="decimal"/>
      <w:lvlText w:val="%4."/>
      <w:lvlJc w:val="left"/>
      <w:pPr>
        <w:tabs>
          <w:tab w:val="num" w:pos="3360"/>
        </w:tabs>
        <w:ind w:left="3360" w:hanging="420"/>
      </w:pPr>
    </w:lvl>
    <w:lvl w:ilvl="4" w:tplc="04090019" w:tentative="1">
      <w:start w:val="1"/>
      <w:numFmt w:val="lowerLetter"/>
      <w:lvlText w:val="%5)"/>
      <w:lvlJc w:val="left"/>
      <w:pPr>
        <w:tabs>
          <w:tab w:val="num" w:pos="3780"/>
        </w:tabs>
        <w:ind w:left="3780" w:hanging="420"/>
      </w:pPr>
    </w:lvl>
    <w:lvl w:ilvl="5" w:tplc="0409001B" w:tentative="1">
      <w:start w:val="1"/>
      <w:numFmt w:val="lowerRoman"/>
      <w:lvlText w:val="%6."/>
      <w:lvlJc w:val="right"/>
      <w:pPr>
        <w:tabs>
          <w:tab w:val="num" w:pos="4200"/>
        </w:tabs>
        <w:ind w:left="4200" w:hanging="420"/>
      </w:pPr>
    </w:lvl>
    <w:lvl w:ilvl="6" w:tplc="0409000F" w:tentative="1">
      <w:start w:val="1"/>
      <w:numFmt w:val="decimal"/>
      <w:lvlText w:val="%7."/>
      <w:lvlJc w:val="left"/>
      <w:pPr>
        <w:tabs>
          <w:tab w:val="num" w:pos="4620"/>
        </w:tabs>
        <w:ind w:left="4620" w:hanging="420"/>
      </w:pPr>
    </w:lvl>
    <w:lvl w:ilvl="7" w:tplc="04090019" w:tentative="1">
      <w:start w:val="1"/>
      <w:numFmt w:val="lowerLetter"/>
      <w:lvlText w:val="%8)"/>
      <w:lvlJc w:val="left"/>
      <w:pPr>
        <w:tabs>
          <w:tab w:val="num" w:pos="5040"/>
        </w:tabs>
        <w:ind w:left="5040" w:hanging="420"/>
      </w:pPr>
    </w:lvl>
    <w:lvl w:ilvl="8" w:tplc="0409001B" w:tentative="1">
      <w:start w:val="1"/>
      <w:numFmt w:val="lowerRoman"/>
      <w:lvlText w:val="%9."/>
      <w:lvlJc w:val="right"/>
      <w:pPr>
        <w:tabs>
          <w:tab w:val="num" w:pos="5460"/>
        </w:tabs>
        <w:ind w:left="5460" w:hanging="420"/>
      </w:pPr>
    </w:lvl>
  </w:abstractNum>
  <w:abstractNum w:abstractNumId="708">
    <w:nsid w:val="2DEA1D56"/>
    <w:multiLevelType w:val="hybridMultilevel"/>
    <w:tmpl w:val="34A29FF0"/>
    <w:lvl w:ilvl="0" w:tplc="04090009">
      <w:start w:val="1"/>
      <w:numFmt w:val="bullet"/>
      <w:lvlText w:val=""/>
      <w:lvlJc w:val="left"/>
      <w:pPr>
        <w:tabs>
          <w:tab w:val="num" w:pos="1905"/>
        </w:tabs>
        <w:ind w:left="1905" w:hanging="420"/>
      </w:pPr>
      <w:rPr>
        <w:rFonts w:ascii="Wingdings" w:hAnsi="Wingdings" w:hint="default"/>
      </w:rPr>
    </w:lvl>
    <w:lvl w:ilvl="1" w:tplc="04090019">
      <w:start w:val="1"/>
      <w:numFmt w:val="lowerLetter"/>
      <w:lvlText w:val="%2)"/>
      <w:lvlJc w:val="left"/>
      <w:pPr>
        <w:tabs>
          <w:tab w:val="num" w:pos="2325"/>
        </w:tabs>
        <w:ind w:left="2325" w:hanging="420"/>
      </w:p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709">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710">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1">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12">
    <w:nsid w:val="2E1B08C3"/>
    <w:multiLevelType w:val="hybridMultilevel"/>
    <w:tmpl w:val="AA88C3BC"/>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13">
    <w:nsid w:val="2E217473"/>
    <w:multiLevelType w:val="multilevel"/>
    <w:tmpl w:val="66C4C61A"/>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14">
    <w:nsid w:val="2E2749FB"/>
    <w:multiLevelType w:val="multilevel"/>
    <w:tmpl w:val="F2A4FF60"/>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15">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716">
    <w:nsid w:val="2E4E336C"/>
    <w:multiLevelType w:val="multilevel"/>
    <w:tmpl w:val="D8FE1D7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17">
    <w:nsid w:val="2E5A5CB5"/>
    <w:multiLevelType w:val="multilevel"/>
    <w:tmpl w:val="AFA840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18">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719">
    <w:nsid w:val="2E702B76"/>
    <w:multiLevelType w:val="hybridMultilevel"/>
    <w:tmpl w:val="84CC2088"/>
    <w:lvl w:ilvl="0" w:tplc="DA58FF3E">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20">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21">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2">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723">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4">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25">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726">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727">
    <w:nsid w:val="2F435F34"/>
    <w:multiLevelType w:val="multilevel"/>
    <w:tmpl w:val="0FFCA45E"/>
    <w:lvl w:ilvl="0">
      <w:start w:val="1"/>
      <w:numFmt w:val="bullet"/>
      <w:lvlText w:val=""/>
      <w:lvlJc w:val="left"/>
      <w:pPr>
        <w:tabs>
          <w:tab w:val="num" w:pos="510"/>
        </w:tabs>
        <w:ind w:left="510" w:hanging="510"/>
      </w:pPr>
      <w:rPr>
        <w:rFonts w:ascii="Symbol" w:hAnsi="Symbol" w:cs="Times New Roman" w:hint="default"/>
      </w:rPr>
    </w:lvl>
    <w:lvl w:ilvl="1">
      <w:start w:val="1"/>
      <w:numFmt w:val="bullet"/>
      <w:lvlText w:val="o"/>
      <w:lvlJc w:val="left"/>
      <w:pPr>
        <w:tabs>
          <w:tab w:val="num" w:pos="1270"/>
        </w:tabs>
        <w:ind w:left="1270" w:hanging="360"/>
      </w:pPr>
      <w:rPr>
        <w:rFonts w:ascii="Courier New" w:hAnsi="Courier New" w:cs="Courier New" w:hint="default"/>
      </w:rPr>
    </w:lvl>
    <w:lvl w:ilvl="2">
      <w:start w:val="1"/>
      <w:numFmt w:val="bullet"/>
      <w:lvlText w:val=""/>
      <w:lvlJc w:val="left"/>
      <w:pPr>
        <w:tabs>
          <w:tab w:val="num" w:pos="1990"/>
        </w:tabs>
        <w:ind w:left="1990" w:hanging="360"/>
      </w:pPr>
      <w:rPr>
        <w:rFonts w:ascii="Wingdings" w:hAnsi="Wingdings" w:cs="Times New Roman" w:hint="default"/>
      </w:rPr>
    </w:lvl>
    <w:lvl w:ilvl="3">
      <w:start w:val="1"/>
      <w:numFmt w:val="bullet"/>
      <w:lvlText w:val=""/>
      <w:lvlJc w:val="left"/>
      <w:pPr>
        <w:tabs>
          <w:tab w:val="num" w:pos="2710"/>
        </w:tabs>
        <w:ind w:left="2710" w:hanging="360"/>
      </w:pPr>
      <w:rPr>
        <w:rFonts w:ascii="Symbol" w:hAnsi="Symbol" w:cs="Times New Roman" w:hint="default"/>
      </w:rPr>
    </w:lvl>
    <w:lvl w:ilvl="4">
      <w:start w:val="1"/>
      <w:numFmt w:val="bullet"/>
      <w:lvlText w:val="o"/>
      <w:lvlJc w:val="left"/>
      <w:pPr>
        <w:tabs>
          <w:tab w:val="num" w:pos="3430"/>
        </w:tabs>
        <w:ind w:left="3430" w:hanging="360"/>
      </w:pPr>
      <w:rPr>
        <w:rFonts w:ascii="Courier New" w:hAnsi="Courier New" w:cs="Courier New" w:hint="default"/>
      </w:rPr>
    </w:lvl>
    <w:lvl w:ilvl="5">
      <w:start w:val="1"/>
      <w:numFmt w:val="bullet"/>
      <w:lvlText w:val=""/>
      <w:lvlJc w:val="left"/>
      <w:pPr>
        <w:tabs>
          <w:tab w:val="num" w:pos="4150"/>
        </w:tabs>
        <w:ind w:left="4150" w:hanging="360"/>
      </w:pPr>
      <w:rPr>
        <w:rFonts w:ascii="Wingdings" w:hAnsi="Wingdings" w:cs="Times New Roman" w:hint="default"/>
      </w:rPr>
    </w:lvl>
    <w:lvl w:ilvl="6">
      <w:start w:val="1"/>
      <w:numFmt w:val="bullet"/>
      <w:lvlText w:val=""/>
      <w:lvlJc w:val="left"/>
      <w:pPr>
        <w:tabs>
          <w:tab w:val="num" w:pos="4870"/>
        </w:tabs>
        <w:ind w:left="4870" w:hanging="360"/>
      </w:pPr>
      <w:rPr>
        <w:rFonts w:ascii="Symbol" w:hAnsi="Symbol" w:cs="Times New Roman" w:hint="default"/>
      </w:rPr>
    </w:lvl>
    <w:lvl w:ilvl="7">
      <w:start w:val="1"/>
      <w:numFmt w:val="bullet"/>
      <w:lvlText w:val="o"/>
      <w:lvlJc w:val="left"/>
      <w:pPr>
        <w:tabs>
          <w:tab w:val="num" w:pos="5590"/>
        </w:tabs>
        <w:ind w:left="5590" w:hanging="360"/>
      </w:pPr>
      <w:rPr>
        <w:rFonts w:ascii="Courier New" w:hAnsi="Courier New" w:cs="Courier New" w:hint="default"/>
      </w:rPr>
    </w:lvl>
    <w:lvl w:ilvl="8">
      <w:start w:val="1"/>
      <w:numFmt w:val="bullet"/>
      <w:lvlText w:val=""/>
      <w:lvlJc w:val="left"/>
      <w:pPr>
        <w:tabs>
          <w:tab w:val="num" w:pos="6310"/>
        </w:tabs>
        <w:ind w:left="6310" w:hanging="360"/>
      </w:pPr>
      <w:rPr>
        <w:rFonts w:ascii="Wingdings" w:hAnsi="Wingdings" w:cs="Times New Roman" w:hint="default"/>
      </w:rPr>
    </w:lvl>
  </w:abstractNum>
  <w:abstractNum w:abstractNumId="728">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729">
    <w:nsid w:val="2F905FAA"/>
    <w:multiLevelType w:val="hybridMultilevel"/>
    <w:tmpl w:val="A454B0E4"/>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30">
    <w:nsid w:val="2F923C02"/>
    <w:multiLevelType w:val="hybridMultilevel"/>
    <w:tmpl w:val="D3EEDA64"/>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731">
    <w:nsid w:val="2FBD1E8D"/>
    <w:multiLevelType w:val="hybridMultilevel"/>
    <w:tmpl w:val="6130FB38"/>
    <w:lvl w:ilvl="0" w:tplc="2020DA1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2">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33">
    <w:nsid w:val="2FF7534F"/>
    <w:multiLevelType w:val="hybridMultilevel"/>
    <w:tmpl w:val="74704D4A"/>
    <w:lvl w:ilvl="0" w:tplc="365481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4">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735">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736">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37">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38">
    <w:nsid w:val="302A75A7"/>
    <w:multiLevelType w:val="singleLevel"/>
    <w:tmpl w:val="3496DD40"/>
    <w:lvl w:ilvl="0">
      <w:start w:val="1"/>
      <w:numFmt w:val="decimal"/>
      <w:lvlText w:val="(%1)"/>
      <w:lvlJc w:val="left"/>
      <w:pPr>
        <w:tabs>
          <w:tab w:val="num" w:pos="1440"/>
        </w:tabs>
        <w:ind w:left="1440" w:hanging="720"/>
      </w:pPr>
    </w:lvl>
  </w:abstractNum>
  <w:abstractNum w:abstractNumId="739">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740">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41">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742">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743">
    <w:nsid w:val="30706ACC"/>
    <w:multiLevelType w:val="multilevel"/>
    <w:tmpl w:val="E2B606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44">
    <w:nsid w:val="309330B7"/>
    <w:multiLevelType w:val="hybridMultilevel"/>
    <w:tmpl w:val="16CE20FC"/>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45">
    <w:nsid w:val="30944F57"/>
    <w:multiLevelType w:val="hybridMultilevel"/>
    <w:tmpl w:val="2826ADB4"/>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6">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747">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8">
    <w:nsid w:val="30D50645"/>
    <w:multiLevelType w:val="multilevel"/>
    <w:tmpl w:val="CBEA52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749">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0">
    <w:nsid w:val="31036F0D"/>
    <w:multiLevelType w:val="multilevel"/>
    <w:tmpl w:val="09B6F8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51">
    <w:nsid w:val="31037C09"/>
    <w:multiLevelType w:val="multilevel"/>
    <w:tmpl w:val="7B7478BA"/>
    <w:lvl w:ilvl="0">
      <w:start w:val="1"/>
      <w:numFmt w:val="bullet"/>
      <w:lvlText w:val=""/>
      <w:lvlJc w:val="left"/>
      <w:pPr>
        <w:tabs>
          <w:tab w:val="num" w:pos="1800"/>
        </w:tabs>
        <w:ind w:left="1800" w:hanging="360"/>
      </w:pPr>
      <w:rPr>
        <w:rFonts w:ascii="Wingdings" w:hAnsi="Wingdings"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52">
    <w:nsid w:val="310971EB"/>
    <w:multiLevelType w:val="hybridMultilevel"/>
    <w:tmpl w:val="259080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3">
    <w:nsid w:val="31165889"/>
    <w:multiLevelType w:val="multilevel"/>
    <w:tmpl w:val="5F62C29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54">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755">
    <w:nsid w:val="31857D37"/>
    <w:multiLevelType w:val="hybridMultilevel"/>
    <w:tmpl w:val="829AB40A"/>
    <w:lvl w:ilvl="0" w:tplc="BEE856D0">
      <w:start w:val="1"/>
      <w:numFmt w:val="decimal"/>
      <w:lvlText w:val="%1."/>
      <w:lvlJc w:val="left"/>
      <w:pPr>
        <w:tabs>
          <w:tab w:val="num" w:pos="1212"/>
        </w:tabs>
        <w:ind w:left="1212" w:hanging="360"/>
      </w:pPr>
      <w:rPr>
        <w:rFonts w:hint="default"/>
      </w:rPr>
    </w:lvl>
    <w:lvl w:ilvl="1" w:tplc="C4F09CCC">
      <w:start w:val="1"/>
      <w:numFmt w:val="upperLetter"/>
      <w:lvlText w:val="%2."/>
      <w:lvlJc w:val="left"/>
      <w:pPr>
        <w:tabs>
          <w:tab w:val="num" w:pos="1692"/>
        </w:tabs>
        <w:ind w:left="1692" w:hanging="420"/>
      </w:pPr>
      <w:rPr>
        <w:rFonts w:hint="default"/>
      </w:rPr>
    </w:lvl>
    <w:lvl w:ilvl="2" w:tplc="93E8C70C">
      <w:start w:val="1"/>
      <w:numFmt w:val="lowerLetter"/>
      <w:lvlText w:val="（%3）"/>
      <w:lvlJc w:val="left"/>
      <w:pPr>
        <w:tabs>
          <w:tab w:val="num" w:pos="2412"/>
        </w:tabs>
        <w:ind w:left="2412" w:hanging="720"/>
      </w:pPr>
      <w:rPr>
        <w:rFonts w:hint="default"/>
      </w:rPr>
    </w:lvl>
    <w:lvl w:ilvl="3" w:tplc="0409000F" w:tentative="1">
      <w:start w:val="1"/>
      <w:numFmt w:val="decimal"/>
      <w:lvlText w:val="%4."/>
      <w:lvlJc w:val="left"/>
      <w:pPr>
        <w:tabs>
          <w:tab w:val="num" w:pos="2532"/>
        </w:tabs>
        <w:ind w:left="2532" w:hanging="420"/>
      </w:pPr>
    </w:lvl>
    <w:lvl w:ilvl="4" w:tplc="04090019" w:tentative="1">
      <w:start w:val="1"/>
      <w:numFmt w:val="lowerLetter"/>
      <w:lvlText w:val="%5)"/>
      <w:lvlJc w:val="left"/>
      <w:pPr>
        <w:tabs>
          <w:tab w:val="num" w:pos="2952"/>
        </w:tabs>
        <w:ind w:left="2952" w:hanging="420"/>
      </w:pPr>
    </w:lvl>
    <w:lvl w:ilvl="5" w:tplc="0409001B" w:tentative="1">
      <w:start w:val="1"/>
      <w:numFmt w:val="lowerRoman"/>
      <w:lvlText w:val="%6."/>
      <w:lvlJc w:val="right"/>
      <w:pPr>
        <w:tabs>
          <w:tab w:val="num" w:pos="3372"/>
        </w:tabs>
        <w:ind w:left="3372" w:hanging="420"/>
      </w:pPr>
    </w:lvl>
    <w:lvl w:ilvl="6" w:tplc="0409000F" w:tentative="1">
      <w:start w:val="1"/>
      <w:numFmt w:val="decimal"/>
      <w:lvlText w:val="%7."/>
      <w:lvlJc w:val="left"/>
      <w:pPr>
        <w:tabs>
          <w:tab w:val="num" w:pos="3792"/>
        </w:tabs>
        <w:ind w:left="3792" w:hanging="420"/>
      </w:pPr>
    </w:lvl>
    <w:lvl w:ilvl="7" w:tplc="04090019" w:tentative="1">
      <w:start w:val="1"/>
      <w:numFmt w:val="lowerLetter"/>
      <w:lvlText w:val="%8)"/>
      <w:lvlJc w:val="left"/>
      <w:pPr>
        <w:tabs>
          <w:tab w:val="num" w:pos="4212"/>
        </w:tabs>
        <w:ind w:left="4212" w:hanging="420"/>
      </w:pPr>
    </w:lvl>
    <w:lvl w:ilvl="8" w:tplc="0409001B" w:tentative="1">
      <w:start w:val="1"/>
      <w:numFmt w:val="lowerRoman"/>
      <w:lvlText w:val="%9."/>
      <w:lvlJc w:val="right"/>
      <w:pPr>
        <w:tabs>
          <w:tab w:val="num" w:pos="4632"/>
        </w:tabs>
        <w:ind w:left="4632" w:hanging="420"/>
      </w:pPr>
    </w:lvl>
  </w:abstractNum>
  <w:abstractNum w:abstractNumId="756">
    <w:nsid w:val="31C57EB6"/>
    <w:multiLevelType w:val="hybridMultilevel"/>
    <w:tmpl w:val="39583218"/>
    <w:lvl w:ilvl="0" w:tplc="D85CD1B2">
      <w:start w:val="1"/>
      <w:numFmt w:val="japaneseCounting"/>
      <w:lvlText w:val="%1、"/>
      <w:lvlJc w:val="left"/>
      <w:pPr>
        <w:tabs>
          <w:tab w:val="num" w:pos="432"/>
        </w:tabs>
        <w:ind w:left="432" w:hanging="432"/>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7">
    <w:nsid w:val="320E128D"/>
    <w:multiLevelType w:val="hybridMultilevel"/>
    <w:tmpl w:val="D5862D82"/>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758">
    <w:nsid w:val="32192D99"/>
    <w:multiLevelType w:val="hybridMultilevel"/>
    <w:tmpl w:val="F0F6D198"/>
    <w:lvl w:ilvl="0" w:tplc="514EAA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9">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760">
    <w:nsid w:val="32256FAC"/>
    <w:multiLevelType w:val="hybridMultilevel"/>
    <w:tmpl w:val="E212889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1">
    <w:nsid w:val="322731C2"/>
    <w:multiLevelType w:val="hybridMultilevel"/>
    <w:tmpl w:val="27D43E1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2">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3">
    <w:nsid w:val="32400C3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64">
    <w:nsid w:val="3288391E"/>
    <w:multiLevelType w:val="multilevel"/>
    <w:tmpl w:val="E416A8E2"/>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65">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766">
    <w:nsid w:val="3297061F"/>
    <w:multiLevelType w:val="multilevel"/>
    <w:tmpl w:val="0376321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67">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8">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9">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70">
    <w:nsid w:val="32BD376F"/>
    <w:multiLevelType w:val="hybridMultilevel"/>
    <w:tmpl w:val="53E26960"/>
    <w:lvl w:ilvl="0" w:tplc="299CB982">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71">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72">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773">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74">
    <w:nsid w:val="33044E9B"/>
    <w:multiLevelType w:val="hybridMultilevel"/>
    <w:tmpl w:val="9D486EB2"/>
    <w:lvl w:ilvl="0" w:tplc="DB68C92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5">
    <w:nsid w:val="33325160"/>
    <w:multiLevelType w:val="multilevel"/>
    <w:tmpl w:val="098CBCD4"/>
    <w:lvl w:ilvl="0">
      <w:start w:val="1"/>
      <w:numFmt w:val="bullet"/>
      <w:lvlText w:val="-"/>
      <w:lvlJc w:val="left"/>
      <w:pPr>
        <w:tabs>
          <w:tab w:val="num" w:pos="360"/>
        </w:tabs>
        <w:ind w:left="360" w:hanging="360"/>
      </w:pPr>
      <w:rPr>
        <w:sz w:val="16"/>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76">
    <w:nsid w:val="33405458"/>
    <w:multiLevelType w:val="singleLevel"/>
    <w:tmpl w:val="66FC3666"/>
    <w:lvl w:ilvl="0">
      <w:start w:val="1"/>
      <w:numFmt w:val="lowerLetter"/>
      <w:lvlText w:val="(%1)"/>
      <w:legacy w:legacy="1" w:legacySpace="0" w:legacyIndent="425"/>
      <w:lvlJc w:val="left"/>
      <w:pPr>
        <w:ind w:left="1446" w:hanging="425"/>
      </w:pPr>
    </w:lvl>
  </w:abstractNum>
  <w:abstractNum w:abstractNumId="777">
    <w:nsid w:val="334A6448"/>
    <w:multiLevelType w:val="hybridMultilevel"/>
    <w:tmpl w:val="7668EAD2"/>
    <w:lvl w:ilvl="0" w:tplc="B9128B90">
      <w:start w:val="69"/>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8">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9">
    <w:nsid w:val="33713C7B"/>
    <w:multiLevelType w:val="hybridMultilevel"/>
    <w:tmpl w:val="2D101C5E"/>
    <w:lvl w:ilvl="0" w:tplc="9CBA163C">
      <w:start w:val="1073"/>
      <w:numFmt w:val="decimal"/>
      <w:lvlText w:val="%1．"/>
      <w:lvlJc w:val="left"/>
      <w:pPr>
        <w:tabs>
          <w:tab w:val="num" w:pos="840"/>
        </w:tabs>
        <w:ind w:left="840" w:hanging="840"/>
      </w:pPr>
      <w:rPr>
        <w:rFonts w:hint="default"/>
      </w:rPr>
    </w:lvl>
    <w:lvl w:ilvl="1" w:tplc="C7C2F724">
      <w:start w:val="40"/>
      <w:numFmt w:val="decimal"/>
      <w:lvlText w:val="%2．"/>
      <w:lvlJc w:val="left"/>
      <w:pPr>
        <w:tabs>
          <w:tab w:val="num" w:pos="795"/>
        </w:tabs>
        <w:ind w:left="795" w:hanging="37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0">
    <w:nsid w:val="337A0F2B"/>
    <w:multiLevelType w:val="hybridMultilevel"/>
    <w:tmpl w:val="25E2BE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1">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82">
    <w:nsid w:val="33A17082"/>
    <w:multiLevelType w:val="hybridMultilevel"/>
    <w:tmpl w:val="01706320"/>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3">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84">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785">
    <w:nsid w:val="33EE7680"/>
    <w:multiLevelType w:val="hybridMultilevel"/>
    <w:tmpl w:val="8816585E"/>
    <w:lvl w:ilvl="0" w:tplc="DD3E1EBC">
      <w:start w:val="311"/>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6">
    <w:nsid w:val="345F512A"/>
    <w:multiLevelType w:val="hybridMultilevel"/>
    <w:tmpl w:val="DE5C20A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87">
    <w:nsid w:val="346121A7"/>
    <w:multiLevelType w:val="hybridMultilevel"/>
    <w:tmpl w:val="9C5E5570"/>
    <w:lvl w:ilvl="0" w:tplc="04090019">
      <w:start w:val="1"/>
      <w:numFmt w:val="lowerLetter"/>
      <w:lvlText w:val="%1)"/>
      <w:lvlJc w:val="left"/>
      <w:pPr>
        <w:tabs>
          <w:tab w:val="num" w:pos="845"/>
        </w:tabs>
        <w:ind w:left="845" w:hanging="420"/>
      </w:pPr>
    </w:lvl>
    <w:lvl w:ilvl="1" w:tplc="0409000F">
      <w:start w:val="1"/>
      <w:numFmt w:val="decimal"/>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88">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9">
    <w:nsid w:val="34752904"/>
    <w:multiLevelType w:val="hybridMultilevel"/>
    <w:tmpl w:val="8D30FD3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90">
    <w:nsid w:val="348177B7"/>
    <w:multiLevelType w:val="hybridMultilevel"/>
    <w:tmpl w:val="A73C4506"/>
    <w:lvl w:ilvl="0" w:tplc="D7BA991E">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1">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2">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3">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4">
    <w:nsid w:val="34EE4FC6"/>
    <w:multiLevelType w:val="hybridMultilevel"/>
    <w:tmpl w:val="4774C1D2"/>
    <w:lvl w:ilvl="0" w:tplc="92A089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5">
    <w:nsid w:val="351F2266"/>
    <w:multiLevelType w:val="hybridMultilevel"/>
    <w:tmpl w:val="D7F44ABE"/>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6">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7">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8">
    <w:nsid w:val="354316FB"/>
    <w:multiLevelType w:val="hybridMultilevel"/>
    <w:tmpl w:val="97948104"/>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9">
    <w:nsid w:val="354B32E5"/>
    <w:multiLevelType w:val="hybridMultilevel"/>
    <w:tmpl w:val="25101EC8"/>
    <w:lvl w:ilvl="0" w:tplc="01E632A4">
      <w:start w:val="1028"/>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0">
    <w:nsid w:val="35536DEF"/>
    <w:multiLevelType w:val="hybridMultilevel"/>
    <w:tmpl w:val="6186A7E8"/>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1">
    <w:nsid w:val="3567673B"/>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02">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803">
    <w:nsid w:val="35A24FA3"/>
    <w:multiLevelType w:val="hybridMultilevel"/>
    <w:tmpl w:val="A89636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4">
    <w:nsid w:val="35C163B7"/>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05">
    <w:nsid w:val="35E001F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806">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7">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8">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09">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10">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811">
    <w:nsid w:val="36255761"/>
    <w:multiLevelType w:val="singleLevel"/>
    <w:tmpl w:val="0409000F"/>
    <w:lvl w:ilvl="0">
      <w:start w:val="1"/>
      <w:numFmt w:val="decimal"/>
      <w:lvlText w:val="%1."/>
      <w:lvlJc w:val="left"/>
      <w:pPr>
        <w:tabs>
          <w:tab w:val="num" w:pos="360"/>
        </w:tabs>
        <w:ind w:left="360" w:hanging="360"/>
      </w:pPr>
    </w:lvl>
  </w:abstractNum>
  <w:abstractNum w:abstractNumId="812">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813">
    <w:nsid w:val="362C72F1"/>
    <w:multiLevelType w:val="hybridMultilevel"/>
    <w:tmpl w:val="953A3BD2"/>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14">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815">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6">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817">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818">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9">
    <w:nsid w:val="368416B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20">
    <w:nsid w:val="369E1034"/>
    <w:multiLevelType w:val="multilevel"/>
    <w:tmpl w:val="9536A0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21">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822">
    <w:nsid w:val="36A800F4"/>
    <w:multiLevelType w:val="hybridMultilevel"/>
    <w:tmpl w:val="871243AC"/>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23">
    <w:nsid w:val="36AD569C"/>
    <w:multiLevelType w:val="hybridMultilevel"/>
    <w:tmpl w:val="EC7295CC"/>
    <w:lvl w:ilvl="0" w:tplc="90CC74BC">
      <w:start w:val="29"/>
      <w:numFmt w:val="bullet"/>
      <w:lvlText w:val=""/>
      <w:lvlJc w:val="left"/>
      <w:pPr>
        <w:tabs>
          <w:tab w:val="num" w:pos="720"/>
        </w:tabs>
        <w:ind w:left="720" w:hanging="360"/>
      </w:pPr>
      <w:rPr>
        <w:rFonts w:ascii="Wingdings" w:eastAsia="仿宋体" w:hAnsi="Wingdings" w:cs="Times New Roman"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824">
    <w:nsid w:val="36C56F54"/>
    <w:multiLevelType w:val="multilevel"/>
    <w:tmpl w:val="93F0F78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825">
    <w:nsid w:val="36ED525B"/>
    <w:multiLevelType w:val="hybridMultilevel"/>
    <w:tmpl w:val="4E72040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826">
    <w:nsid w:val="37020EB7"/>
    <w:multiLevelType w:val="hybridMultilevel"/>
    <w:tmpl w:val="6D28100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827">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828">
    <w:nsid w:val="371151E9"/>
    <w:multiLevelType w:val="hybridMultilevel"/>
    <w:tmpl w:val="8D66ED22"/>
    <w:lvl w:ilvl="0" w:tplc="CEA64120">
      <w:start w:val="1"/>
      <w:numFmt w:val="japaneseCounting"/>
      <w:lvlText w:val="%1、"/>
      <w:lvlJc w:val="left"/>
      <w:pPr>
        <w:tabs>
          <w:tab w:val="num" w:pos="420"/>
        </w:tabs>
        <w:ind w:left="420" w:hanging="420"/>
      </w:pPr>
      <w:rPr>
        <w:rFonts w:hint="eastAsia"/>
      </w:rPr>
    </w:lvl>
    <w:lvl w:ilvl="1" w:tplc="781A1586">
      <w:start w:val="1"/>
      <w:numFmt w:val="decimal"/>
      <w:lvlText w:val="%2."/>
      <w:lvlJc w:val="left"/>
      <w:pPr>
        <w:tabs>
          <w:tab w:val="num" w:pos="780"/>
        </w:tabs>
        <w:ind w:left="780" w:hanging="360"/>
      </w:pPr>
      <w:rPr>
        <w:rFonts w:hint="eastAsia"/>
      </w:rPr>
    </w:lvl>
    <w:lvl w:ilvl="2" w:tplc="E61C7B9C">
      <w:start w:val="1"/>
      <w:numFmt w:val="japaneseCounting"/>
      <w:lvlText w:val="（%3）"/>
      <w:lvlJc w:val="left"/>
      <w:pPr>
        <w:tabs>
          <w:tab w:val="num" w:pos="1560"/>
        </w:tabs>
        <w:ind w:left="1560" w:hanging="720"/>
      </w:pPr>
      <w:rPr>
        <w:rFonts w:hint="eastAsia"/>
      </w:rPr>
    </w:lvl>
    <w:lvl w:ilvl="3" w:tplc="B05A1F5C">
      <w:start w:val="1"/>
      <w:numFmt w:val="decimal"/>
      <w:lvlText w:val="（%4）"/>
      <w:lvlJc w:val="left"/>
      <w:pPr>
        <w:tabs>
          <w:tab w:val="num" w:pos="1980"/>
        </w:tabs>
        <w:ind w:left="1980" w:hanging="720"/>
      </w:pPr>
      <w:rPr>
        <w:rFonts w:hint="eastAsia"/>
      </w:rPr>
    </w:lvl>
    <w:lvl w:ilvl="4" w:tplc="CB147946">
      <w:start w:val="64"/>
      <w:numFmt w:val="bullet"/>
      <w:lvlText w:val=""/>
      <w:lvlJc w:val="left"/>
      <w:pPr>
        <w:tabs>
          <w:tab w:val="num" w:pos="2040"/>
        </w:tabs>
        <w:ind w:left="2040" w:hanging="360"/>
      </w:pPr>
      <w:rPr>
        <w:rFonts w:ascii="Wingdings 2" w:eastAsia="SimSun" w:hAnsi="Wingdings 2" w:cs="Times New Roman" w:hint="default"/>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9">
    <w:nsid w:val="37127EEC"/>
    <w:multiLevelType w:val="multilevel"/>
    <w:tmpl w:val="D41E2FAE"/>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830">
    <w:nsid w:val="3739323E"/>
    <w:multiLevelType w:val="hybridMultilevel"/>
    <w:tmpl w:val="50B8FAE6"/>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1">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32">
    <w:nsid w:val="374E57C8"/>
    <w:multiLevelType w:val="hybridMultilevel"/>
    <w:tmpl w:val="B2FA8D12"/>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3">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34">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5">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36">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37">
    <w:nsid w:val="37840DA6"/>
    <w:multiLevelType w:val="hybridMultilevel"/>
    <w:tmpl w:val="97B6A14C"/>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38">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9">
    <w:nsid w:val="37A14F1E"/>
    <w:multiLevelType w:val="hybridMultilevel"/>
    <w:tmpl w:val="32A6748E"/>
    <w:lvl w:ilvl="0" w:tplc="45C29D5A">
      <w:start w:val="1"/>
      <w:numFmt w:val="lowerRoman"/>
      <w:lvlText w:val="(%1)"/>
      <w:lvlJc w:val="left"/>
      <w:pPr>
        <w:tabs>
          <w:tab w:val="num" w:pos="1800"/>
        </w:tabs>
        <w:ind w:left="180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40">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1">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42">
    <w:nsid w:val="37D81658"/>
    <w:multiLevelType w:val="hybridMultilevel"/>
    <w:tmpl w:val="D9D43D32"/>
    <w:lvl w:ilvl="0" w:tplc="DCBA43F0">
      <w:start w:val="191"/>
      <w:numFmt w:val="decimal"/>
      <w:lvlText w:val="%1."/>
      <w:lvlJc w:val="left"/>
      <w:pPr>
        <w:tabs>
          <w:tab w:val="num" w:pos="792"/>
        </w:tabs>
        <w:ind w:left="792" w:hanging="79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3">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44">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45">
    <w:nsid w:val="38153C2D"/>
    <w:multiLevelType w:val="hybridMultilevel"/>
    <w:tmpl w:val="8BA475D8"/>
    <w:lvl w:ilvl="0" w:tplc="3990DAE8">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46">
    <w:nsid w:val="38171709"/>
    <w:multiLevelType w:val="hybridMultilevel"/>
    <w:tmpl w:val="DF16F98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47">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8">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9">
    <w:nsid w:val="383A402A"/>
    <w:multiLevelType w:val="multilevel"/>
    <w:tmpl w:val="A510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0">
    <w:nsid w:val="383B67EA"/>
    <w:multiLevelType w:val="multilevel"/>
    <w:tmpl w:val="A40CD4B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1">
    <w:nsid w:val="38555492"/>
    <w:multiLevelType w:val="hybridMultilevel"/>
    <w:tmpl w:val="53F080C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2">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853">
    <w:nsid w:val="385E3BFF"/>
    <w:multiLevelType w:val="multilevel"/>
    <w:tmpl w:val="CBEA52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54">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5">
    <w:nsid w:val="387053A7"/>
    <w:multiLevelType w:val="singleLevel"/>
    <w:tmpl w:val="66FC3666"/>
    <w:lvl w:ilvl="0">
      <w:start w:val="1"/>
      <w:numFmt w:val="lowerLetter"/>
      <w:lvlText w:val="(%1)"/>
      <w:legacy w:legacy="1" w:legacySpace="0" w:legacyIndent="425"/>
      <w:lvlJc w:val="left"/>
      <w:pPr>
        <w:ind w:left="1446" w:hanging="425"/>
      </w:pPr>
    </w:lvl>
  </w:abstractNum>
  <w:abstractNum w:abstractNumId="856">
    <w:nsid w:val="38710102"/>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57">
    <w:nsid w:val="387D4127"/>
    <w:multiLevelType w:val="multilevel"/>
    <w:tmpl w:val="513AB444"/>
    <w:lvl w:ilvl="0">
      <w:start w:val="1"/>
      <w:numFmt w:val="bullet"/>
      <w:lvlText w:val="-"/>
      <w:lvlJc w:val="left"/>
      <w:pPr>
        <w:tabs>
          <w:tab w:val="num" w:pos="1146"/>
        </w:tabs>
        <w:ind w:left="1146" w:hanging="360"/>
      </w:pPr>
      <w:rPr>
        <w:rFonts w:hint="default"/>
        <w:color w:val="000000"/>
        <w:sz w:val="16"/>
        <w:szCs w:val="16"/>
      </w:rPr>
    </w:lvl>
    <w:lvl w:ilvl="1">
      <w:start w:val="1"/>
      <w:numFmt w:val="bullet"/>
      <w:lvlText w:val="o"/>
      <w:lvlJc w:val="left"/>
      <w:pPr>
        <w:tabs>
          <w:tab w:val="num" w:pos="1866"/>
        </w:tabs>
        <w:ind w:left="1866" w:hanging="360"/>
      </w:pPr>
      <w:rPr>
        <w:rFonts w:ascii="Courier New" w:hAnsi="Courier New" w:cs="Courier New" w:hint="default"/>
      </w:rPr>
    </w:lvl>
    <w:lvl w:ilvl="2">
      <w:start w:val="1"/>
      <w:numFmt w:val="bullet"/>
      <w:lvlText w:val=""/>
      <w:lvlJc w:val="left"/>
      <w:pPr>
        <w:tabs>
          <w:tab w:val="num" w:pos="2586"/>
        </w:tabs>
        <w:ind w:left="2586" w:hanging="360"/>
      </w:pPr>
      <w:rPr>
        <w:rFonts w:ascii="Wingdings" w:hAnsi="Wingdings" w:cs="Times New Roman" w:hint="default"/>
      </w:rPr>
    </w:lvl>
    <w:lvl w:ilvl="3">
      <w:start w:val="1"/>
      <w:numFmt w:val="bullet"/>
      <w:lvlText w:val=""/>
      <w:lvlJc w:val="left"/>
      <w:pPr>
        <w:tabs>
          <w:tab w:val="num" w:pos="3306"/>
        </w:tabs>
        <w:ind w:left="3306" w:hanging="360"/>
      </w:pPr>
      <w:rPr>
        <w:rFonts w:ascii="Symbol" w:hAnsi="Symbol" w:cs="Times New Roman" w:hint="default"/>
      </w:rPr>
    </w:lvl>
    <w:lvl w:ilvl="4">
      <w:start w:val="1"/>
      <w:numFmt w:val="bullet"/>
      <w:lvlText w:val="o"/>
      <w:lvlJc w:val="left"/>
      <w:pPr>
        <w:tabs>
          <w:tab w:val="num" w:pos="4026"/>
        </w:tabs>
        <w:ind w:left="4026" w:hanging="360"/>
      </w:pPr>
      <w:rPr>
        <w:rFonts w:ascii="Courier New" w:hAnsi="Courier New" w:cs="Courier New" w:hint="default"/>
      </w:rPr>
    </w:lvl>
    <w:lvl w:ilvl="5">
      <w:start w:val="1"/>
      <w:numFmt w:val="bullet"/>
      <w:lvlText w:val=""/>
      <w:lvlJc w:val="left"/>
      <w:pPr>
        <w:tabs>
          <w:tab w:val="num" w:pos="4746"/>
        </w:tabs>
        <w:ind w:left="4746" w:hanging="360"/>
      </w:pPr>
      <w:rPr>
        <w:rFonts w:ascii="Wingdings" w:hAnsi="Wingdings" w:cs="Times New Roman" w:hint="default"/>
      </w:rPr>
    </w:lvl>
    <w:lvl w:ilvl="6">
      <w:start w:val="1"/>
      <w:numFmt w:val="bullet"/>
      <w:lvlText w:val=""/>
      <w:lvlJc w:val="left"/>
      <w:pPr>
        <w:tabs>
          <w:tab w:val="num" w:pos="5466"/>
        </w:tabs>
        <w:ind w:left="5466" w:hanging="360"/>
      </w:pPr>
      <w:rPr>
        <w:rFonts w:ascii="Symbol" w:hAnsi="Symbol" w:cs="Times New Roman" w:hint="default"/>
      </w:rPr>
    </w:lvl>
    <w:lvl w:ilvl="7">
      <w:start w:val="1"/>
      <w:numFmt w:val="bullet"/>
      <w:lvlText w:val="o"/>
      <w:lvlJc w:val="left"/>
      <w:pPr>
        <w:tabs>
          <w:tab w:val="num" w:pos="6186"/>
        </w:tabs>
        <w:ind w:left="6186" w:hanging="360"/>
      </w:pPr>
      <w:rPr>
        <w:rFonts w:ascii="Courier New" w:hAnsi="Courier New" w:cs="Courier New" w:hint="default"/>
      </w:rPr>
    </w:lvl>
    <w:lvl w:ilvl="8">
      <w:start w:val="1"/>
      <w:numFmt w:val="bullet"/>
      <w:lvlText w:val=""/>
      <w:lvlJc w:val="left"/>
      <w:pPr>
        <w:tabs>
          <w:tab w:val="num" w:pos="6906"/>
        </w:tabs>
        <w:ind w:left="6906" w:hanging="360"/>
      </w:pPr>
      <w:rPr>
        <w:rFonts w:ascii="Wingdings" w:hAnsi="Wingdings" w:cs="Times New Roman" w:hint="default"/>
      </w:rPr>
    </w:lvl>
  </w:abstractNum>
  <w:abstractNum w:abstractNumId="858">
    <w:nsid w:val="387E7229"/>
    <w:multiLevelType w:val="hybridMultilevel"/>
    <w:tmpl w:val="9E88471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9">
    <w:nsid w:val="38846526"/>
    <w:multiLevelType w:val="hybridMultilevel"/>
    <w:tmpl w:val="3BBE50A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60">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61">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862">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63">
    <w:nsid w:val="38B11AE0"/>
    <w:multiLevelType w:val="multilevel"/>
    <w:tmpl w:val="804661E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64">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865">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866">
    <w:nsid w:val="38F978A7"/>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867">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868">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9">
    <w:nsid w:val="39187FBC"/>
    <w:multiLevelType w:val="hybridMultilevel"/>
    <w:tmpl w:val="3252C70E"/>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870">
    <w:nsid w:val="392A4037"/>
    <w:multiLevelType w:val="hybridMultilevel"/>
    <w:tmpl w:val="6AC0C1A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1">
    <w:nsid w:val="3932609C"/>
    <w:multiLevelType w:val="hybridMultilevel"/>
    <w:tmpl w:val="1FC415FE"/>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72">
    <w:nsid w:val="3951128D"/>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73">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874">
    <w:nsid w:val="397A3432"/>
    <w:multiLevelType w:val="singleLevel"/>
    <w:tmpl w:val="04070007"/>
    <w:lvl w:ilvl="0">
      <w:start w:val="1"/>
      <w:numFmt w:val="bullet"/>
      <w:lvlText w:val="-"/>
      <w:lvlJc w:val="left"/>
      <w:pPr>
        <w:tabs>
          <w:tab w:val="num" w:pos="360"/>
        </w:tabs>
        <w:ind w:left="360" w:hanging="360"/>
      </w:pPr>
      <w:rPr>
        <w:sz w:val="16"/>
        <w:szCs w:val="16"/>
      </w:rPr>
    </w:lvl>
  </w:abstractNum>
  <w:abstractNum w:abstractNumId="875">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6">
    <w:nsid w:val="39C03B28"/>
    <w:multiLevelType w:val="multilevel"/>
    <w:tmpl w:val="14A428A0"/>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877">
    <w:nsid w:val="39CB60A3"/>
    <w:multiLevelType w:val="multilevel"/>
    <w:tmpl w:val="0AD85B52"/>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78">
    <w:nsid w:val="39CD33BC"/>
    <w:multiLevelType w:val="hybridMultilevel"/>
    <w:tmpl w:val="16D66BE8"/>
    <w:lvl w:ilvl="0" w:tplc="0409000F">
      <w:start w:val="1"/>
      <w:numFmt w:val="decimal"/>
      <w:lvlText w:val="%1."/>
      <w:lvlJc w:val="left"/>
      <w:pPr>
        <w:tabs>
          <w:tab w:val="num" w:pos="960"/>
        </w:tabs>
        <w:ind w:left="960" w:hanging="420"/>
      </w:pPr>
    </w:lvl>
    <w:lvl w:ilvl="1" w:tplc="25CC4A10">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79">
    <w:nsid w:val="39D30995"/>
    <w:multiLevelType w:val="hybridMultilevel"/>
    <w:tmpl w:val="A8BEF1A4"/>
    <w:lvl w:ilvl="0" w:tplc="F844D69C">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0">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1">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2">
    <w:nsid w:val="3A0F14F8"/>
    <w:multiLevelType w:val="multilevel"/>
    <w:tmpl w:val="BD1C51C6"/>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83">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84">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885">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886">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7">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88">
    <w:nsid w:val="3A907646"/>
    <w:multiLevelType w:val="multilevel"/>
    <w:tmpl w:val="0BE250F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89">
    <w:nsid w:val="3A935546"/>
    <w:multiLevelType w:val="multilevel"/>
    <w:tmpl w:val="06FC3932"/>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90">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891">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2">
    <w:nsid w:val="3AA62657"/>
    <w:multiLevelType w:val="multilevel"/>
    <w:tmpl w:val="397460BA"/>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93">
    <w:nsid w:val="3AD00B31"/>
    <w:multiLevelType w:val="hybridMultilevel"/>
    <w:tmpl w:val="1918F7AE"/>
    <w:lvl w:ilvl="0" w:tplc="084EF0F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4">
    <w:nsid w:val="3ADE26BD"/>
    <w:multiLevelType w:val="hybridMultilevel"/>
    <w:tmpl w:val="FE5CB2BC"/>
    <w:lvl w:ilvl="0" w:tplc="245E9EA0">
      <w:start w:val="1125"/>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5">
    <w:nsid w:val="3AF05570"/>
    <w:multiLevelType w:val="hybridMultilevel"/>
    <w:tmpl w:val="404E51BC"/>
    <w:lvl w:ilvl="0" w:tplc="BBEE463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6">
    <w:nsid w:val="3AF175FC"/>
    <w:multiLevelType w:val="hybridMultilevel"/>
    <w:tmpl w:val="255479F0"/>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97">
    <w:nsid w:val="3B0C7CAA"/>
    <w:multiLevelType w:val="hybridMultilevel"/>
    <w:tmpl w:val="C10A2EB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8">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9">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00">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1">
    <w:nsid w:val="3B660918"/>
    <w:multiLevelType w:val="hybridMultilevel"/>
    <w:tmpl w:val="15BAE4CA"/>
    <w:lvl w:ilvl="0" w:tplc="672C9CCE">
      <w:start w:val="20"/>
      <w:numFmt w:val="bullet"/>
      <w:lvlText w:val=""/>
      <w:lvlJc w:val="left"/>
      <w:pPr>
        <w:tabs>
          <w:tab w:val="num" w:pos="645"/>
        </w:tabs>
        <w:ind w:left="645" w:hanging="435"/>
      </w:pPr>
      <w:rPr>
        <w:rFonts w:ascii="Wingdings" w:eastAsia="SimSun" w:hAnsi="Wingdings" w:cs="Times New Roman"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902">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3">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904">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05">
    <w:nsid w:val="3BE7481F"/>
    <w:multiLevelType w:val="multilevel"/>
    <w:tmpl w:val="3C7CD2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6">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907">
    <w:nsid w:val="3BE870F2"/>
    <w:multiLevelType w:val="hybridMultilevel"/>
    <w:tmpl w:val="9B466B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908">
    <w:nsid w:val="3BED4550"/>
    <w:multiLevelType w:val="multilevel"/>
    <w:tmpl w:val="94EEE642"/>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909">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10">
    <w:nsid w:val="3C070C99"/>
    <w:multiLevelType w:val="hybridMultilevel"/>
    <w:tmpl w:val="5D1EC5C2"/>
    <w:lvl w:ilvl="0" w:tplc="8C0E6168">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11">
    <w:nsid w:val="3C0B4389"/>
    <w:multiLevelType w:val="singleLevel"/>
    <w:tmpl w:val="66FC3666"/>
    <w:lvl w:ilvl="0">
      <w:start w:val="1"/>
      <w:numFmt w:val="lowerLetter"/>
      <w:lvlText w:val="(%1)"/>
      <w:legacy w:legacy="1" w:legacySpace="0" w:legacyIndent="425"/>
      <w:lvlJc w:val="left"/>
      <w:pPr>
        <w:ind w:left="1446" w:hanging="425"/>
      </w:pPr>
    </w:lvl>
  </w:abstractNum>
  <w:abstractNum w:abstractNumId="912">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13">
    <w:nsid w:val="3C2D3F18"/>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914">
    <w:nsid w:val="3C387F30"/>
    <w:multiLevelType w:val="singleLevel"/>
    <w:tmpl w:val="659EB9DE"/>
    <w:lvl w:ilvl="0">
      <w:start w:val="3"/>
      <w:numFmt w:val="bullet"/>
      <w:lvlText w:val="-"/>
      <w:lvlJc w:val="left"/>
      <w:pPr>
        <w:tabs>
          <w:tab w:val="num" w:pos="720"/>
        </w:tabs>
        <w:ind w:left="720" w:hanging="360"/>
      </w:pPr>
      <w:rPr>
        <w:rFonts w:ascii="Times New Roman" w:hAnsi="Times New Roman" w:hint="default"/>
      </w:rPr>
    </w:lvl>
  </w:abstractNum>
  <w:abstractNum w:abstractNumId="915">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6">
    <w:nsid w:val="3C443CEC"/>
    <w:multiLevelType w:val="multilevel"/>
    <w:tmpl w:val="FDC07C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17">
    <w:nsid w:val="3C4C75E5"/>
    <w:multiLevelType w:val="hybridMultilevel"/>
    <w:tmpl w:val="7CC4D682"/>
    <w:lvl w:ilvl="0" w:tplc="6DAE0A7C">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18">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19">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21">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22">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923">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4">
    <w:nsid w:val="3CFB3866"/>
    <w:multiLevelType w:val="hybridMultilevel"/>
    <w:tmpl w:val="B7F270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925">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926">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27">
    <w:nsid w:val="3D28671A"/>
    <w:multiLevelType w:val="hybridMultilevel"/>
    <w:tmpl w:val="4A76FB8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8">
    <w:nsid w:val="3D2C1458"/>
    <w:multiLevelType w:val="multilevel"/>
    <w:tmpl w:val="2D34B41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29">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930">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931">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32">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3">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934">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935">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936">
    <w:nsid w:val="3DCC7275"/>
    <w:multiLevelType w:val="hybridMultilevel"/>
    <w:tmpl w:val="9D58D490"/>
    <w:lvl w:ilvl="0" w:tplc="5970A67C">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7">
    <w:nsid w:val="3DD95FA4"/>
    <w:multiLevelType w:val="multilevel"/>
    <w:tmpl w:val="9F0E54D8"/>
    <w:lvl w:ilvl="0">
      <w:start w:val="1"/>
      <w:numFmt w:val="bullet"/>
      <w:lvlText w:val=""/>
      <w:lvlJc w:val="left"/>
      <w:pPr>
        <w:tabs>
          <w:tab w:val="num" w:pos="1800"/>
        </w:tabs>
        <w:ind w:left="180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38">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939">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941">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2">
    <w:nsid w:val="3E2971C1"/>
    <w:multiLevelType w:val="hybridMultilevel"/>
    <w:tmpl w:val="7084ED7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943">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4">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945">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946">
    <w:nsid w:val="3E3B2B3C"/>
    <w:multiLevelType w:val="hybridMultilevel"/>
    <w:tmpl w:val="C60C3420"/>
    <w:lvl w:ilvl="0" w:tplc="EB8850F8">
      <w:start w:val="254"/>
      <w:numFmt w:val="decimal"/>
      <w:lvlText w:val="第%1条"/>
      <w:lvlJc w:val="left"/>
      <w:pPr>
        <w:tabs>
          <w:tab w:val="num" w:pos="2250"/>
        </w:tabs>
        <w:ind w:left="2250" w:hanging="171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947">
    <w:nsid w:val="3E482027"/>
    <w:multiLevelType w:val="hybridMultilevel"/>
    <w:tmpl w:val="232480FA"/>
    <w:lvl w:ilvl="0" w:tplc="77380E90">
      <w:start w:val="173"/>
      <w:numFmt w:val="decimal"/>
      <w:lvlText w:val="%1."/>
      <w:lvlJc w:val="left"/>
      <w:pPr>
        <w:tabs>
          <w:tab w:val="num" w:pos="810"/>
        </w:tabs>
        <w:ind w:left="810" w:hanging="81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8">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9">
    <w:nsid w:val="3EC140AF"/>
    <w:multiLevelType w:val="hybridMultilevel"/>
    <w:tmpl w:val="86AAA950"/>
    <w:lvl w:ilvl="0" w:tplc="4F167A82">
      <w:start w:val="6"/>
      <w:numFmt w:val="decimal"/>
      <w:lvlText w:val="%1．"/>
      <w:lvlJc w:val="left"/>
      <w:pPr>
        <w:tabs>
          <w:tab w:val="num" w:pos="420"/>
        </w:tabs>
        <w:ind w:left="420" w:hanging="420"/>
      </w:pPr>
      <w:rPr>
        <w:rFonts w:hint="default"/>
      </w:rPr>
    </w:lvl>
    <w:lvl w:ilvl="1" w:tplc="4F40D466">
      <w:start w:val="1"/>
      <w:numFmt w:val="upperRoman"/>
      <w:lvlText w:val="%2."/>
      <w:lvlJc w:val="left"/>
      <w:pPr>
        <w:tabs>
          <w:tab w:val="num" w:pos="1140"/>
        </w:tabs>
        <w:ind w:left="1140" w:hanging="720"/>
      </w:pPr>
      <w:rPr>
        <w:rFonts w:hint="default"/>
      </w:rPr>
    </w:lvl>
    <w:lvl w:ilvl="2" w:tplc="DF4E32F0">
      <w:start w:val="1"/>
      <w:numFmt w:val="lowerLetter"/>
      <w:lvlText w:val="（%3）"/>
      <w:lvlJc w:val="left"/>
      <w:pPr>
        <w:tabs>
          <w:tab w:val="num" w:pos="1560"/>
        </w:tabs>
        <w:ind w:left="1560" w:hanging="720"/>
      </w:pPr>
      <w:rPr>
        <w:rFonts w:hint="default"/>
      </w:rPr>
    </w:lvl>
    <w:lvl w:ilvl="3" w:tplc="10F84B9E">
      <w:start w:val="274"/>
      <w:numFmt w:val="decimal"/>
      <w:lvlText w:val="%4."/>
      <w:lvlJc w:val="left"/>
      <w:pPr>
        <w:tabs>
          <w:tab w:val="num" w:pos="1680"/>
        </w:tabs>
        <w:ind w:left="1680" w:hanging="420"/>
      </w:pPr>
      <w:rPr>
        <w:rFonts w:hint="default"/>
      </w:r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0">
    <w:nsid w:val="3ECD7AD6"/>
    <w:multiLevelType w:val="multilevel"/>
    <w:tmpl w:val="58369ECA"/>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51">
    <w:nsid w:val="3EE80EE5"/>
    <w:multiLevelType w:val="multilevel"/>
    <w:tmpl w:val="0BE250F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52">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3">
    <w:nsid w:val="3EF56C97"/>
    <w:multiLevelType w:val="hybridMultilevel"/>
    <w:tmpl w:val="3A56486C"/>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54">
    <w:nsid w:val="3EFA2AC4"/>
    <w:multiLevelType w:val="hybridMultilevel"/>
    <w:tmpl w:val="D2A49670"/>
    <w:lvl w:ilvl="0" w:tplc="10C490BA">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5">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956">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57">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8">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59">
    <w:nsid w:val="3F4D2D9B"/>
    <w:multiLevelType w:val="multilevel"/>
    <w:tmpl w:val="86004E3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60">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961">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2">
    <w:nsid w:val="3FC82303"/>
    <w:multiLevelType w:val="hybridMultilevel"/>
    <w:tmpl w:val="A8E4D70A"/>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3">
    <w:nsid w:val="3FD343E8"/>
    <w:multiLevelType w:val="hybridMultilevel"/>
    <w:tmpl w:val="A73C4506"/>
    <w:lvl w:ilvl="0" w:tplc="F5ECE686">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4">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65">
    <w:nsid w:val="3FF67B12"/>
    <w:multiLevelType w:val="multilevel"/>
    <w:tmpl w:val="AF38AA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66">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967">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968">
    <w:nsid w:val="401F35C2"/>
    <w:multiLevelType w:val="hybridMultilevel"/>
    <w:tmpl w:val="95AA3150"/>
    <w:lvl w:ilvl="0" w:tplc="04090019">
      <w:start w:val="1"/>
      <w:numFmt w:val="lowerLetter"/>
      <w:lvlText w:val="%1)"/>
      <w:lvlJc w:val="left"/>
      <w:pPr>
        <w:tabs>
          <w:tab w:val="num" w:pos="1485"/>
        </w:tabs>
        <w:ind w:left="1485" w:hanging="420"/>
      </w:pPr>
    </w:lvl>
    <w:lvl w:ilvl="1" w:tplc="04090009">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969">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970">
    <w:nsid w:val="40221049"/>
    <w:multiLevelType w:val="singleLevel"/>
    <w:tmpl w:val="04D4B0C4"/>
    <w:lvl w:ilvl="0">
      <w:start w:val="1"/>
      <w:numFmt w:val="decimal"/>
      <w:lvlText w:val="%1."/>
      <w:lvlJc w:val="left"/>
      <w:pPr>
        <w:tabs>
          <w:tab w:val="num" w:pos="360"/>
        </w:tabs>
        <w:ind w:left="360" w:hanging="360"/>
      </w:pPr>
    </w:lvl>
  </w:abstractNum>
  <w:abstractNum w:abstractNumId="971">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2">
    <w:nsid w:val="404557FD"/>
    <w:multiLevelType w:val="hybridMultilevel"/>
    <w:tmpl w:val="1A64AC80"/>
    <w:lvl w:ilvl="0" w:tplc="BB149D54">
      <w:start w:val="144"/>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3">
    <w:nsid w:val="404B4347"/>
    <w:multiLevelType w:val="hybridMultilevel"/>
    <w:tmpl w:val="8738CFD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4">
    <w:nsid w:val="406D5EF6"/>
    <w:multiLevelType w:val="hybridMultilevel"/>
    <w:tmpl w:val="B748EB18"/>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5">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976">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77">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8">
    <w:nsid w:val="409D0692"/>
    <w:multiLevelType w:val="multilevel"/>
    <w:tmpl w:val="7096CE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79">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980">
    <w:nsid w:val="40A52FEC"/>
    <w:multiLevelType w:val="hybridMultilevel"/>
    <w:tmpl w:val="3796DBFC"/>
    <w:lvl w:ilvl="0" w:tplc="0409000F">
      <w:start w:val="1"/>
      <w:numFmt w:val="decimal"/>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81">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982">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83">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4">
    <w:nsid w:val="40E546A2"/>
    <w:multiLevelType w:val="hybridMultilevel"/>
    <w:tmpl w:val="758C191E"/>
    <w:lvl w:ilvl="0" w:tplc="2D708A06">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85">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6">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7">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8">
    <w:nsid w:val="41116BE5"/>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9">
    <w:nsid w:val="41260835"/>
    <w:multiLevelType w:val="hybridMultilevel"/>
    <w:tmpl w:val="32821BE8"/>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90">
    <w:nsid w:val="413A12CB"/>
    <w:multiLevelType w:val="hybridMultilevel"/>
    <w:tmpl w:val="D08E7248"/>
    <w:lvl w:ilvl="0" w:tplc="0409000F">
      <w:start w:val="1"/>
      <w:numFmt w:val="decimal"/>
      <w:lvlText w:val="%1."/>
      <w:lvlJc w:val="left"/>
      <w:pPr>
        <w:tabs>
          <w:tab w:val="num" w:pos="420"/>
        </w:tabs>
        <w:ind w:left="420" w:hanging="420"/>
      </w:pPr>
    </w:lvl>
    <w:lvl w:ilvl="1" w:tplc="A97476DA">
      <w:start w:val="1"/>
      <w:numFmt w:val="decimal"/>
      <w:lvlText w:val="%2．"/>
      <w:lvlJc w:val="left"/>
      <w:pPr>
        <w:tabs>
          <w:tab w:val="num" w:pos="780"/>
        </w:tabs>
        <w:ind w:left="780" w:hanging="360"/>
      </w:pPr>
      <w:rPr>
        <w:rFonts w:hint="eastAsia"/>
      </w:rPr>
    </w:lvl>
    <w:lvl w:ilvl="2" w:tplc="D318B62A">
      <w:start w:val="1"/>
      <w:numFmt w:val="decimalFullWidth"/>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1">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992">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3">
    <w:nsid w:val="41504C51"/>
    <w:multiLevelType w:val="hybridMultilevel"/>
    <w:tmpl w:val="0FC2D148"/>
    <w:lvl w:ilvl="0" w:tplc="04090001">
      <w:start w:val="1"/>
      <w:numFmt w:val="bullet"/>
      <w:lvlText w:val=""/>
      <w:lvlJc w:val="left"/>
      <w:pPr>
        <w:tabs>
          <w:tab w:val="num" w:pos="840"/>
        </w:tabs>
        <w:ind w:left="84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4">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995">
    <w:nsid w:val="41627CC2"/>
    <w:multiLevelType w:val="hybridMultilevel"/>
    <w:tmpl w:val="FB00BB8E"/>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6">
    <w:nsid w:val="41937949"/>
    <w:multiLevelType w:val="hybridMultilevel"/>
    <w:tmpl w:val="4C10769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997">
    <w:nsid w:val="419C45F3"/>
    <w:multiLevelType w:val="multilevel"/>
    <w:tmpl w:val="9A24061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98">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99">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1000">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1">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002">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1003">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4">
    <w:nsid w:val="41FE68C4"/>
    <w:multiLevelType w:val="multilevel"/>
    <w:tmpl w:val="D72E94B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5">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006">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7">
    <w:nsid w:val="42353C28"/>
    <w:multiLevelType w:val="hybridMultilevel"/>
    <w:tmpl w:val="BF3CFD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008">
    <w:nsid w:val="42394A77"/>
    <w:multiLevelType w:val="multilevel"/>
    <w:tmpl w:val="1D50D6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9">
    <w:nsid w:val="423F1E84"/>
    <w:multiLevelType w:val="multilevel"/>
    <w:tmpl w:val="AE92AAEE"/>
    <w:lvl w:ilvl="0">
      <w:start w:val="1"/>
      <w:numFmt w:val="decimal"/>
      <w:lvlText w:val="%1"/>
      <w:lvlJc w:val="left"/>
      <w:pPr>
        <w:tabs>
          <w:tab w:val="num" w:pos="624"/>
        </w:tabs>
        <w:ind w:left="624" w:hanging="624"/>
      </w:pPr>
      <w:rPr>
        <w:rFonts w:hint="eastAsia"/>
        <w:b w:val="0"/>
      </w:rPr>
    </w:lvl>
    <w:lvl w:ilvl="1">
      <w:start w:val="1"/>
      <w:numFmt w:val="decimal"/>
      <w:lvlText w:val="%1．%2"/>
      <w:lvlJc w:val="left"/>
      <w:pPr>
        <w:tabs>
          <w:tab w:val="num" w:pos="720"/>
        </w:tabs>
        <w:ind w:left="720" w:hanging="720"/>
      </w:pPr>
      <w:rPr>
        <w:rFonts w:hint="eastAsia"/>
        <w:b w:val="0"/>
      </w:rPr>
    </w:lvl>
    <w:lvl w:ilvl="2">
      <w:start w:val="1"/>
      <w:numFmt w:val="decimal"/>
      <w:lvlText w:val="%1．%2.%3"/>
      <w:lvlJc w:val="left"/>
      <w:pPr>
        <w:tabs>
          <w:tab w:val="num" w:pos="720"/>
        </w:tabs>
        <w:ind w:left="720" w:hanging="720"/>
      </w:pPr>
      <w:rPr>
        <w:rFonts w:hint="eastAsia"/>
        <w:b w:val="0"/>
      </w:rPr>
    </w:lvl>
    <w:lvl w:ilvl="3">
      <w:start w:val="1"/>
      <w:numFmt w:val="decimal"/>
      <w:lvlText w:val="%1．%2.%3.%4"/>
      <w:lvlJc w:val="left"/>
      <w:pPr>
        <w:tabs>
          <w:tab w:val="num" w:pos="1080"/>
        </w:tabs>
        <w:ind w:left="1080" w:hanging="1080"/>
      </w:pPr>
      <w:rPr>
        <w:rFonts w:hint="eastAsia"/>
        <w:b w:val="0"/>
      </w:rPr>
    </w:lvl>
    <w:lvl w:ilvl="4">
      <w:start w:val="1"/>
      <w:numFmt w:val="decimal"/>
      <w:lvlText w:val="%1．%2.%3.%4.%5"/>
      <w:lvlJc w:val="left"/>
      <w:pPr>
        <w:tabs>
          <w:tab w:val="num" w:pos="1080"/>
        </w:tabs>
        <w:ind w:left="1080" w:hanging="1080"/>
      </w:pPr>
      <w:rPr>
        <w:rFonts w:hint="eastAsia"/>
        <w:b w:val="0"/>
      </w:rPr>
    </w:lvl>
    <w:lvl w:ilvl="5">
      <w:start w:val="1"/>
      <w:numFmt w:val="decimal"/>
      <w:lvlText w:val="%1．%2.%3.%4.%5.%6"/>
      <w:lvlJc w:val="left"/>
      <w:pPr>
        <w:tabs>
          <w:tab w:val="num" w:pos="1080"/>
        </w:tabs>
        <w:ind w:left="1080" w:hanging="1080"/>
      </w:pPr>
      <w:rPr>
        <w:rFonts w:hint="eastAsia"/>
        <w:b w:val="0"/>
      </w:rPr>
    </w:lvl>
    <w:lvl w:ilvl="6">
      <w:start w:val="1"/>
      <w:numFmt w:val="decimal"/>
      <w:lvlText w:val="%1．%2.%3.%4.%5.%6.%7"/>
      <w:lvlJc w:val="left"/>
      <w:pPr>
        <w:tabs>
          <w:tab w:val="num" w:pos="1440"/>
        </w:tabs>
        <w:ind w:left="1440" w:hanging="1440"/>
      </w:pPr>
      <w:rPr>
        <w:rFonts w:hint="eastAsia"/>
        <w:b w:val="0"/>
      </w:rPr>
    </w:lvl>
    <w:lvl w:ilvl="7">
      <w:start w:val="1"/>
      <w:numFmt w:val="decimal"/>
      <w:lvlText w:val="%1．%2.%3.%4.%5.%6.%7.%8"/>
      <w:lvlJc w:val="left"/>
      <w:pPr>
        <w:tabs>
          <w:tab w:val="num" w:pos="1440"/>
        </w:tabs>
        <w:ind w:left="1440" w:hanging="1440"/>
      </w:pPr>
      <w:rPr>
        <w:rFonts w:hint="eastAsia"/>
        <w:b w:val="0"/>
      </w:rPr>
    </w:lvl>
    <w:lvl w:ilvl="8">
      <w:start w:val="1"/>
      <w:numFmt w:val="decimal"/>
      <w:lvlText w:val="%1．%2.%3.%4.%5.%6.%7.%8.%9"/>
      <w:lvlJc w:val="left"/>
      <w:pPr>
        <w:tabs>
          <w:tab w:val="num" w:pos="1800"/>
        </w:tabs>
        <w:ind w:left="1800" w:hanging="1800"/>
      </w:pPr>
      <w:rPr>
        <w:rFonts w:hint="eastAsia"/>
        <w:b w:val="0"/>
      </w:rPr>
    </w:lvl>
  </w:abstractNum>
  <w:abstractNum w:abstractNumId="1010">
    <w:nsid w:val="424A48AD"/>
    <w:multiLevelType w:val="multilevel"/>
    <w:tmpl w:val="D116F0C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11">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2">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1013">
    <w:nsid w:val="42742295"/>
    <w:multiLevelType w:val="hybridMultilevel"/>
    <w:tmpl w:val="D87C9408"/>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4">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015">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6">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17">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18">
    <w:nsid w:val="42A27A48"/>
    <w:multiLevelType w:val="multilevel"/>
    <w:tmpl w:val="D060ACD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19">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0">
    <w:nsid w:val="42B02EA3"/>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21">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022">
    <w:nsid w:val="42BD12D5"/>
    <w:multiLevelType w:val="hybridMultilevel"/>
    <w:tmpl w:val="4F049A80"/>
    <w:lvl w:ilvl="0" w:tplc="04060001">
      <w:start w:val="1"/>
      <w:numFmt w:val="bullet"/>
      <w:lvlText w:val=""/>
      <w:lvlJc w:val="left"/>
      <w:pPr>
        <w:tabs>
          <w:tab w:val="num" w:pos="360"/>
        </w:tabs>
        <w:ind w:left="360" w:hanging="360"/>
      </w:pPr>
      <w:rPr>
        <w:rFonts w:ascii="Symbol" w:hAnsi="Symbol" w:hint="default"/>
        <w:i w:val="0"/>
      </w:rPr>
    </w:lvl>
    <w:lvl w:ilvl="1" w:tplc="04060001">
      <w:start w:val="1"/>
      <w:numFmt w:val="bullet"/>
      <w:lvlText w:val=""/>
      <w:lvlJc w:val="left"/>
      <w:pPr>
        <w:tabs>
          <w:tab w:val="num" w:pos="1080"/>
        </w:tabs>
        <w:ind w:left="1080" w:hanging="360"/>
      </w:pPr>
      <w:rPr>
        <w:rFonts w:ascii="Symbol" w:hAnsi="Symbol" w:hint="default"/>
        <w:i w:val="0"/>
      </w:r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1023">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24">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5">
    <w:nsid w:val="42F73776"/>
    <w:multiLevelType w:val="hybridMultilevel"/>
    <w:tmpl w:val="BCD02A3C"/>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026">
    <w:nsid w:val="43013147"/>
    <w:multiLevelType w:val="hybridMultilevel"/>
    <w:tmpl w:val="EACE854E"/>
    <w:lvl w:ilvl="0" w:tplc="3B9C5DB8">
      <w:start w:val="2"/>
      <w:numFmt w:val="upperRoman"/>
      <w:lvlText w:val="%1．"/>
      <w:lvlJc w:val="left"/>
      <w:pPr>
        <w:tabs>
          <w:tab w:val="num" w:pos="1260"/>
        </w:tabs>
        <w:ind w:left="1260" w:hanging="840"/>
      </w:pPr>
      <w:rPr>
        <w:rFonts w:hint="default"/>
      </w:rPr>
    </w:lvl>
    <w:lvl w:ilvl="1" w:tplc="EA0EBF88">
      <w:start w:val="271"/>
      <w:numFmt w:val="decimal"/>
      <w:lvlText w:val="%2."/>
      <w:lvlJc w:val="left"/>
      <w:pPr>
        <w:tabs>
          <w:tab w:val="num" w:pos="1680"/>
        </w:tabs>
        <w:ind w:left="1680" w:hanging="840"/>
      </w:pPr>
      <w:rPr>
        <w:rFonts w:hint="default"/>
      </w:rPr>
    </w:lvl>
    <w:lvl w:ilvl="2" w:tplc="87146B5C">
      <w:start w:val="274"/>
      <w:numFmt w:val="decimal"/>
      <w:lvlText w:val="%3．"/>
      <w:lvlJc w:val="left"/>
      <w:pPr>
        <w:tabs>
          <w:tab w:val="num" w:pos="2100"/>
        </w:tabs>
        <w:ind w:left="2100" w:hanging="840"/>
      </w:pPr>
      <w:rPr>
        <w:rFonts w:hint="default"/>
      </w:rPr>
    </w:lvl>
    <w:lvl w:ilvl="3" w:tplc="0409000F">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27">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1028">
    <w:nsid w:val="43153AA8"/>
    <w:multiLevelType w:val="multilevel"/>
    <w:tmpl w:val="F332522C"/>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29">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1030">
    <w:nsid w:val="4318421D"/>
    <w:multiLevelType w:val="hybridMultilevel"/>
    <w:tmpl w:val="0590DF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31">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2">
    <w:nsid w:val="432C3B80"/>
    <w:multiLevelType w:val="multilevel"/>
    <w:tmpl w:val="B33EBEF4"/>
    <w:lvl w:ilvl="0">
      <w:start w:val="11"/>
      <w:numFmt w:val="decimal"/>
      <w:lvlText w:val="%1"/>
      <w:lvlJc w:val="left"/>
      <w:pPr>
        <w:tabs>
          <w:tab w:val="num" w:pos="600"/>
        </w:tabs>
        <w:ind w:left="600" w:hanging="600"/>
      </w:pPr>
      <w:rPr>
        <w:rFonts w:hint="default"/>
        <w:b/>
      </w:rPr>
    </w:lvl>
    <w:lvl w:ilvl="1">
      <w:start w:val="27"/>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880"/>
        </w:tabs>
        <w:ind w:left="2880" w:hanging="144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960"/>
        </w:tabs>
        <w:ind w:left="3960" w:hanging="1800"/>
      </w:pPr>
      <w:rPr>
        <w:rFonts w:hint="default"/>
        <w:b/>
      </w:rPr>
    </w:lvl>
    <w:lvl w:ilvl="7">
      <w:start w:val="1"/>
      <w:numFmt w:val="decimal"/>
      <w:lvlText w:val="%1.%2.%3.%4.%5.%6.%7.%8"/>
      <w:lvlJc w:val="left"/>
      <w:pPr>
        <w:tabs>
          <w:tab w:val="num" w:pos="4680"/>
        </w:tabs>
        <w:ind w:left="4680" w:hanging="2160"/>
      </w:pPr>
      <w:rPr>
        <w:rFonts w:hint="default"/>
        <w:b/>
      </w:rPr>
    </w:lvl>
    <w:lvl w:ilvl="8">
      <w:start w:val="1"/>
      <w:numFmt w:val="decimal"/>
      <w:lvlText w:val="%1.%2.%3.%4.%5.%6.%7.%8.%9"/>
      <w:lvlJc w:val="left"/>
      <w:pPr>
        <w:tabs>
          <w:tab w:val="num" w:pos="5040"/>
        </w:tabs>
        <w:ind w:left="5040" w:hanging="2160"/>
      </w:pPr>
      <w:rPr>
        <w:rFonts w:hint="default"/>
        <w:b/>
      </w:rPr>
    </w:lvl>
  </w:abstractNum>
  <w:abstractNum w:abstractNumId="1033">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1034">
    <w:nsid w:val="436B2619"/>
    <w:multiLevelType w:val="multilevel"/>
    <w:tmpl w:val="09B6F82A"/>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35">
    <w:nsid w:val="43706A73"/>
    <w:multiLevelType w:val="hybridMultilevel"/>
    <w:tmpl w:val="877ACF1C"/>
    <w:lvl w:ilvl="0" w:tplc="777EA55E">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36">
    <w:nsid w:val="437B7F24"/>
    <w:multiLevelType w:val="hybridMultilevel"/>
    <w:tmpl w:val="001EF036"/>
    <w:lvl w:ilvl="0" w:tplc="55287724">
      <w:start w:val="1020"/>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7">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38">
    <w:nsid w:val="43956090"/>
    <w:multiLevelType w:val="multilevel"/>
    <w:tmpl w:val="1BE45DD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039">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40">
    <w:nsid w:val="43A12CDB"/>
    <w:multiLevelType w:val="multilevel"/>
    <w:tmpl w:val="32B480F4"/>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41">
    <w:nsid w:val="43A71A6C"/>
    <w:multiLevelType w:val="hybridMultilevel"/>
    <w:tmpl w:val="A9C229C2"/>
    <w:lvl w:ilvl="0" w:tplc="04090001">
      <w:start w:val="1"/>
      <w:numFmt w:val="bullet"/>
      <w:lvlText w:val=""/>
      <w:lvlJc w:val="left"/>
      <w:pPr>
        <w:tabs>
          <w:tab w:val="num" w:pos="1804"/>
        </w:tabs>
        <w:ind w:left="1804" w:hanging="360"/>
      </w:pPr>
      <w:rPr>
        <w:rFonts w:ascii="Symbol" w:hAnsi="Symbol" w:hint="default"/>
      </w:rPr>
    </w:lvl>
    <w:lvl w:ilvl="1" w:tplc="04090003">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1042">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3">
    <w:nsid w:val="43A84A94"/>
    <w:multiLevelType w:val="hybridMultilevel"/>
    <w:tmpl w:val="4092808C"/>
    <w:lvl w:ilvl="0" w:tplc="2EC81ADE">
      <w:start w:val="1129"/>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4">
    <w:nsid w:val="43AF46E3"/>
    <w:multiLevelType w:val="hybridMultilevel"/>
    <w:tmpl w:val="52BEA8E8"/>
    <w:lvl w:ilvl="0" w:tplc="70B07636">
      <w:start w:val="1097"/>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5">
    <w:nsid w:val="43BE0293"/>
    <w:multiLevelType w:val="hybridMultilevel"/>
    <w:tmpl w:val="72EAEF16"/>
    <w:lvl w:ilvl="0" w:tplc="572CAF1E">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046">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047">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8">
    <w:nsid w:val="43EC7081"/>
    <w:multiLevelType w:val="hybridMultilevel"/>
    <w:tmpl w:val="808A8E00"/>
    <w:lvl w:ilvl="0" w:tplc="57EC65DE">
      <w:start w:val="250"/>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9">
    <w:nsid w:val="43F1308B"/>
    <w:multiLevelType w:val="hybridMultilevel"/>
    <w:tmpl w:val="E4B80C0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50">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1">
    <w:nsid w:val="43F558C8"/>
    <w:multiLevelType w:val="multilevel"/>
    <w:tmpl w:val="8A72B5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52">
    <w:nsid w:val="441C35E4"/>
    <w:multiLevelType w:val="hybridMultilevel"/>
    <w:tmpl w:val="3E38547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53">
    <w:nsid w:val="446A4735"/>
    <w:multiLevelType w:val="hybridMultilevel"/>
    <w:tmpl w:val="2274FEF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54">
    <w:nsid w:val="44AE1399"/>
    <w:multiLevelType w:val="hybridMultilevel"/>
    <w:tmpl w:val="0FB018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5">
    <w:nsid w:val="44D720FD"/>
    <w:multiLevelType w:val="hybridMultilevel"/>
    <w:tmpl w:val="75DAB806"/>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6">
    <w:nsid w:val="44E26733"/>
    <w:multiLevelType w:val="multilevel"/>
    <w:tmpl w:val="9524FFEA"/>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57">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58">
    <w:nsid w:val="452D144C"/>
    <w:multiLevelType w:val="singleLevel"/>
    <w:tmpl w:val="7C4C0A7C"/>
    <w:lvl w:ilvl="0">
      <w:start w:val="1"/>
      <w:numFmt w:val="decimal"/>
      <w:lvlText w:val="(%1)"/>
      <w:lvlJc w:val="left"/>
      <w:pPr>
        <w:tabs>
          <w:tab w:val="num" w:pos="720"/>
        </w:tabs>
        <w:ind w:left="720" w:hanging="720"/>
      </w:pPr>
    </w:lvl>
  </w:abstractNum>
  <w:abstractNum w:abstractNumId="1059">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60">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1">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1062">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63">
    <w:nsid w:val="45B33265"/>
    <w:multiLevelType w:val="hybridMultilevel"/>
    <w:tmpl w:val="C6DEDA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64">
    <w:nsid w:val="45B873D8"/>
    <w:multiLevelType w:val="multilevel"/>
    <w:tmpl w:val="E460E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65">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66">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067">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68">
    <w:nsid w:val="461B33EE"/>
    <w:multiLevelType w:val="hybridMultilevel"/>
    <w:tmpl w:val="88FA84F2"/>
    <w:lvl w:ilvl="0" w:tplc="8E664C88">
      <w:start w:val="160"/>
      <w:numFmt w:val="decimal"/>
      <w:lvlText w:val="%1."/>
      <w:lvlJc w:val="left"/>
      <w:pPr>
        <w:tabs>
          <w:tab w:val="num" w:pos="792"/>
        </w:tabs>
        <w:ind w:left="792" w:hanging="79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9">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70">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1071">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72">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1073">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74">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075">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76">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7">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1078">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9">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1080">
    <w:nsid w:val="46B95811"/>
    <w:multiLevelType w:val="hybridMultilevel"/>
    <w:tmpl w:val="82080BBC"/>
    <w:lvl w:ilvl="0" w:tplc="EFB48D12">
      <w:start w:val="8"/>
      <w:numFmt w:val="upperLetter"/>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1">
    <w:nsid w:val="46BF4C88"/>
    <w:multiLevelType w:val="hybridMultilevel"/>
    <w:tmpl w:val="6E50822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2">
    <w:nsid w:val="46C35C7B"/>
    <w:multiLevelType w:val="hybridMultilevel"/>
    <w:tmpl w:val="019055BC"/>
    <w:lvl w:ilvl="0" w:tplc="D8C21244">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83">
    <w:nsid w:val="46C77360"/>
    <w:multiLevelType w:val="hybridMultilevel"/>
    <w:tmpl w:val="1452146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4">
    <w:nsid w:val="46CC4C24"/>
    <w:multiLevelType w:val="hybridMultilevel"/>
    <w:tmpl w:val="B080D36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85">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1086">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7">
    <w:nsid w:val="47345345"/>
    <w:multiLevelType w:val="hybridMultilevel"/>
    <w:tmpl w:val="4BA80256"/>
    <w:lvl w:ilvl="0" w:tplc="DB30511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8">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089">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090">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091">
    <w:nsid w:val="476D6571"/>
    <w:multiLevelType w:val="multilevel"/>
    <w:tmpl w:val="CDE0BA9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92">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1093">
    <w:nsid w:val="477D4256"/>
    <w:multiLevelType w:val="hybridMultilevel"/>
    <w:tmpl w:val="422855FA"/>
    <w:lvl w:ilvl="0" w:tplc="61F8CFBE">
      <w:start w:val="398"/>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4">
    <w:nsid w:val="47846993"/>
    <w:multiLevelType w:val="hybridMultilevel"/>
    <w:tmpl w:val="F3F0E09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95">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6">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7">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8">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9">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0">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1101">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2">
    <w:nsid w:val="487905FE"/>
    <w:multiLevelType w:val="hybridMultilevel"/>
    <w:tmpl w:val="E72E5F6C"/>
    <w:lvl w:ilvl="0" w:tplc="B3065D3A">
      <w:start w:val="1"/>
      <w:numFmt w:val="decimal"/>
      <w:lvlText w:val="第%1条"/>
      <w:lvlJc w:val="left"/>
      <w:pPr>
        <w:tabs>
          <w:tab w:val="num" w:pos="1065"/>
        </w:tabs>
        <w:ind w:left="1065" w:hanging="855"/>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1103">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4">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05">
    <w:nsid w:val="489126CA"/>
    <w:multiLevelType w:val="hybridMultilevel"/>
    <w:tmpl w:val="9EACDC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07">
    <w:nsid w:val="48AF267C"/>
    <w:multiLevelType w:val="multilevel"/>
    <w:tmpl w:val="F52092D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8">
    <w:nsid w:val="48CB532D"/>
    <w:multiLevelType w:val="hybridMultilevel"/>
    <w:tmpl w:val="59C2D0C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09">
    <w:nsid w:val="48DA0B39"/>
    <w:multiLevelType w:val="hybridMultilevel"/>
    <w:tmpl w:val="95C87CF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10">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11">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2">
    <w:nsid w:val="494F2D3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113">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1114">
    <w:nsid w:val="49657EC8"/>
    <w:multiLevelType w:val="hybridMultilevel"/>
    <w:tmpl w:val="4210CDFA"/>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15">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6">
    <w:nsid w:val="496E4BB2"/>
    <w:multiLevelType w:val="singleLevel"/>
    <w:tmpl w:val="04070017"/>
    <w:lvl w:ilvl="0">
      <w:start w:val="1"/>
      <w:numFmt w:val="lowerLetter"/>
      <w:lvlText w:val="%1)"/>
      <w:lvlJc w:val="left"/>
      <w:pPr>
        <w:tabs>
          <w:tab w:val="num" w:pos="360"/>
        </w:tabs>
        <w:ind w:left="360" w:hanging="360"/>
      </w:pPr>
    </w:lvl>
  </w:abstractNum>
  <w:abstractNum w:abstractNumId="1117">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18">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9">
    <w:nsid w:val="49854856"/>
    <w:multiLevelType w:val="hybridMultilevel"/>
    <w:tmpl w:val="DB726272"/>
    <w:lvl w:ilvl="0" w:tplc="0409000F">
      <w:start w:val="1"/>
      <w:numFmt w:val="decimal"/>
      <w:lvlText w:val="%1."/>
      <w:lvlJc w:val="left"/>
      <w:pPr>
        <w:tabs>
          <w:tab w:val="num" w:pos="855"/>
        </w:tabs>
        <w:ind w:left="855" w:hanging="420"/>
      </w:pPr>
    </w:lvl>
    <w:lvl w:ilvl="1" w:tplc="27FC6BE0">
      <w:start w:val="7"/>
      <w:numFmt w:val="decimal"/>
      <w:lvlText w:val="%2"/>
      <w:lvlJc w:val="left"/>
      <w:pPr>
        <w:tabs>
          <w:tab w:val="num" w:pos="1215"/>
        </w:tabs>
        <w:ind w:left="1215" w:hanging="360"/>
      </w:pPr>
      <w:rPr>
        <w:rFonts w:hint="eastAsia"/>
      </w:rPr>
    </w:lvl>
    <w:lvl w:ilvl="2" w:tplc="402C595C">
      <w:start w:val="7"/>
      <w:numFmt w:val="decimalFullWidth"/>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20">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1121">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122">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23">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1124">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25">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1126">
    <w:nsid w:val="4A170B10"/>
    <w:multiLevelType w:val="hybridMultilevel"/>
    <w:tmpl w:val="40289A5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27">
    <w:nsid w:val="4A1D010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128">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1129">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30">
    <w:nsid w:val="4A6967C0"/>
    <w:multiLevelType w:val="multilevel"/>
    <w:tmpl w:val="F2A6626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31">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2">
    <w:nsid w:val="4A764DA1"/>
    <w:multiLevelType w:val="singleLevel"/>
    <w:tmpl w:val="66FC3666"/>
    <w:lvl w:ilvl="0">
      <w:start w:val="1"/>
      <w:numFmt w:val="lowerLetter"/>
      <w:lvlText w:val="(%1)"/>
      <w:legacy w:legacy="1" w:legacySpace="0" w:legacyIndent="425"/>
      <w:lvlJc w:val="left"/>
      <w:pPr>
        <w:ind w:left="1446" w:hanging="425"/>
      </w:pPr>
    </w:lvl>
  </w:abstractNum>
  <w:abstractNum w:abstractNumId="1133">
    <w:nsid w:val="4A902A45"/>
    <w:multiLevelType w:val="singleLevel"/>
    <w:tmpl w:val="04070017"/>
    <w:lvl w:ilvl="0">
      <w:start w:val="1"/>
      <w:numFmt w:val="lowerLetter"/>
      <w:lvlText w:val="%1)"/>
      <w:lvlJc w:val="left"/>
      <w:pPr>
        <w:tabs>
          <w:tab w:val="num" w:pos="360"/>
        </w:tabs>
        <w:ind w:left="360" w:hanging="360"/>
      </w:pPr>
    </w:lvl>
  </w:abstractNum>
  <w:abstractNum w:abstractNumId="1134">
    <w:nsid w:val="4A9D338F"/>
    <w:multiLevelType w:val="multilevel"/>
    <w:tmpl w:val="57B4F7A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35">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6">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1137">
    <w:nsid w:val="4AFA252F"/>
    <w:multiLevelType w:val="hybridMultilevel"/>
    <w:tmpl w:val="5F1C1560"/>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138">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39">
    <w:nsid w:val="4B26428A"/>
    <w:multiLevelType w:val="hybridMultilevel"/>
    <w:tmpl w:val="C34AA33E"/>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40">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1141">
    <w:nsid w:val="4B512235"/>
    <w:multiLevelType w:val="hybridMultilevel"/>
    <w:tmpl w:val="7234B3D2"/>
    <w:lvl w:ilvl="0" w:tplc="F120F772">
      <w:start w:val="1034"/>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2">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3">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1144">
    <w:nsid w:val="4B750E92"/>
    <w:multiLevelType w:val="hybridMultilevel"/>
    <w:tmpl w:val="D668D850"/>
    <w:lvl w:ilvl="0" w:tplc="0DBAFA3E">
      <w:start w:val="580"/>
      <w:numFmt w:val="decimal"/>
      <w:lvlText w:val="%1."/>
      <w:lvlJc w:val="left"/>
      <w:pPr>
        <w:tabs>
          <w:tab w:val="num" w:pos="841"/>
        </w:tabs>
        <w:ind w:left="841" w:hanging="840"/>
      </w:pPr>
      <w:rPr>
        <w:rFonts w:hint="default"/>
      </w:rPr>
    </w:lvl>
    <w:lvl w:ilvl="1" w:tplc="04090019" w:tentative="1">
      <w:start w:val="1"/>
      <w:numFmt w:val="lowerLetter"/>
      <w:lvlText w:val="%2)"/>
      <w:lvlJc w:val="left"/>
      <w:pPr>
        <w:tabs>
          <w:tab w:val="num" w:pos="841"/>
        </w:tabs>
        <w:ind w:left="841" w:hanging="420"/>
      </w:pPr>
    </w:lvl>
    <w:lvl w:ilvl="2" w:tplc="0409001B" w:tentative="1">
      <w:start w:val="1"/>
      <w:numFmt w:val="lowerRoman"/>
      <w:lvlText w:val="%3."/>
      <w:lvlJc w:val="right"/>
      <w:pPr>
        <w:tabs>
          <w:tab w:val="num" w:pos="1261"/>
        </w:tabs>
        <w:ind w:left="1261" w:hanging="420"/>
      </w:pPr>
    </w:lvl>
    <w:lvl w:ilvl="3" w:tplc="0409000F" w:tentative="1">
      <w:start w:val="1"/>
      <w:numFmt w:val="decimal"/>
      <w:lvlText w:val="%4."/>
      <w:lvlJc w:val="left"/>
      <w:pPr>
        <w:tabs>
          <w:tab w:val="num" w:pos="1681"/>
        </w:tabs>
        <w:ind w:left="1681" w:hanging="420"/>
      </w:pPr>
    </w:lvl>
    <w:lvl w:ilvl="4" w:tplc="04090019" w:tentative="1">
      <w:start w:val="1"/>
      <w:numFmt w:val="lowerLetter"/>
      <w:lvlText w:val="%5)"/>
      <w:lvlJc w:val="left"/>
      <w:pPr>
        <w:tabs>
          <w:tab w:val="num" w:pos="2101"/>
        </w:tabs>
        <w:ind w:left="2101" w:hanging="420"/>
      </w:pPr>
    </w:lvl>
    <w:lvl w:ilvl="5" w:tplc="0409001B" w:tentative="1">
      <w:start w:val="1"/>
      <w:numFmt w:val="lowerRoman"/>
      <w:lvlText w:val="%6."/>
      <w:lvlJc w:val="right"/>
      <w:pPr>
        <w:tabs>
          <w:tab w:val="num" w:pos="2521"/>
        </w:tabs>
        <w:ind w:left="2521" w:hanging="420"/>
      </w:pPr>
    </w:lvl>
    <w:lvl w:ilvl="6" w:tplc="0409000F" w:tentative="1">
      <w:start w:val="1"/>
      <w:numFmt w:val="decimal"/>
      <w:lvlText w:val="%7."/>
      <w:lvlJc w:val="left"/>
      <w:pPr>
        <w:tabs>
          <w:tab w:val="num" w:pos="2941"/>
        </w:tabs>
        <w:ind w:left="2941" w:hanging="420"/>
      </w:pPr>
    </w:lvl>
    <w:lvl w:ilvl="7" w:tplc="04090019" w:tentative="1">
      <w:start w:val="1"/>
      <w:numFmt w:val="lowerLetter"/>
      <w:lvlText w:val="%8)"/>
      <w:lvlJc w:val="left"/>
      <w:pPr>
        <w:tabs>
          <w:tab w:val="num" w:pos="3361"/>
        </w:tabs>
        <w:ind w:left="3361" w:hanging="420"/>
      </w:pPr>
    </w:lvl>
    <w:lvl w:ilvl="8" w:tplc="0409001B" w:tentative="1">
      <w:start w:val="1"/>
      <w:numFmt w:val="lowerRoman"/>
      <w:lvlText w:val="%9."/>
      <w:lvlJc w:val="right"/>
      <w:pPr>
        <w:tabs>
          <w:tab w:val="num" w:pos="3781"/>
        </w:tabs>
        <w:ind w:left="3781" w:hanging="420"/>
      </w:pPr>
    </w:lvl>
  </w:abstractNum>
  <w:abstractNum w:abstractNumId="1145">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146">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1147">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8">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9">
    <w:nsid w:val="4BE43214"/>
    <w:multiLevelType w:val="hybridMultilevel"/>
    <w:tmpl w:val="CE04E772"/>
    <w:lvl w:ilvl="0" w:tplc="B6D0F4A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50">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1151">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2">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153">
    <w:nsid w:val="4C2E3D08"/>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54">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1155">
    <w:nsid w:val="4C646C1A"/>
    <w:multiLevelType w:val="hybridMultilevel"/>
    <w:tmpl w:val="C9323FF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56">
    <w:nsid w:val="4C6C1EFD"/>
    <w:multiLevelType w:val="hybridMultilevel"/>
    <w:tmpl w:val="4DC267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57">
    <w:nsid w:val="4C73162D"/>
    <w:multiLevelType w:val="singleLevel"/>
    <w:tmpl w:val="66FC3666"/>
    <w:lvl w:ilvl="0">
      <w:start w:val="1"/>
      <w:numFmt w:val="lowerLetter"/>
      <w:lvlText w:val="(%1)"/>
      <w:legacy w:legacy="1" w:legacySpace="0" w:legacyIndent="425"/>
      <w:lvlJc w:val="left"/>
      <w:pPr>
        <w:ind w:left="1446" w:hanging="425"/>
      </w:pPr>
    </w:lvl>
  </w:abstractNum>
  <w:abstractNum w:abstractNumId="1158">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159">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1160">
    <w:nsid w:val="4CAA4875"/>
    <w:multiLevelType w:val="hybridMultilevel"/>
    <w:tmpl w:val="BB6A4B4A"/>
    <w:lvl w:ilvl="0" w:tplc="2B6E7DD2">
      <w:start w:val="308"/>
      <w:numFmt w:val="decimal"/>
      <w:lvlText w:val="%1."/>
      <w:lvlJc w:val="left"/>
      <w:pPr>
        <w:tabs>
          <w:tab w:val="num" w:pos="840"/>
        </w:tabs>
        <w:ind w:left="840" w:hanging="840"/>
      </w:pPr>
      <w:rPr>
        <w:rFonts w:hint="default"/>
      </w:rPr>
    </w:lvl>
    <w:lvl w:ilvl="1" w:tplc="E8A0FD0A">
      <w:start w:val="1"/>
      <w:numFmt w:val="upperRoman"/>
      <w:lvlText w:val="%2."/>
      <w:lvlJc w:val="left"/>
      <w:pPr>
        <w:tabs>
          <w:tab w:val="num" w:pos="1140"/>
        </w:tabs>
        <w:ind w:left="1140" w:hanging="720"/>
      </w:pPr>
      <w:rPr>
        <w:rFonts w:hint="default"/>
      </w:r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1">
    <w:nsid w:val="4CC43827"/>
    <w:multiLevelType w:val="multilevel"/>
    <w:tmpl w:val="BA5CCA7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62">
    <w:nsid w:val="4CC61C82"/>
    <w:multiLevelType w:val="multilevel"/>
    <w:tmpl w:val="A5123B5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63">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1164">
    <w:nsid w:val="4CC90CBD"/>
    <w:multiLevelType w:val="hybridMultilevel"/>
    <w:tmpl w:val="C6FE8C76"/>
    <w:lvl w:ilvl="0" w:tplc="3B34CB5A">
      <w:start w:val="1"/>
      <w:numFmt w:val="bullet"/>
      <w:lvlText w:val=""/>
      <w:lvlJc w:val="left"/>
      <w:pPr>
        <w:tabs>
          <w:tab w:val="num" w:pos="540"/>
        </w:tabs>
        <w:ind w:left="540" w:hanging="420"/>
      </w:pPr>
      <w:rPr>
        <w:rFonts w:ascii="Wingdings 2" w:hAnsi="Wingdings 2"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165">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1166">
    <w:nsid w:val="4CF220DD"/>
    <w:multiLevelType w:val="hybridMultilevel"/>
    <w:tmpl w:val="98B4A60A"/>
    <w:lvl w:ilvl="0" w:tplc="04090019">
      <w:start w:val="1"/>
      <w:numFmt w:val="lowerLetter"/>
      <w:lvlText w:val="%1)"/>
      <w:lvlJc w:val="left"/>
      <w:pPr>
        <w:tabs>
          <w:tab w:val="num" w:pos="420"/>
        </w:tabs>
        <w:ind w:left="420" w:hanging="420"/>
      </w:pPr>
    </w:lvl>
    <w:lvl w:ilvl="1" w:tplc="0409000F">
      <w:start w:val="1"/>
      <w:numFmt w:val="decimal"/>
      <w:lvlText w:val="%2."/>
      <w:lvlJc w:val="left"/>
      <w:pPr>
        <w:tabs>
          <w:tab w:val="num" w:pos="840"/>
        </w:tabs>
        <w:ind w:left="840" w:hanging="420"/>
      </w:pPr>
    </w:lvl>
    <w:lvl w:ilvl="2" w:tplc="4B60F92A">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7">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1168">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1169">
    <w:nsid w:val="4D0866B8"/>
    <w:multiLevelType w:val="hybridMultilevel"/>
    <w:tmpl w:val="DAB4ED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70">
    <w:nsid w:val="4D131C3E"/>
    <w:multiLevelType w:val="hybridMultilevel"/>
    <w:tmpl w:val="698A5FE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71">
    <w:nsid w:val="4D271A41"/>
    <w:multiLevelType w:val="hybridMultilevel"/>
    <w:tmpl w:val="705C0EFA"/>
    <w:lvl w:ilvl="0" w:tplc="9D204968">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2">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173">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1174">
    <w:nsid w:val="4D556D2B"/>
    <w:multiLevelType w:val="hybridMultilevel"/>
    <w:tmpl w:val="21BEEBAA"/>
    <w:lvl w:ilvl="0" w:tplc="AFD65562">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75">
    <w:nsid w:val="4D6906E9"/>
    <w:multiLevelType w:val="hybridMultilevel"/>
    <w:tmpl w:val="7B7478BA"/>
    <w:lvl w:ilvl="0" w:tplc="04090009">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76">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77">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8">
    <w:nsid w:val="4D7371E8"/>
    <w:multiLevelType w:val="multilevel"/>
    <w:tmpl w:val="204E9CE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79">
    <w:nsid w:val="4D7534EE"/>
    <w:multiLevelType w:val="multilevel"/>
    <w:tmpl w:val="79BEF336"/>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80">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1">
    <w:nsid w:val="4D7B3DB1"/>
    <w:multiLevelType w:val="hybridMultilevel"/>
    <w:tmpl w:val="FD3EE196"/>
    <w:lvl w:ilvl="0" w:tplc="B1AEDF7E">
      <w:start w:val="1"/>
      <w:numFmt w:val="bullet"/>
      <w:lvlText w:val=""/>
      <w:lvlJc w:val="left"/>
      <w:pPr>
        <w:tabs>
          <w:tab w:val="num" w:pos="567"/>
        </w:tabs>
        <w:ind w:left="567" w:hanging="283"/>
      </w:pPr>
      <w:rPr>
        <w:rFonts w:ascii="Times New Roman" w:hAnsi="Times New Roman" w:cs="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182">
    <w:nsid w:val="4D864336"/>
    <w:multiLevelType w:val="hybridMultilevel"/>
    <w:tmpl w:val="426C88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3">
    <w:nsid w:val="4DAA3CA0"/>
    <w:multiLevelType w:val="hybridMultilevel"/>
    <w:tmpl w:val="F2E270F2"/>
    <w:lvl w:ilvl="0" w:tplc="18A61398">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4">
    <w:nsid w:val="4DC66889"/>
    <w:multiLevelType w:val="multilevel"/>
    <w:tmpl w:val="39E6BEA4"/>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85">
    <w:nsid w:val="4DCB25FA"/>
    <w:multiLevelType w:val="hybridMultilevel"/>
    <w:tmpl w:val="2A601AFC"/>
    <w:lvl w:ilvl="0" w:tplc="50AE89B4">
      <w:start w:val="1"/>
      <w:numFmt w:val="decimal"/>
      <w:lvlText w:val="%1."/>
      <w:lvlJc w:val="left"/>
      <w:pPr>
        <w:tabs>
          <w:tab w:val="num" w:pos="780"/>
        </w:tabs>
        <w:ind w:left="780" w:hanging="360"/>
      </w:pPr>
      <w:rPr>
        <w:rFonts w:hint="eastAsia"/>
      </w:rPr>
    </w:lvl>
    <w:lvl w:ilvl="1" w:tplc="AB207F1A">
      <w:start w:val="1"/>
      <w:numFmt w:val="decimal"/>
      <w:lvlText w:val="（%2）"/>
      <w:lvlJc w:val="left"/>
      <w:pPr>
        <w:tabs>
          <w:tab w:val="num" w:pos="1560"/>
        </w:tabs>
        <w:ind w:left="1560" w:hanging="720"/>
      </w:pPr>
      <w:rPr>
        <w:rFonts w:hint="eastAsia"/>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86">
    <w:nsid w:val="4DCD005E"/>
    <w:multiLevelType w:val="hybridMultilevel"/>
    <w:tmpl w:val="8D8218FC"/>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87">
    <w:nsid w:val="4DCE14A7"/>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88">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1189">
    <w:nsid w:val="4DD66377"/>
    <w:multiLevelType w:val="hybridMultilevel"/>
    <w:tmpl w:val="28F496E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190">
    <w:nsid w:val="4DF207F3"/>
    <w:multiLevelType w:val="hybridMultilevel"/>
    <w:tmpl w:val="6120717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679"/>
        </w:tabs>
        <w:ind w:left="1679" w:hanging="420"/>
      </w:pPr>
    </w:lvl>
    <w:lvl w:ilvl="2" w:tplc="0409001B" w:tentative="1">
      <w:start w:val="1"/>
      <w:numFmt w:val="lowerRoman"/>
      <w:lvlText w:val="%3."/>
      <w:lvlJc w:val="right"/>
      <w:pPr>
        <w:tabs>
          <w:tab w:val="num" w:pos="2099"/>
        </w:tabs>
        <w:ind w:left="2099" w:hanging="420"/>
      </w:pPr>
    </w:lvl>
    <w:lvl w:ilvl="3" w:tplc="0409000F" w:tentative="1">
      <w:start w:val="1"/>
      <w:numFmt w:val="decimal"/>
      <w:lvlText w:val="%4."/>
      <w:lvlJc w:val="left"/>
      <w:pPr>
        <w:tabs>
          <w:tab w:val="num" w:pos="2519"/>
        </w:tabs>
        <w:ind w:left="2519" w:hanging="420"/>
      </w:pPr>
    </w:lvl>
    <w:lvl w:ilvl="4" w:tplc="04090019" w:tentative="1">
      <w:start w:val="1"/>
      <w:numFmt w:val="lowerLetter"/>
      <w:lvlText w:val="%5)"/>
      <w:lvlJc w:val="left"/>
      <w:pPr>
        <w:tabs>
          <w:tab w:val="num" w:pos="2939"/>
        </w:tabs>
        <w:ind w:left="2939" w:hanging="420"/>
      </w:pPr>
    </w:lvl>
    <w:lvl w:ilvl="5" w:tplc="0409001B" w:tentative="1">
      <w:start w:val="1"/>
      <w:numFmt w:val="lowerRoman"/>
      <w:lvlText w:val="%6."/>
      <w:lvlJc w:val="right"/>
      <w:pPr>
        <w:tabs>
          <w:tab w:val="num" w:pos="3359"/>
        </w:tabs>
        <w:ind w:left="3359" w:hanging="420"/>
      </w:pPr>
    </w:lvl>
    <w:lvl w:ilvl="6" w:tplc="0409000F" w:tentative="1">
      <w:start w:val="1"/>
      <w:numFmt w:val="decimal"/>
      <w:lvlText w:val="%7."/>
      <w:lvlJc w:val="left"/>
      <w:pPr>
        <w:tabs>
          <w:tab w:val="num" w:pos="3779"/>
        </w:tabs>
        <w:ind w:left="3779" w:hanging="420"/>
      </w:pPr>
    </w:lvl>
    <w:lvl w:ilvl="7" w:tplc="04090019" w:tentative="1">
      <w:start w:val="1"/>
      <w:numFmt w:val="lowerLetter"/>
      <w:lvlText w:val="%8)"/>
      <w:lvlJc w:val="left"/>
      <w:pPr>
        <w:tabs>
          <w:tab w:val="num" w:pos="4199"/>
        </w:tabs>
        <w:ind w:left="4199" w:hanging="420"/>
      </w:pPr>
    </w:lvl>
    <w:lvl w:ilvl="8" w:tplc="0409001B" w:tentative="1">
      <w:start w:val="1"/>
      <w:numFmt w:val="lowerRoman"/>
      <w:lvlText w:val="%9."/>
      <w:lvlJc w:val="right"/>
      <w:pPr>
        <w:tabs>
          <w:tab w:val="num" w:pos="4619"/>
        </w:tabs>
        <w:ind w:left="4619" w:hanging="420"/>
      </w:pPr>
    </w:lvl>
  </w:abstractNum>
  <w:abstractNum w:abstractNumId="1191">
    <w:nsid w:val="4DFC7B0D"/>
    <w:multiLevelType w:val="hybridMultilevel"/>
    <w:tmpl w:val="EE889B4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92">
    <w:nsid w:val="4E1B2AAC"/>
    <w:multiLevelType w:val="hybridMultilevel"/>
    <w:tmpl w:val="8ED055D0"/>
    <w:lvl w:ilvl="0" w:tplc="04F6C422">
      <w:start w:val="1"/>
      <w:numFmt w:val="decimal"/>
      <w:lvlText w:val="%1．"/>
      <w:lvlJc w:val="left"/>
      <w:pPr>
        <w:tabs>
          <w:tab w:val="num" w:pos="360"/>
        </w:tabs>
        <w:ind w:left="360" w:hanging="360"/>
      </w:pPr>
      <w:rPr>
        <w:rFonts w:hint="eastAsia"/>
      </w:rPr>
    </w:lvl>
    <w:lvl w:ilvl="1" w:tplc="788C36C0">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3">
    <w:nsid w:val="4E2F20AD"/>
    <w:multiLevelType w:val="multilevel"/>
    <w:tmpl w:val="9B9C2A60"/>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94">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195">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6">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7">
    <w:nsid w:val="4E765683"/>
    <w:multiLevelType w:val="singleLevel"/>
    <w:tmpl w:val="491287E8"/>
    <w:lvl w:ilvl="0">
      <w:numFmt w:val="bullet"/>
      <w:lvlText w:val="-"/>
      <w:lvlJc w:val="left"/>
      <w:pPr>
        <w:tabs>
          <w:tab w:val="num" w:pos="780"/>
        </w:tabs>
        <w:ind w:left="780" w:hanging="360"/>
      </w:pPr>
      <w:rPr>
        <w:rFonts w:hint="eastAsia"/>
      </w:rPr>
    </w:lvl>
  </w:abstractNum>
  <w:abstractNum w:abstractNumId="1198">
    <w:nsid w:val="4E79439B"/>
    <w:multiLevelType w:val="hybridMultilevel"/>
    <w:tmpl w:val="1FC2B838"/>
    <w:lvl w:ilvl="0" w:tplc="DE4490E4">
      <w:start w:val="1"/>
      <w:numFmt w:val="decimal"/>
      <w:lvlText w:val="%1．"/>
      <w:lvlJc w:val="left"/>
      <w:pPr>
        <w:tabs>
          <w:tab w:val="num" w:pos="375"/>
        </w:tabs>
        <w:ind w:left="375" w:hanging="375"/>
      </w:pPr>
      <w:rPr>
        <w:rFonts w:hint="eastAsia"/>
      </w:rPr>
    </w:lvl>
    <w:lvl w:ilvl="1" w:tplc="E3E45C2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9">
    <w:nsid w:val="4E8753FB"/>
    <w:multiLevelType w:val="hybridMultilevel"/>
    <w:tmpl w:val="E5C457C2"/>
    <w:lvl w:ilvl="0" w:tplc="FFC253AA">
      <w:start w:val="1"/>
      <w:numFmt w:val="decimal"/>
      <w:lvlText w:val="%1．"/>
      <w:lvlJc w:val="left"/>
      <w:pPr>
        <w:tabs>
          <w:tab w:val="num" w:pos="360"/>
        </w:tabs>
        <w:ind w:left="360" w:hanging="360"/>
      </w:pPr>
      <w:rPr>
        <w:rFonts w:hint="eastAsia"/>
      </w:rPr>
    </w:lvl>
    <w:lvl w:ilvl="1" w:tplc="0BD40D7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0">
    <w:nsid w:val="4E9A2AAC"/>
    <w:multiLevelType w:val="multilevel"/>
    <w:tmpl w:val="32462AE0"/>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201">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202">
    <w:nsid w:val="4EE5685F"/>
    <w:multiLevelType w:val="multilevel"/>
    <w:tmpl w:val="C07CD8D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03">
    <w:nsid w:val="4EE60537"/>
    <w:multiLevelType w:val="multilevel"/>
    <w:tmpl w:val="642C737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04">
    <w:nsid w:val="4EFA2598"/>
    <w:multiLevelType w:val="singleLevel"/>
    <w:tmpl w:val="0409000F"/>
    <w:lvl w:ilvl="0">
      <w:start w:val="1"/>
      <w:numFmt w:val="decimal"/>
      <w:lvlText w:val="%1."/>
      <w:lvlJc w:val="left"/>
      <w:pPr>
        <w:tabs>
          <w:tab w:val="num" w:pos="360"/>
        </w:tabs>
        <w:ind w:left="360" w:hanging="360"/>
      </w:pPr>
    </w:lvl>
  </w:abstractNum>
  <w:abstractNum w:abstractNumId="1205">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206">
    <w:nsid w:val="4F0B10DC"/>
    <w:multiLevelType w:val="hybridMultilevel"/>
    <w:tmpl w:val="D5B63994"/>
    <w:lvl w:ilvl="0" w:tplc="0409000F">
      <w:start w:val="277"/>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7">
    <w:nsid w:val="4F472A2F"/>
    <w:multiLevelType w:val="multilevel"/>
    <w:tmpl w:val="8A8E12C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08">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209">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0">
    <w:nsid w:val="4F675F30"/>
    <w:multiLevelType w:val="hybridMultilevel"/>
    <w:tmpl w:val="1DCC7EBA"/>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211">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213">
    <w:nsid w:val="4FAD74ED"/>
    <w:multiLevelType w:val="hybridMultilevel"/>
    <w:tmpl w:val="860A99B8"/>
    <w:lvl w:ilvl="0" w:tplc="06C8610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4">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5">
    <w:nsid w:val="4FC6277C"/>
    <w:multiLevelType w:val="multilevel"/>
    <w:tmpl w:val="0C240EF6"/>
    <w:lvl w:ilvl="0">
      <w:start w:val="1"/>
      <w:numFmt w:val="bullet"/>
      <w:lvlText w:val=""/>
      <w:lvlJc w:val="left"/>
      <w:pPr>
        <w:tabs>
          <w:tab w:val="num" w:pos="1494"/>
        </w:tabs>
        <w:ind w:left="1474" w:hanging="340"/>
      </w:pPr>
      <w:rPr>
        <w:rFonts w:ascii="Symbol" w:hAnsi="Symbol" w:cs="Times New Roman"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1216">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7">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8">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219">
    <w:nsid w:val="4FF355A1"/>
    <w:multiLevelType w:val="hybridMultilevel"/>
    <w:tmpl w:val="15B63180"/>
    <w:lvl w:ilvl="0" w:tplc="299CB98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20">
    <w:nsid w:val="503428E0"/>
    <w:multiLevelType w:val="multilevel"/>
    <w:tmpl w:val="9992F05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21">
    <w:nsid w:val="50476EFB"/>
    <w:multiLevelType w:val="hybridMultilevel"/>
    <w:tmpl w:val="A8DC7F14"/>
    <w:lvl w:ilvl="0" w:tplc="6A722BBE">
      <w:start w:val="1"/>
      <w:numFmt w:val="decimal"/>
      <w:lvlText w:val="%1．"/>
      <w:lvlJc w:val="left"/>
      <w:pPr>
        <w:tabs>
          <w:tab w:val="num" w:pos="360"/>
        </w:tabs>
        <w:ind w:left="360" w:hanging="360"/>
      </w:pPr>
      <w:rPr>
        <w:rFonts w:hint="eastAsia"/>
      </w:rPr>
    </w:lvl>
    <w:lvl w:ilvl="1" w:tplc="AA4214BA">
      <w:start w:val="1"/>
      <w:numFmt w:val="lowerLetter"/>
      <w:lvlText w:val="(%2)"/>
      <w:lvlJc w:val="left"/>
      <w:pPr>
        <w:tabs>
          <w:tab w:val="num" w:pos="795"/>
        </w:tabs>
        <w:ind w:left="795" w:hanging="37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2">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23">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1224">
    <w:nsid w:val="507B51AE"/>
    <w:multiLevelType w:val="hybridMultilevel"/>
    <w:tmpl w:val="A71EACD0"/>
    <w:lvl w:ilvl="0" w:tplc="BB88CED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5">
    <w:nsid w:val="5089655A"/>
    <w:multiLevelType w:val="multilevel"/>
    <w:tmpl w:val="0E567886"/>
    <w:lvl w:ilvl="0">
      <w:start w:val="1"/>
      <w:numFmt w:val="bullet"/>
      <w:lvlText w:val=""/>
      <w:lvlJc w:val="left"/>
      <w:pPr>
        <w:tabs>
          <w:tab w:val="num" w:pos="1155"/>
        </w:tabs>
        <w:ind w:left="1155" w:hanging="360"/>
      </w:pPr>
      <w:rPr>
        <w:rFonts w:ascii="Wingdings" w:hAnsi="Wingdings"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226">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7">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8">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9">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0">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1231">
    <w:nsid w:val="50E53114"/>
    <w:multiLevelType w:val="hybridMultilevel"/>
    <w:tmpl w:val="FBC69CEE"/>
    <w:lvl w:ilvl="0" w:tplc="442E1A2A">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2">
    <w:nsid w:val="50EC2487"/>
    <w:multiLevelType w:val="multilevel"/>
    <w:tmpl w:val="F7D0A62E"/>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33">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1234">
    <w:nsid w:val="51336279"/>
    <w:multiLevelType w:val="hybridMultilevel"/>
    <w:tmpl w:val="12B27E98"/>
    <w:lvl w:ilvl="0" w:tplc="2B26C3C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5">
    <w:nsid w:val="513B00D7"/>
    <w:multiLevelType w:val="hybridMultilevel"/>
    <w:tmpl w:val="ECB6A2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36">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7">
    <w:nsid w:val="515A4031"/>
    <w:multiLevelType w:val="hybridMultilevel"/>
    <w:tmpl w:val="99747748"/>
    <w:lvl w:ilvl="0" w:tplc="EA347828">
      <w:start w:val="1"/>
      <w:numFmt w:val="decimal"/>
      <w:lvlText w:val="%1."/>
      <w:lvlJc w:val="left"/>
      <w:pPr>
        <w:tabs>
          <w:tab w:val="num" w:pos="360"/>
        </w:tabs>
        <w:ind w:left="360" w:hanging="360"/>
      </w:pPr>
      <w:rPr>
        <w:rFonts w:hint="eastAsia"/>
      </w:rPr>
    </w:lvl>
    <w:lvl w:ilvl="1" w:tplc="938A91D8">
      <w:start w:val="1"/>
      <w:numFmt w:val="decimalEnclosedCircle"/>
      <w:lvlText w:val="%2"/>
      <w:lvlJc w:val="left"/>
      <w:pPr>
        <w:tabs>
          <w:tab w:val="num" w:pos="780"/>
        </w:tabs>
        <w:ind w:left="780" w:hanging="360"/>
      </w:pPr>
      <w:rPr>
        <w:rFonts w:hint="eastAsia"/>
      </w:rPr>
    </w:lvl>
    <w:lvl w:ilvl="2" w:tplc="994EBDC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8">
    <w:nsid w:val="515D15CA"/>
    <w:multiLevelType w:val="hybridMultilevel"/>
    <w:tmpl w:val="1EDEB15C"/>
    <w:lvl w:ilvl="0" w:tplc="DA1E6B7C">
      <w:start w:val="1"/>
      <w:numFmt w:val="bullet"/>
      <w:lvlText w:val=""/>
      <w:lvlJc w:val="left"/>
      <w:pPr>
        <w:tabs>
          <w:tab w:val="num" w:pos="0"/>
        </w:tabs>
        <w:ind w:left="170" w:hanging="17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9">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0">
    <w:nsid w:val="516E3F0E"/>
    <w:multiLevelType w:val="hybridMultilevel"/>
    <w:tmpl w:val="0FC2D148"/>
    <w:lvl w:ilvl="0" w:tplc="08E214DE">
      <w:start w:val="1"/>
      <w:numFmt w:val="bullet"/>
      <w:lvlText w:val=""/>
      <w:lvlJc w:val="left"/>
      <w:pPr>
        <w:tabs>
          <w:tab w:val="num" w:pos="885"/>
        </w:tabs>
        <w:ind w:left="885" w:hanging="465"/>
      </w:pPr>
      <w:rPr>
        <w:rFonts w:ascii="Wingdings 2"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41">
    <w:nsid w:val="516F4FCF"/>
    <w:multiLevelType w:val="hybridMultilevel"/>
    <w:tmpl w:val="0C6006D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42">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1243">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4">
    <w:nsid w:val="517B1874"/>
    <w:multiLevelType w:val="hybridMultilevel"/>
    <w:tmpl w:val="CD5CD538"/>
    <w:lvl w:ilvl="0" w:tplc="B400ECB8">
      <w:start w:val="51"/>
      <w:numFmt w:val="bullet"/>
      <w:lvlText w:val=""/>
      <w:lvlJc w:val="left"/>
      <w:pPr>
        <w:tabs>
          <w:tab w:val="num" w:pos="1197"/>
        </w:tabs>
        <w:ind w:left="1197" w:hanging="360"/>
      </w:pPr>
      <w:rPr>
        <w:rFonts w:ascii="Wingdings" w:eastAsia="SimSun" w:hAnsi="Wingdings" w:cs="Times New Roman" w:hint="default"/>
      </w:rPr>
    </w:lvl>
    <w:lvl w:ilvl="1" w:tplc="04090003" w:tentative="1">
      <w:start w:val="1"/>
      <w:numFmt w:val="bullet"/>
      <w:lvlText w:val=""/>
      <w:lvlJc w:val="left"/>
      <w:pPr>
        <w:tabs>
          <w:tab w:val="num" w:pos="1677"/>
        </w:tabs>
        <w:ind w:left="1677" w:hanging="420"/>
      </w:pPr>
      <w:rPr>
        <w:rFonts w:ascii="Wingdings" w:hAnsi="Wingdings" w:hint="default"/>
      </w:rPr>
    </w:lvl>
    <w:lvl w:ilvl="2" w:tplc="04090005" w:tentative="1">
      <w:start w:val="1"/>
      <w:numFmt w:val="bullet"/>
      <w:lvlText w:val=""/>
      <w:lvlJc w:val="left"/>
      <w:pPr>
        <w:tabs>
          <w:tab w:val="num" w:pos="2097"/>
        </w:tabs>
        <w:ind w:left="2097" w:hanging="420"/>
      </w:pPr>
      <w:rPr>
        <w:rFonts w:ascii="Wingdings" w:hAnsi="Wingdings" w:hint="default"/>
      </w:rPr>
    </w:lvl>
    <w:lvl w:ilvl="3" w:tplc="04090001" w:tentative="1">
      <w:start w:val="1"/>
      <w:numFmt w:val="bullet"/>
      <w:lvlText w:val=""/>
      <w:lvlJc w:val="left"/>
      <w:pPr>
        <w:tabs>
          <w:tab w:val="num" w:pos="2517"/>
        </w:tabs>
        <w:ind w:left="2517" w:hanging="420"/>
      </w:pPr>
      <w:rPr>
        <w:rFonts w:ascii="Wingdings" w:hAnsi="Wingdings" w:hint="default"/>
      </w:rPr>
    </w:lvl>
    <w:lvl w:ilvl="4" w:tplc="04090003" w:tentative="1">
      <w:start w:val="1"/>
      <w:numFmt w:val="bullet"/>
      <w:lvlText w:val=""/>
      <w:lvlJc w:val="left"/>
      <w:pPr>
        <w:tabs>
          <w:tab w:val="num" w:pos="2937"/>
        </w:tabs>
        <w:ind w:left="2937" w:hanging="420"/>
      </w:pPr>
      <w:rPr>
        <w:rFonts w:ascii="Wingdings" w:hAnsi="Wingdings" w:hint="default"/>
      </w:rPr>
    </w:lvl>
    <w:lvl w:ilvl="5" w:tplc="04090005" w:tentative="1">
      <w:start w:val="1"/>
      <w:numFmt w:val="bullet"/>
      <w:lvlText w:val=""/>
      <w:lvlJc w:val="left"/>
      <w:pPr>
        <w:tabs>
          <w:tab w:val="num" w:pos="3357"/>
        </w:tabs>
        <w:ind w:left="3357" w:hanging="420"/>
      </w:pPr>
      <w:rPr>
        <w:rFonts w:ascii="Wingdings" w:hAnsi="Wingdings" w:hint="default"/>
      </w:rPr>
    </w:lvl>
    <w:lvl w:ilvl="6" w:tplc="04090001" w:tentative="1">
      <w:start w:val="1"/>
      <w:numFmt w:val="bullet"/>
      <w:lvlText w:val=""/>
      <w:lvlJc w:val="left"/>
      <w:pPr>
        <w:tabs>
          <w:tab w:val="num" w:pos="3777"/>
        </w:tabs>
        <w:ind w:left="3777" w:hanging="420"/>
      </w:pPr>
      <w:rPr>
        <w:rFonts w:ascii="Wingdings" w:hAnsi="Wingdings" w:hint="default"/>
      </w:rPr>
    </w:lvl>
    <w:lvl w:ilvl="7" w:tplc="04090003" w:tentative="1">
      <w:start w:val="1"/>
      <w:numFmt w:val="bullet"/>
      <w:lvlText w:val=""/>
      <w:lvlJc w:val="left"/>
      <w:pPr>
        <w:tabs>
          <w:tab w:val="num" w:pos="4197"/>
        </w:tabs>
        <w:ind w:left="4197" w:hanging="420"/>
      </w:pPr>
      <w:rPr>
        <w:rFonts w:ascii="Wingdings" w:hAnsi="Wingdings" w:hint="default"/>
      </w:rPr>
    </w:lvl>
    <w:lvl w:ilvl="8" w:tplc="04090005" w:tentative="1">
      <w:start w:val="1"/>
      <w:numFmt w:val="bullet"/>
      <w:lvlText w:val=""/>
      <w:lvlJc w:val="left"/>
      <w:pPr>
        <w:tabs>
          <w:tab w:val="num" w:pos="4617"/>
        </w:tabs>
        <w:ind w:left="4617" w:hanging="420"/>
      </w:pPr>
      <w:rPr>
        <w:rFonts w:ascii="Wingdings" w:hAnsi="Wingdings" w:hint="default"/>
      </w:rPr>
    </w:lvl>
  </w:abstractNum>
  <w:abstractNum w:abstractNumId="1245">
    <w:nsid w:val="518A6D80"/>
    <w:multiLevelType w:val="hybridMultilevel"/>
    <w:tmpl w:val="1062F480"/>
    <w:lvl w:ilvl="0" w:tplc="CF50CD3C">
      <w:start w:val="3"/>
      <w:numFmt w:val="decimal"/>
      <w:lvlText w:val="第%1条"/>
      <w:lvlJc w:val="left"/>
      <w:pPr>
        <w:tabs>
          <w:tab w:val="num" w:pos="8865"/>
        </w:tabs>
        <w:ind w:left="8865" w:hanging="8445"/>
      </w:pPr>
      <w:rPr>
        <w:rFonts w:eastAsia="SimHei"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46">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7">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1248">
    <w:nsid w:val="51F2028A"/>
    <w:multiLevelType w:val="hybridMultilevel"/>
    <w:tmpl w:val="1C766624"/>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249">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1250">
    <w:nsid w:val="52195839"/>
    <w:multiLevelType w:val="hybridMultilevel"/>
    <w:tmpl w:val="BCD01B7E"/>
    <w:lvl w:ilvl="0" w:tplc="04060001">
      <w:start w:val="1"/>
      <w:numFmt w:val="bullet"/>
      <w:lvlText w:val=""/>
      <w:lvlJc w:val="left"/>
      <w:pPr>
        <w:tabs>
          <w:tab w:val="num" w:pos="1080"/>
        </w:tabs>
        <w:ind w:left="1080" w:hanging="360"/>
      </w:pPr>
      <w:rPr>
        <w:rFonts w:ascii="Symbol" w:hAnsi="Symbol"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1251">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52">
    <w:nsid w:val="522E62CF"/>
    <w:multiLevelType w:val="hybridMultilevel"/>
    <w:tmpl w:val="7ECCEDD8"/>
    <w:lvl w:ilvl="0" w:tplc="B41AF5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3">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4">
    <w:nsid w:val="525E3391"/>
    <w:multiLevelType w:val="multilevel"/>
    <w:tmpl w:val="F17224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55">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6">
    <w:nsid w:val="528A300E"/>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257">
    <w:nsid w:val="529D22D4"/>
    <w:multiLevelType w:val="hybridMultilevel"/>
    <w:tmpl w:val="A8BEFA88"/>
    <w:lvl w:ilvl="0" w:tplc="26B2DFD6">
      <w:start w:val="1"/>
      <w:numFmt w:val="japaneseCounting"/>
      <w:lvlText w:val="%1、"/>
      <w:lvlJc w:val="left"/>
      <w:pPr>
        <w:tabs>
          <w:tab w:val="num" w:pos="1500"/>
        </w:tabs>
        <w:ind w:left="1500" w:hanging="420"/>
      </w:pPr>
      <w:rPr>
        <w:rFonts w:hint="eastAsia"/>
      </w:rPr>
    </w:lvl>
    <w:lvl w:ilvl="1" w:tplc="04090019">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tentative="1">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258">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1259">
    <w:nsid w:val="52C0510D"/>
    <w:multiLevelType w:val="multilevel"/>
    <w:tmpl w:val="4DC04F90"/>
    <w:lvl w:ilvl="0">
      <w:start w:val="3"/>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60">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61">
    <w:nsid w:val="52D61B68"/>
    <w:multiLevelType w:val="hybridMultilevel"/>
    <w:tmpl w:val="F73C8198"/>
    <w:lvl w:ilvl="0" w:tplc="CDC48EA0">
      <w:start w:val="214"/>
      <w:numFmt w:val="decimal"/>
      <w:lvlText w:val="%1."/>
      <w:lvlJc w:val="left"/>
      <w:pPr>
        <w:tabs>
          <w:tab w:val="num" w:pos="792"/>
        </w:tabs>
        <w:ind w:left="792" w:hanging="79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2">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3">
    <w:nsid w:val="52DC790F"/>
    <w:multiLevelType w:val="hybridMultilevel"/>
    <w:tmpl w:val="0BC854D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64">
    <w:nsid w:val="52DD37C7"/>
    <w:multiLevelType w:val="multilevel"/>
    <w:tmpl w:val="117E81B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65">
    <w:nsid w:val="52DE6546"/>
    <w:multiLevelType w:val="hybridMultilevel"/>
    <w:tmpl w:val="D3E46C7C"/>
    <w:lvl w:ilvl="0" w:tplc="734ED8AC">
      <w:start w:val="1093"/>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6">
    <w:nsid w:val="52E44CD3"/>
    <w:multiLevelType w:val="hybridMultilevel"/>
    <w:tmpl w:val="FF4C9C5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67">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1268">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69">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70">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1271">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2">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3">
    <w:nsid w:val="53C91356"/>
    <w:multiLevelType w:val="hybridMultilevel"/>
    <w:tmpl w:val="1D2A3C0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74">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275">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76">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77">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1278">
    <w:nsid w:val="540A43E8"/>
    <w:multiLevelType w:val="hybridMultilevel"/>
    <w:tmpl w:val="B9242A32"/>
    <w:lvl w:ilvl="0" w:tplc="E58E0A9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79">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1280">
    <w:nsid w:val="54337A55"/>
    <w:multiLevelType w:val="multilevel"/>
    <w:tmpl w:val="A0CE6CFA"/>
    <w:lvl w:ilvl="0">
      <w:start w:val="1"/>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81">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2">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83">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1284">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85">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1286">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1287">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8">
    <w:nsid w:val="55561000"/>
    <w:multiLevelType w:val="multilevel"/>
    <w:tmpl w:val="80F6CC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89">
    <w:nsid w:val="555A2891"/>
    <w:multiLevelType w:val="singleLevel"/>
    <w:tmpl w:val="66FC3666"/>
    <w:lvl w:ilvl="0">
      <w:start w:val="1"/>
      <w:numFmt w:val="lowerLetter"/>
      <w:lvlText w:val="(%1)"/>
      <w:legacy w:legacy="1" w:legacySpace="0" w:legacyIndent="425"/>
      <w:lvlJc w:val="left"/>
      <w:pPr>
        <w:ind w:left="1446" w:hanging="425"/>
      </w:pPr>
    </w:lvl>
  </w:abstractNum>
  <w:abstractNum w:abstractNumId="1290">
    <w:nsid w:val="55666F2C"/>
    <w:multiLevelType w:val="multilevel"/>
    <w:tmpl w:val="FB186FBC"/>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291">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1292">
    <w:nsid w:val="558E6943"/>
    <w:multiLevelType w:val="hybridMultilevel"/>
    <w:tmpl w:val="0D6C26F0"/>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93">
    <w:nsid w:val="5593221E"/>
    <w:multiLevelType w:val="hybridMultilevel"/>
    <w:tmpl w:val="5DB2E822"/>
    <w:lvl w:ilvl="0" w:tplc="D76A8E42">
      <w:start w:val="1"/>
      <w:numFmt w:val="decimal"/>
      <w:lvlText w:val="%1．"/>
      <w:lvlJc w:val="left"/>
      <w:pPr>
        <w:tabs>
          <w:tab w:val="num" w:pos="360"/>
        </w:tabs>
        <w:ind w:left="360" w:hanging="360"/>
      </w:pPr>
      <w:rPr>
        <w:rFonts w:hint="eastAsia"/>
      </w:rPr>
    </w:lvl>
    <w:lvl w:ilvl="1" w:tplc="171A8FB6">
      <w:start w:val="7"/>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4">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5">
    <w:nsid w:val="559E5924"/>
    <w:multiLevelType w:val="hybridMultilevel"/>
    <w:tmpl w:val="47C60EA6"/>
    <w:lvl w:ilvl="0" w:tplc="3104C3E0">
      <w:start w:val="226"/>
      <w:numFmt w:val="decimal"/>
      <w:lvlText w:val="%1."/>
      <w:lvlJc w:val="left"/>
      <w:pPr>
        <w:tabs>
          <w:tab w:val="num" w:pos="372"/>
        </w:tabs>
        <w:ind w:left="372" w:hanging="37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6">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1297">
    <w:nsid w:val="55CD5C31"/>
    <w:multiLevelType w:val="multilevel"/>
    <w:tmpl w:val="0DF02F3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98">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99">
    <w:nsid w:val="55FA282A"/>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00">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01">
    <w:nsid w:val="56745AA0"/>
    <w:multiLevelType w:val="hybridMultilevel"/>
    <w:tmpl w:val="8CE8477E"/>
    <w:lvl w:ilvl="0" w:tplc="517A4236">
      <w:start w:val="172"/>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2">
    <w:nsid w:val="56750C5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03">
    <w:nsid w:val="56890674"/>
    <w:multiLevelType w:val="multilevel"/>
    <w:tmpl w:val="5F66659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04">
    <w:nsid w:val="5692731D"/>
    <w:multiLevelType w:val="hybridMultilevel"/>
    <w:tmpl w:val="2B804E08"/>
    <w:lvl w:ilvl="0" w:tplc="503C6706">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5">
    <w:nsid w:val="56AD7D4E"/>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06">
    <w:nsid w:val="56B2413C"/>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307">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08">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1309">
    <w:nsid w:val="56F54F2B"/>
    <w:multiLevelType w:val="hybridMultilevel"/>
    <w:tmpl w:val="D1EE3F3C"/>
    <w:lvl w:ilvl="0" w:tplc="02245B1E">
      <w:start w:val="225"/>
      <w:numFmt w:val="decimal"/>
      <w:lvlText w:val="%1."/>
      <w:lvlJc w:val="left"/>
      <w:pPr>
        <w:tabs>
          <w:tab w:val="num" w:pos="792"/>
        </w:tabs>
        <w:ind w:left="792" w:hanging="792"/>
      </w:pPr>
      <w:rPr>
        <w:rFonts w:hint="default"/>
      </w:rPr>
    </w:lvl>
    <w:lvl w:ilvl="1" w:tplc="737865E6">
      <w:start w:val="5"/>
      <w:numFmt w:val="japaneseCounting"/>
      <w:lvlText w:val="%2．"/>
      <w:lvlJc w:val="left"/>
      <w:pPr>
        <w:tabs>
          <w:tab w:val="num" w:pos="825"/>
        </w:tabs>
        <w:ind w:left="825" w:hanging="40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0">
    <w:nsid w:val="56F957F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311">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1312">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1313">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14">
    <w:nsid w:val="572E530E"/>
    <w:multiLevelType w:val="multilevel"/>
    <w:tmpl w:val="2F2297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15">
    <w:nsid w:val="57395B56"/>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6">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17">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8">
    <w:nsid w:val="57551B1F"/>
    <w:multiLevelType w:val="multilevel"/>
    <w:tmpl w:val="DAC693AA"/>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319">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1320">
    <w:nsid w:val="57772BEB"/>
    <w:multiLevelType w:val="hybridMultilevel"/>
    <w:tmpl w:val="4086BFAE"/>
    <w:lvl w:ilvl="0" w:tplc="84203D70">
      <w:numFmt w:val="bullet"/>
      <w:lvlText w:val=""/>
      <w:lvlJc w:val="left"/>
      <w:pPr>
        <w:tabs>
          <w:tab w:val="num" w:pos="1725"/>
        </w:tabs>
        <w:ind w:left="1725" w:hanging="360"/>
      </w:pPr>
      <w:rPr>
        <w:rFonts w:ascii="Wingdings" w:eastAsia="SimSun" w:hAnsi="Wingdings"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321">
    <w:nsid w:val="5797090E"/>
    <w:multiLevelType w:val="hybridMultilevel"/>
    <w:tmpl w:val="1BE45DD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22">
    <w:nsid w:val="57A11582"/>
    <w:multiLevelType w:val="multilevel"/>
    <w:tmpl w:val="82AC6F6A"/>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323">
    <w:nsid w:val="57A344C6"/>
    <w:multiLevelType w:val="hybridMultilevel"/>
    <w:tmpl w:val="1A5A7938"/>
    <w:lvl w:ilvl="0" w:tplc="76B44B7A">
      <w:start w:val="567"/>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4">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25">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6">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27">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8">
    <w:nsid w:val="57E52806"/>
    <w:multiLevelType w:val="hybridMultilevel"/>
    <w:tmpl w:val="E5744E74"/>
    <w:lvl w:ilvl="0" w:tplc="0409000F">
      <w:start w:val="1"/>
      <w:numFmt w:val="decimal"/>
      <w:lvlText w:val="%1."/>
      <w:lvlJc w:val="left"/>
      <w:pPr>
        <w:tabs>
          <w:tab w:val="num" w:pos="1275"/>
        </w:tabs>
        <w:ind w:left="1275" w:hanging="420"/>
      </w:pPr>
    </w:lvl>
    <w:lvl w:ilvl="1" w:tplc="072684B4">
      <w:start w:val="1"/>
      <w:numFmt w:val="decimal"/>
      <w:lvlText w:val="%2．"/>
      <w:lvlJc w:val="left"/>
      <w:pPr>
        <w:tabs>
          <w:tab w:val="num" w:pos="1635"/>
        </w:tabs>
        <w:ind w:left="1635" w:hanging="36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29">
    <w:nsid w:val="57EE10D6"/>
    <w:multiLevelType w:val="multilevel"/>
    <w:tmpl w:val="B9F0D9E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330">
    <w:nsid w:val="58044ADC"/>
    <w:multiLevelType w:val="hybridMultilevel"/>
    <w:tmpl w:val="5D781BA4"/>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31">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2">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3">
    <w:nsid w:val="582E2C35"/>
    <w:multiLevelType w:val="multilevel"/>
    <w:tmpl w:val="ADB4474C"/>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334">
    <w:nsid w:val="583E0607"/>
    <w:multiLevelType w:val="multilevel"/>
    <w:tmpl w:val="CDC6ABC0"/>
    <w:lvl w:ilvl="0">
      <w:start w:val="2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35">
    <w:nsid w:val="58492135"/>
    <w:multiLevelType w:val="hybridMultilevel"/>
    <w:tmpl w:val="4A90E43C"/>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336">
    <w:nsid w:val="58601553"/>
    <w:multiLevelType w:val="hybridMultilevel"/>
    <w:tmpl w:val="4114F1CE"/>
    <w:lvl w:ilvl="0" w:tplc="57720D52">
      <w:start w:val="1"/>
      <w:numFmt w:val="decimal"/>
      <w:lvlText w:val="%1．"/>
      <w:lvlJc w:val="left"/>
      <w:pPr>
        <w:tabs>
          <w:tab w:val="num" w:pos="858"/>
        </w:tabs>
        <w:ind w:left="858" w:hanging="450"/>
      </w:pPr>
      <w:rPr>
        <w:rFonts w:hint="eastAsia"/>
      </w:rPr>
    </w:lvl>
    <w:lvl w:ilvl="1" w:tplc="04090019" w:tentative="1">
      <w:start w:val="1"/>
      <w:numFmt w:val="lowerLetter"/>
      <w:lvlText w:val="%2)"/>
      <w:lvlJc w:val="left"/>
      <w:pPr>
        <w:tabs>
          <w:tab w:val="num" w:pos="1248"/>
        </w:tabs>
        <w:ind w:left="1248" w:hanging="420"/>
      </w:pPr>
    </w:lvl>
    <w:lvl w:ilvl="2" w:tplc="0409001B" w:tentative="1">
      <w:start w:val="1"/>
      <w:numFmt w:val="lowerRoman"/>
      <w:lvlText w:val="%3."/>
      <w:lvlJc w:val="right"/>
      <w:pPr>
        <w:tabs>
          <w:tab w:val="num" w:pos="1668"/>
        </w:tabs>
        <w:ind w:left="1668" w:hanging="420"/>
      </w:pPr>
    </w:lvl>
    <w:lvl w:ilvl="3" w:tplc="0409000F" w:tentative="1">
      <w:start w:val="1"/>
      <w:numFmt w:val="decimal"/>
      <w:lvlText w:val="%4."/>
      <w:lvlJc w:val="left"/>
      <w:pPr>
        <w:tabs>
          <w:tab w:val="num" w:pos="2088"/>
        </w:tabs>
        <w:ind w:left="2088" w:hanging="420"/>
      </w:pPr>
    </w:lvl>
    <w:lvl w:ilvl="4" w:tplc="04090019" w:tentative="1">
      <w:start w:val="1"/>
      <w:numFmt w:val="lowerLetter"/>
      <w:lvlText w:val="%5)"/>
      <w:lvlJc w:val="left"/>
      <w:pPr>
        <w:tabs>
          <w:tab w:val="num" w:pos="2508"/>
        </w:tabs>
        <w:ind w:left="2508" w:hanging="420"/>
      </w:pPr>
    </w:lvl>
    <w:lvl w:ilvl="5" w:tplc="0409001B" w:tentative="1">
      <w:start w:val="1"/>
      <w:numFmt w:val="lowerRoman"/>
      <w:lvlText w:val="%6."/>
      <w:lvlJc w:val="right"/>
      <w:pPr>
        <w:tabs>
          <w:tab w:val="num" w:pos="2928"/>
        </w:tabs>
        <w:ind w:left="2928" w:hanging="420"/>
      </w:pPr>
    </w:lvl>
    <w:lvl w:ilvl="6" w:tplc="0409000F" w:tentative="1">
      <w:start w:val="1"/>
      <w:numFmt w:val="decimal"/>
      <w:lvlText w:val="%7."/>
      <w:lvlJc w:val="left"/>
      <w:pPr>
        <w:tabs>
          <w:tab w:val="num" w:pos="3348"/>
        </w:tabs>
        <w:ind w:left="3348" w:hanging="420"/>
      </w:pPr>
    </w:lvl>
    <w:lvl w:ilvl="7" w:tplc="04090019" w:tentative="1">
      <w:start w:val="1"/>
      <w:numFmt w:val="lowerLetter"/>
      <w:lvlText w:val="%8)"/>
      <w:lvlJc w:val="left"/>
      <w:pPr>
        <w:tabs>
          <w:tab w:val="num" w:pos="3768"/>
        </w:tabs>
        <w:ind w:left="3768" w:hanging="420"/>
      </w:pPr>
    </w:lvl>
    <w:lvl w:ilvl="8" w:tplc="0409001B" w:tentative="1">
      <w:start w:val="1"/>
      <w:numFmt w:val="lowerRoman"/>
      <w:lvlText w:val="%9."/>
      <w:lvlJc w:val="right"/>
      <w:pPr>
        <w:tabs>
          <w:tab w:val="num" w:pos="4188"/>
        </w:tabs>
        <w:ind w:left="4188" w:hanging="420"/>
      </w:pPr>
    </w:lvl>
  </w:abstractNum>
  <w:abstractNum w:abstractNumId="1337">
    <w:nsid w:val="586A1E2E"/>
    <w:multiLevelType w:val="multilevel"/>
    <w:tmpl w:val="E8DCBF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38">
    <w:nsid w:val="587307AF"/>
    <w:multiLevelType w:val="hybridMultilevel"/>
    <w:tmpl w:val="F4D4F130"/>
    <w:lvl w:ilvl="0" w:tplc="D56C308C">
      <w:start w:val="1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39">
    <w:nsid w:val="58840779"/>
    <w:multiLevelType w:val="hybridMultilevel"/>
    <w:tmpl w:val="F468FBDE"/>
    <w:lvl w:ilvl="0" w:tplc="12209D7A">
      <w:start w:val="1"/>
      <w:numFmt w:val="decimal"/>
      <w:lvlText w:val="%1."/>
      <w:lvlJc w:val="left"/>
      <w:pPr>
        <w:tabs>
          <w:tab w:val="num" w:pos="1164"/>
        </w:tabs>
        <w:ind w:left="1164" w:hanging="420"/>
      </w:pPr>
      <w:rPr>
        <w:rFonts w:hint="default"/>
      </w:rPr>
    </w:lvl>
    <w:lvl w:ilvl="1" w:tplc="04090019" w:tentative="1">
      <w:start w:val="1"/>
      <w:numFmt w:val="lowerLetter"/>
      <w:lvlText w:val="%2)"/>
      <w:lvlJc w:val="left"/>
      <w:pPr>
        <w:tabs>
          <w:tab w:val="num" w:pos="1584"/>
        </w:tabs>
        <w:ind w:left="1584" w:hanging="420"/>
      </w:pPr>
    </w:lvl>
    <w:lvl w:ilvl="2" w:tplc="0409001B" w:tentative="1">
      <w:start w:val="1"/>
      <w:numFmt w:val="lowerRoman"/>
      <w:lvlText w:val="%3."/>
      <w:lvlJc w:val="right"/>
      <w:pPr>
        <w:tabs>
          <w:tab w:val="num" w:pos="2004"/>
        </w:tabs>
        <w:ind w:left="2004" w:hanging="420"/>
      </w:pPr>
    </w:lvl>
    <w:lvl w:ilvl="3" w:tplc="0409000F" w:tentative="1">
      <w:start w:val="1"/>
      <w:numFmt w:val="decimal"/>
      <w:lvlText w:val="%4."/>
      <w:lvlJc w:val="left"/>
      <w:pPr>
        <w:tabs>
          <w:tab w:val="num" w:pos="2424"/>
        </w:tabs>
        <w:ind w:left="2424" w:hanging="420"/>
      </w:pPr>
    </w:lvl>
    <w:lvl w:ilvl="4" w:tplc="04090019" w:tentative="1">
      <w:start w:val="1"/>
      <w:numFmt w:val="lowerLetter"/>
      <w:lvlText w:val="%5)"/>
      <w:lvlJc w:val="left"/>
      <w:pPr>
        <w:tabs>
          <w:tab w:val="num" w:pos="2844"/>
        </w:tabs>
        <w:ind w:left="2844" w:hanging="420"/>
      </w:pPr>
    </w:lvl>
    <w:lvl w:ilvl="5" w:tplc="0409001B" w:tentative="1">
      <w:start w:val="1"/>
      <w:numFmt w:val="lowerRoman"/>
      <w:lvlText w:val="%6."/>
      <w:lvlJc w:val="right"/>
      <w:pPr>
        <w:tabs>
          <w:tab w:val="num" w:pos="3264"/>
        </w:tabs>
        <w:ind w:left="3264" w:hanging="420"/>
      </w:pPr>
    </w:lvl>
    <w:lvl w:ilvl="6" w:tplc="0409000F" w:tentative="1">
      <w:start w:val="1"/>
      <w:numFmt w:val="decimal"/>
      <w:lvlText w:val="%7."/>
      <w:lvlJc w:val="left"/>
      <w:pPr>
        <w:tabs>
          <w:tab w:val="num" w:pos="3684"/>
        </w:tabs>
        <w:ind w:left="3684" w:hanging="420"/>
      </w:pPr>
    </w:lvl>
    <w:lvl w:ilvl="7" w:tplc="04090019" w:tentative="1">
      <w:start w:val="1"/>
      <w:numFmt w:val="lowerLetter"/>
      <w:lvlText w:val="%8)"/>
      <w:lvlJc w:val="left"/>
      <w:pPr>
        <w:tabs>
          <w:tab w:val="num" w:pos="4104"/>
        </w:tabs>
        <w:ind w:left="4104" w:hanging="420"/>
      </w:pPr>
    </w:lvl>
    <w:lvl w:ilvl="8" w:tplc="0409001B" w:tentative="1">
      <w:start w:val="1"/>
      <w:numFmt w:val="lowerRoman"/>
      <w:lvlText w:val="%9."/>
      <w:lvlJc w:val="right"/>
      <w:pPr>
        <w:tabs>
          <w:tab w:val="num" w:pos="4524"/>
        </w:tabs>
        <w:ind w:left="4524" w:hanging="420"/>
      </w:pPr>
    </w:lvl>
  </w:abstractNum>
  <w:abstractNum w:abstractNumId="1340">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1">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1342">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3">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44">
    <w:nsid w:val="59251750"/>
    <w:multiLevelType w:val="hybridMultilevel"/>
    <w:tmpl w:val="B3A2DCE2"/>
    <w:lvl w:ilvl="0" w:tplc="F1BC6538">
      <w:start w:val="1"/>
      <w:numFmt w:val="decimal"/>
      <w:lvlText w:val="%1."/>
      <w:lvlJc w:val="left"/>
      <w:pPr>
        <w:tabs>
          <w:tab w:val="num" w:pos="1212"/>
        </w:tabs>
        <w:ind w:left="1212" w:hanging="360"/>
      </w:pPr>
      <w:rPr>
        <w:rFonts w:hint="default"/>
      </w:rPr>
    </w:lvl>
    <w:lvl w:ilvl="1" w:tplc="04090019" w:tentative="1">
      <w:start w:val="1"/>
      <w:numFmt w:val="lowerLetter"/>
      <w:lvlText w:val="%2)"/>
      <w:lvlJc w:val="left"/>
      <w:pPr>
        <w:tabs>
          <w:tab w:val="num" w:pos="1692"/>
        </w:tabs>
        <w:ind w:left="1692" w:hanging="420"/>
      </w:pPr>
    </w:lvl>
    <w:lvl w:ilvl="2" w:tplc="0409001B" w:tentative="1">
      <w:start w:val="1"/>
      <w:numFmt w:val="lowerRoman"/>
      <w:lvlText w:val="%3."/>
      <w:lvlJc w:val="right"/>
      <w:pPr>
        <w:tabs>
          <w:tab w:val="num" w:pos="2112"/>
        </w:tabs>
        <w:ind w:left="2112" w:hanging="420"/>
      </w:pPr>
    </w:lvl>
    <w:lvl w:ilvl="3" w:tplc="0409000F" w:tentative="1">
      <w:start w:val="1"/>
      <w:numFmt w:val="decimal"/>
      <w:lvlText w:val="%4."/>
      <w:lvlJc w:val="left"/>
      <w:pPr>
        <w:tabs>
          <w:tab w:val="num" w:pos="2532"/>
        </w:tabs>
        <w:ind w:left="2532" w:hanging="420"/>
      </w:pPr>
    </w:lvl>
    <w:lvl w:ilvl="4" w:tplc="04090019" w:tentative="1">
      <w:start w:val="1"/>
      <w:numFmt w:val="lowerLetter"/>
      <w:lvlText w:val="%5)"/>
      <w:lvlJc w:val="left"/>
      <w:pPr>
        <w:tabs>
          <w:tab w:val="num" w:pos="2952"/>
        </w:tabs>
        <w:ind w:left="2952" w:hanging="420"/>
      </w:pPr>
    </w:lvl>
    <w:lvl w:ilvl="5" w:tplc="0409001B" w:tentative="1">
      <w:start w:val="1"/>
      <w:numFmt w:val="lowerRoman"/>
      <w:lvlText w:val="%6."/>
      <w:lvlJc w:val="right"/>
      <w:pPr>
        <w:tabs>
          <w:tab w:val="num" w:pos="3372"/>
        </w:tabs>
        <w:ind w:left="3372" w:hanging="420"/>
      </w:pPr>
    </w:lvl>
    <w:lvl w:ilvl="6" w:tplc="0409000F" w:tentative="1">
      <w:start w:val="1"/>
      <w:numFmt w:val="decimal"/>
      <w:lvlText w:val="%7."/>
      <w:lvlJc w:val="left"/>
      <w:pPr>
        <w:tabs>
          <w:tab w:val="num" w:pos="3792"/>
        </w:tabs>
        <w:ind w:left="3792" w:hanging="420"/>
      </w:pPr>
    </w:lvl>
    <w:lvl w:ilvl="7" w:tplc="04090019" w:tentative="1">
      <w:start w:val="1"/>
      <w:numFmt w:val="lowerLetter"/>
      <w:lvlText w:val="%8)"/>
      <w:lvlJc w:val="left"/>
      <w:pPr>
        <w:tabs>
          <w:tab w:val="num" w:pos="4212"/>
        </w:tabs>
        <w:ind w:left="4212" w:hanging="420"/>
      </w:pPr>
    </w:lvl>
    <w:lvl w:ilvl="8" w:tplc="0409001B" w:tentative="1">
      <w:start w:val="1"/>
      <w:numFmt w:val="lowerRoman"/>
      <w:lvlText w:val="%9."/>
      <w:lvlJc w:val="right"/>
      <w:pPr>
        <w:tabs>
          <w:tab w:val="num" w:pos="4632"/>
        </w:tabs>
        <w:ind w:left="4632" w:hanging="420"/>
      </w:pPr>
    </w:lvl>
  </w:abstractNum>
  <w:abstractNum w:abstractNumId="1345">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6">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1347">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1348">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9">
    <w:nsid w:val="59B303F3"/>
    <w:multiLevelType w:val="hybridMultilevel"/>
    <w:tmpl w:val="19B20978"/>
    <w:lvl w:ilvl="0" w:tplc="79D2E4E0">
      <w:start w:val="618"/>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0">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1">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1352">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1353">
    <w:nsid w:val="5A134258"/>
    <w:multiLevelType w:val="hybridMultilevel"/>
    <w:tmpl w:val="C9323FF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54">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5">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1356">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1357">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8">
    <w:nsid w:val="5A3B588C"/>
    <w:multiLevelType w:val="hybridMultilevel"/>
    <w:tmpl w:val="543CD6D2"/>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59">
    <w:nsid w:val="5A757B0B"/>
    <w:multiLevelType w:val="hybridMultilevel"/>
    <w:tmpl w:val="72EAEF16"/>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360">
    <w:nsid w:val="5A787AC5"/>
    <w:multiLevelType w:val="multilevel"/>
    <w:tmpl w:val="66A07FD4"/>
    <w:lvl w:ilvl="0">
      <w:start w:val="1"/>
      <w:numFmt w:val="bullet"/>
      <w:lvlText w:val="o"/>
      <w:lvlJc w:val="left"/>
      <w:pPr>
        <w:tabs>
          <w:tab w:val="num" w:pos="795"/>
        </w:tabs>
        <w:ind w:left="795"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361">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2">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3">
    <w:nsid w:val="5AE55AB9"/>
    <w:multiLevelType w:val="hybridMultilevel"/>
    <w:tmpl w:val="7D30098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364">
    <w:nsid w:val="5AFF3EE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36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66">
    <w:nsid w:val="5B215B24"/>
    <w:multiLevelType w:val="hybridMultilevel"/>
    <w:tmpl w:val="7214C5A2"/>
    <w:lvl w:ilvl="0" w:tplc="2AFC7994">
      <w:start w:val="1"/>
      <w:numFmt w:val="bullet"/>
      <w:lvlText w:val=""/>
      <w:lvlJc w:val="left"/>
      <w:pPr>
        <w:tabs>
          <w:tab w:val="num" w:pos="720"/>
        </w:tabs>
        <w:ind w:left="720" w:hanging="363"/>
      </w:pPr>
      <w:rPr>
        <w:rFonts w:ascii="Symbol" w:hAnsi="Symbol" w:cs="Symbol" w:hint="default"/>
        <w:color w:val="auto"/>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367">
    <w:nsid w:val="5B3F37F0"/>
    <w:multiLevelType w:val="hybridMultilevel"/>
    <w:tmpl w:val="2E8AD7FC"/>
    <w:lvl w:ilvl="0" w:tplc="521A0DAE">
      <w:start w:val="2"/>
      <w:numFmt w:val="upperLetter"/>
      <w:lvlText w:val="%1."/>
      <w:lvlJc w:val="left"/>
      <w:pPr>
        <w:tabs>
          <w:tab w:val="num" w:pos="405"/>
        </w:tabs>
        <w:ind w:left="405" w:hanging="40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8">
    <w:nsid w:val="5B4D7394"/>
    <w:multiLevelType w:val="multilevel"/>
    <w:tmpl w:val="8EF832C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69">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70">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1">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72">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73">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4">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1375">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76">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7">
    <w:nsid w:val="5C3B08B9"/>
    <w:multiLevelType w:val="hybridMultilevel"/>
    <w:tmpl w:val="A4B427B6"/>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78">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379">
    <w:nsid w:val="5C615228"/>
    <w:multiLevelType w:val="hybridMultilevel"/>
    <w:tmpl w:val="4BFC5ADE"/>
    <w:lvl w:ilvl="0" w:tplc="6720D380">
      <w:start w:val="173"/>
      <w:numFmt w:val="decimal"/>
      <w:lvlText w:val="%1."/>
      <w:lvlJc w:val="left"/>
      <w:pPr>
        <w:tabs>
          <w:tab w:val="num" w:pos="810"/>
        </w:tabs>
        <w:ind w:left="810" w:hanging="81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80">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81">
    <w:nsid w:val="5C9E5CAE"/>
    <w:multiLevelType w:val="multilevel"/>
    <w:tmpl w:val="B682455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82">
    <w:nsid w:val="5CA20B0B"/>
    <w:multiLevelType w:val="multilevel"/>
    <w:tmpl w:val="9A121D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83">
    <w:nsid w:val="5CAB5279"/>
    <w:multiLevelType w:val="multilevel"/>
    <w:tmpl w:val="6D8C3526"/>
    <w:lvl w:ilvl="0">
      <w:start w:val="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84">
    <w:nsid w:val="5CC07BFE"/>
    <w:multiLevelType w:val="hybridMultilevel"/>
    <w:tmpl w:val="4B022044"/>
    <w:lvl w:ilvl="0" w:tplc="74DA4F94">
      <w:start w:val="1"/>
      <w:numFmt w:val="decimal"/>
      <w:lvlText w:val="%1."/>
      <w:lvlJc w:val="left"/>
      <w:pPr>
        <w:tabs>
          <w:tab w:val="num" w:pos="1800"/>
        </w:tabs>
        <w:ind w:left="1800" w:hanging="360"/>
      </w:pPr>
      <w:rPr>
        <w:rFonts w:hint="default"/>
      </w:r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385">
    <w:nsid w:val="5CC248CD"/>
    <w:multiLevelType w:val="hybridMultilevel"/>
    <w:tmpl w:val="1FE2A36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386">
    <w:nsid w:val="5CC40973"/>
    <w:multiLevelType w:val="hybridMultilevel"/>
    <w:tmpl w:val="8214BC1A"/>
    <w:lvl w:ilvl="0" w:tplc="6FC8BBF2">
      <w:numFmt w:val="bullet"/>
      <w:lvlText w:val=""/>
      <w:lvlJc w:val="left"/>
      <w:pPr>
        <w:tabs>
          <w:tab w:val="num" w:pos="480"/>
        </w:tabs>
        <w:ind w:left="48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7">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1388">
    <w:nsid w:val="5D2B0266"/>
    <w:multiLevelType w:val="hybridMultilevel"/>
    <w:tmpl w:val="83302652"/>
    <w:lvl w:ilvl="0" w:tplc="1D70C2AC">
      <w:start w:val="1"/>
      <w:numFmt w:val="decimal"/>
      <w:lvlText w:val="%1."/>
      <w:lvlJc w:val="left"/>
      <w:pPr>
        <w:tabs>
          <w:tab w:val="num" w:pos="480"/>
        </w:tabs>
        <w:ind w:left="480" w:hanging="360"/>
      </w:pPr>
      <w:rPr>
        <w:rFonts w:hint="eastAsia"/>
      </w:rPr>
    </w:lvl>
    <w:lvl w:ilvl="1" w:tplc="A25C21FC">
      <w:start w:val="1"/>
      <w:numFmt w:val="decimal"/>
      <w:lvlText w:val="%2．"/>
      <w:lvlJc w:val="left"/>
      <w:pPr>
        <w:tabs>
          <w:tab w:val="num" w:pos="900"/>
        </w:tabs>
        <w:ind w:left="900" w:hanging="360"/>
      </w:pPr>
      <w:rPr>
        <w:rFonts w:hint="eastAsia"/>
      </w:r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1389">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1390">
    <w:nsid w:val="5D4B4CD0"/>
    <w:multiLevelType w:val="hybridMultilevel"/>
    <w:tmpl w:val="0A2E078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1">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92">
    <w:nsid w:val="5D5F5A3F"/>
    <w:multiLevelType w:val="singleLevel"/>
    <w:tmpl w:val="66FC3666"/>
    <w:lvl w:ilvl="0">
      <w:start w:val="1"/>
      <w:numFmt w:val="lowerLetter"/>
      <w:lvlText w:val="(%1)"/>
      <w:legacy w:legacy="1" w:legacySpace="0" w:legacyIndent="425"/>
      <w:lvlJc w:val="left"/>
      <w:pPr>
        <w:ind w:left="1446" w:hanging="425"/>
      </w:pPr>
    </w:lvl>
  </w:abstractNum>
  <w:abstractNum w:abstractNumId="1393">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1394">
    <w:nsid w:val="5D671268"/>
    <w:multiLevelType w:val="multilevel"/>
    <w:tmpl w:val="BC7676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395">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1396">
    <w:nsid w:val="5D677E0D"/>
    <w:multiLevelType w:val="multilevel"/>
    <w:tmpl w:val="FDC07C4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97">
    <w:nsid w:val="5D683090"/>
    <w:multiLevelType w:val="hybridMultilevel"/>
    <w:tmpl w:val="ADDC4B0C"/>
    <w:lvl w:ilvl="0" w:tplc="51AE05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8">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99">
    <w:nsid w:val="5D8E5908"/>
    <w:multiLevelType w:val="hybridMultilevel"/>
    <w:tmpl w:val="B0C27EFA"/>
    <w:lvl w:ilvl="0" w:tplc="04090003">
      <w:start w:val="1"/>
      <w:numFmt w:val="bullet"/>
      <w:lvlText w:val=""/>
      <w:lvlJc w:val="left"/>
      <w:pPr>
        <w:tabs>
          <w:tab w:val="num" w:pos="1470"/>
        </w:tabs>
        <w:ind w:left="1470" w:hanging="420"/>
      </w:pPr>
      <w:rPr>
        <w:rFonts w:ascii="Wingdings" w:hAnsi="Wingdings"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400">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1401">
    <w:nsid w:val="5DC630E0"/>
    <w:multiLevelType w:val="hybridMultilevel"/>
    <w:tmpl w:val="4C76A65C"/>
    <w:lvl w:ilvl="0" w:tplc="322C1A68">
      <w:start w:val="917"/>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2">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3">
    <w:nsid w:val="5DD91D61"/>
    <w:multiLevelType w:val="hybridMultilevel"/>
    <w:tmpl w:val="467C780E"/>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04">
    <w:nsid w:val="5DE97122"/>
    <w:multiLevelType w:val="hybridMultilevel"/>
    <w:tmpl w:val="CE007F4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5">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1406">
    <w:nsid w:val="5E703E46"/>
    <w:multiLevelType w:val="hybridMultilevel"/>
    <w:tmpl w:val="89586CEE"/>
    <w:lvl w:ilvl="0" w:tplc="6C42A8AE">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07">
    <w:nsid w:val="5E7C0C03"/>
    <w:multiLevelType w:val="hybridMultilevel"/>
    <w:tmpl w:val="99D62A72"/>
    <w:lvl w:ilvl="0" w:tplc="B958E966">
      <w:start w:val="1"/>
      <w:numFmt w:val="upp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08">
    <w:nsid w:val="5EA93EC6"/>
    <w:multiLevelType w:val="hybridMultilevel"/>
    <w:tmpl w:val="D2861798"/>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9">
    <w:nsid w:val="5EC02E5C"/>
    <w:multiLevelType w:val="hybridMultilevel"/>
    <w:tmpl w:val="94EA7860"/>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410">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11">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2">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413">
    <w:nsid w:val="5F0C0BB9"/>
    <w:multiLevelType w:val="hybridMultilevel"/>
    <w:tmpl w:val="B530A4CA"/>
    <w:lvl w:ilvl="0" w:tplc="04090019">
      <w:start w:val="1"/>
      <w:numFmt w:val="lowerLetter"/>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414">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1415">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416">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17">
    <w:nsid w:val="5F5B60B1"/>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18">
    <w:nsid w:val="5F661187"/>
    <w:multiLevelType w:val="multilevel"/>
    <w:tmpl w:val="2F08998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19">
    <w:nsid w:val="5F713197"/>
    <w:multiLevelType w:val="hybridMultilevel"/>
    <w:tmpl w:val="6E1A429A"/>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20">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1">
    <w:nsid w:val="5F8252C2"/>
    <w:multiLevelType w:val="multilevel"/>
    <w:tmpl w:val="6546AC0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22">
    <w:nsid w:val="5FAB6D52"/>
    <w:multiLevelType w:val="hybridMultilevel"/>
    <w:tmpl w:val="73ACFF0A"/>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23">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1424">
    <w:nsid w:val="5FDE1DCE"/>
    <w:multiLevelType w:val="hybridMultilevel"/>
    <w:tmpl w:val="39EEDAF0"/>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25">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426">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1427">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8">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9">
    <w:nsid w:val="600D0E69"/>
    <w:multiLevelType w:val="hybridMultilevel"/>
    <w:tmpl w:val="95AA3150"/>
    <w:lvl w:ilvl="0" w:tplc="04090019">
      <w:start w:val="1"/>
      <w:numFmt w:val="lowerLetter"/>
      <w:lvlText w:val="%1)"/>
      <w:lvlJc w:val="left"/>
      <w:pPr>
        <w:tabs>
          <w:tab w:val="num" w:pos="1485"/>
        </w:tabs>
        <w:ind w:left="1485" w:hanging="420"/>
      </w:pPr>
    </w:lvl>
    <w:lvl w:ilvl="1" w:tplc="5E8ED082">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430">
    <w:nsid w:val="601C5B3A"/>
    <w:multiLevelType w:val="hybridMultilevel"/>
    <w:tmpl w:val="194E1EE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31">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32">
    <w:nsid w:val="60335490"/>
    <w:multiLevelType w:val="multilevel"/>
    <w:tmpl w:val="DAA6CD16"/>
    <w:lvl w:ilvl="0">
      <w:start w:val="1"/>
      <w:numFmt w:val="bullet"/>
      <w:lvlText w:val="-"/>
      <w:lvlJc w:val="left"/>
      <w:pPr>
        <w:tabs>
          <w:tab w:val="num" w:pos="720"/>
        </w:tabs>
        <w:ind w:left="720" w:hanging="360"/>
      </w:pPr>
      <w:rPr>
        <w:rFonts w:hint="default"/>
        <w:color w:val="0000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33">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4">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435">
    <w:nsid w:val="60624EA5"/>
    <w:multiLevelType w:val="hybridMultilevel"/>
    <w:tmpl w:val="9D1A608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36">
    <w:nsid w:val="606265C9"/>
    <w:multiLevelType w:val="hybridMultilevel"/>
    <w:tmpl w:val="4532DE80"/>
    <w:lvl w:ilvl="0" w:tplc="83CA69AC">
      <w:start w:val="995"/>
      <w:numFmt w:val="decimal"/>
      <w:lvlText w:val="%1．"/>
      <w:lvlJc w:val="left"/>
      <w:pPr>
        <w:tabs>
          <w:tab w:val="num" w:pos="945"/>
        </w:tabs>
        <w:ind w:left="945" w:hanging="52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37">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8">
    <w:nsid w:val="60921244"/>
    <w:multiLevelType w:val="multilevel"/>
    <w:tmpl w:val="CBEA5238"/>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439">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0">
    <w:nsid w:val="60DD473A"/>
    <w:multiLevelType w:val="hybridMultilevel"/>
    <w:tmpl w:val="939414E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1">
    <w:nsid w:val="60E1723F"/>
    <w:multiLevelType w:val="hybridMultilevel"/>
    <w:tmpl w:val="4F3E69F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2">
    <w:nsid w:val="60FD2227"/>
    <w:multiLevelType w:val="multilevel"/>
    <w:tmpl w:val="DD547B88"/>
    <w:lvl w:ilvl="0">
      <w:start w:val="132"/>
      <w:numFmt w:val="bullet"/>
      <w:lvlText w:val="-"/>
      <w:lvlJc w:val="left"/>
      <w:pPr>
        <w:tabs>
          <w:tab w:val="num" w:pos="360"/>
        </w:tabs>
        <w:ind w:left="360" w:hanging="720"/>
      </w:pPr>
      <w:rPr>
        <w:rFonts w:ascii="Century Gothic" w:eastAsia="Times New Roman" w:hAnsi="Century Gothic"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43">
    <w:nsid w:val="610425B6"/>
    <w:multiLevelType w:val="multilevel"/>
    <w:tmpl w:val="E95C05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44">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1445">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46">
    <w:nsid w:val="614B35FD"/>
    <w:multiLevelType w:val="hybridMultilevel"/>
    <w:tmpl w:val="DC96F824"/>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47">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448">
    <w:nsid w:val="61AA78BB"/>
    <w:multiLevelType w:val="singleLevel"/>
    <w:tmpl w:val="C2EA0BE0"/>
    <w:lvl w:ilvl="0">
      <w:start w:val="1"/>
      <w:numFmt w:val="decimal"/>
      <w:lvlText w:val="%1."/>
      <w:legacy w:legacy="1" w:legacySpace="120" w:legacyIndent="360"/>
      <w:lvlJc w:val="left"/>
      <w:pPr>
        <w:ind w:left="720" w:hanging="360"/>
      </w:pPr>
      <w:rPr>
        <w:b/>
        <w:i w:val="0"/>
      </w:rPr>
    </w:lvl>
  </w:abstractNum>
  <w:abstractNum w:abstractNumId="1449">
    <w:nsid w:val="61AC4854"/>
    <w:multiLevelType w:val="hybridMultilevel"/>
    <w:tmpl w:val="F9908A9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50">
    <w:nsid w:val="61B34F2F"/>
    <w:multiLevelType w:val="hybridMultilevel"/>
    <w:tmpl w:val="09CAC7D4"/>
    <w:lvl w:ilvl="0" w:tplc="9A6E1CCC">
      <w:start w:val="23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1">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2">
    <w:nsid w:val="61D270D0"/>
    <w:multiLevelType w:val="hybridMultilevel"/>
    <w:tmpl w:val="6C64C8CE"/>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53">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1454">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55">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56">
    <w:nsid w:val="621D3D02"/>
    <w:multiLevelType w:val="singleLevel"/>
    <w:tmpl w:val="0409000F"/>
    <w:lvl w:ilvl="0">
      <w:start w:val="1"/>
      <w:numFmt w:val="decimal"/>
      <w:lvlText w:val="%1."/>
      <w:lvlJc w:val="left"/>
      <w:pPr>
        <w:tabs>
          <w:tab w:val="num" w:pos="425"/>
        </w:tabs>
        <w:ind w:left="425" w:hanging="425"/>
      </w:pPr>
    </w:lvl>
  </w:abstractNum>
  <w:abstractNum w:abstractNumId="1457">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1458">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1459">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460">
    <w:nsid w:val="627456E0"/>
    <w:multiLevelType w:val="hybridMultilevel"/>
    <w:tmpl w:val="96269E52"/>
    <w:lvl w:ilvl="0" w:tplc="DBE44672">
      <w:start w:val="1"/>
      <w:numFmt w:val="decimal"/>
      <w:lvlText w:val="%1．"/>
      <w:lvlJc w:val="left"/>
      <w:pPr>
        <w:tabs>
          <w:tab w:val="num" w:pos="360"/>
        </w:tabs>
        <w:ind w:left="360" w:hanging="360"/>
      </w:pPr>
      <w:rPr>
        <w:rFonts w:hint="eastAsia"/>
      </w:rPr>
    </w:lvl>
    <w:lvl w:ilvl="1" w:tplc="56D6A54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1">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62">
    <w:nsid w:val="629A7C10"/>
    <w:multiLevelType w:val="hybridMultilevel"/>
    <w:tmpl w:val="ABCE8CEE"/>
    <w:lvl w:ilvl="0" w:tplc="636243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3">
    <w:nsid w:val="629D7485"/>
    <w:multiLevelType w:val="multilevel"/>
    <w:tmpl w:val="C93E0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64">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65">
    <w:nsid w:val="62CB5561"/>
    <w:multiLevelType w:val="multilevel"/>
    <w:tmpl w:val="78F4BF2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66">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467">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1468">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69">
    <w:nsid w:val="631C68C2"/>
    <w:multiLevelType w:val="hybridMultilevel"/>
    <w:tmpl w:val="E88E480C"/>
    <w:lvl w:ilvl="0" w:tplc="62944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0">
    <w:nsid w:val="632420F9"/>
    <w:multiLevelType w:val="hybridMultilevel"/>
    <w:tmpl w:val="34CE2F1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471">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472">
    <w:nsid w:val="635C0326"/>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73">
    <w:nsid w:val="637247A1"/>
    <w:multiLevelType w:val="multilevel"/>
    <w:tmpl w:val="49386F3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474">
    <w:nsid w:val="63753B6B"/>
    <w:multiLevelType w:val="hybridMultilevel"/>
    <w:tmpl w:val="A454B0E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475">
    <w:nsid w:val="639B722B"/>
    <w:multiLevelType w:val="hybridMultilevel"/>
    <w:tmpl w:val="64569F62"/>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476">
    <w:nsid w:val="63B60287"/>
    <w:multiLevelType w:val="hybridMultilevel"/>
    <w:tmpl w:val="5F76B636"/>
    <w:lvl w:ilvl="0" w:tplc="093202E4">
      <w:start w:val="1077"/>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7">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78">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79">
    <w:nsid w:val="63F44889"/>
    <w:multiLevelType w:val="multilevel"/>
    <w:tmpl w:val="F566E14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0">
    <w:nsid w:val="64044785"/>
    <w:multiLevelType w:val="hybridMultilevel"/>
    <w:tmpl w:val="84A40402"/>
    <w:lvl w:ilvl="0" w:tplc="63BA4B4E">
      <w:start w:val="1023"/>
      <w:numFmt w:val="decimal"/>
      <w:lvlText w:val="%1."/>
      <w:lvlJc w:val="left"/>
      <w:pPr>
        <w:tabs>
          <w:tab w:val="num" w:pos="600"/>
        </w:tabs>
        <w:ind w:left="600" w:hanging="600"/>
      </w:pPr>
      <w:rPr>
        <w:rFonts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1">
    <w:nsid w:val="64084566"/>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2">
    <w:nsid w:val="641B3759"/>
    <w:multiLevelType w:val="multilevel"/>
    <w:tmpl w:val="F8F20A86"/>
    <w:lvl w:ilvl="0">
      <w:start w:val="1"/>
      <w:numFmt w:val="bullet"/>
      <w:lvlText w:val=""/>
      <w:lvlJc w:val="left"/>
      <w:pPr>
        <w:tabs>
          <w:tab w:val="num" w:pos="454"/>
        </w:tabs>
        <w:ind w:left="45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3">
    <w:nsid w:val="642A7823"/>
    <w:multiLevelType w:val="singleLevel"/>
    <w:tmpl w:val="66FC3666"/>
    <w:lvl w:ilvl="0">
      <w:start w:val="1"/>
      <w:numFmt w:val="lowerLetter"/>
      <w:lvlText w:val="(%1)"/>
      <w:legacy w:legacy="1" w:legacySpace="0" w:legacyIndent="425"/>
      <w:lvlJc w:val="left"/>
      <w:pPr>
        <w:ind w:left="1446" w:hanging="425"/>
      </w:pPr>
    </w:lvl>
  </w:abstractNum>
  <w:abstractNum w:abstractNumId="1484">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85">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86">
    <w:nsid w:val="646B1AEE"/>
    <w:multiLevelType w:val="hybridMultilevel"/>
    <w:tmpl w:val="AF2261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87">
    <w:nsid w:val="6476604F"/>
    <w:multiLevelType w:val="hybridMultilevel"/>
    <w:tmpl w:val="2070D676"/>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88">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9">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490">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91">
    <w:nsid w:val="64887748"/>
    <w:multiLevelType w:val="hybridMultilevel"/>
    <w:tmpl w:val="106E92CC"/>
    <w:lvl w:ilvl="0" w:tplc="FCF25728">
      <w:start w:val="188"/>
      <w:numFmt w:val="decimal"/>
      <w:lvlText w:val="%1."/>
      <w:lvlJc w:val="left"/>
      <w:pPr>
        <w:tabs>
          <w:tab w:val="num" w:pos="792"/>
        </w:tabs>
        <w:ind w:left="792" w:hanging="79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2">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493">
    <w:nsid w:val="648B70F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494">
    <w:nsid w:val="649149BF"/>
    <w:multiLevelType w:val="multilevel"/>
    <w:tmpl w:val="D76834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95">
    <w:nsid w:val="649A328A"/>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6">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497">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498">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99">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0">
    <w:nsid w:val="64BD6D4E"/>
    <w:multiLevelType w:val="hybridMultilevel"/>
    <w:tmpl w:val="8A24064E"/>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501">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02">
    <w:nsid w:val="65052D15"/>
    <w:multiLevelType w:val="multilevel"/>
    <w:tmpl w:val="F69AF58A"/>
    <w:lvl w:ilvl="0">
      <w:start w:val="11"/>
      <w:numFmt w:val="decimal"/>
      <w:lvlText w:val="%1"/>
      <w:lvlJc w:val="left"/>
      <w:pPr>
        <w:tabs>
          <w:tab w:val="num" w:pos="720"/>
        </w:tabs>
        <w:ind w:left="720" w:hanging="720"/>
      </w:pPr>
      <w:rPr>
        <w:rFonts w:hint="default"/>
      </w:rPr>
    </w:lvl>
    <w:lvl w:ilvl="1">
      <w:start w:val="1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03">
    <w:nsid w:val="65054B8D"/>
    <w:multiLevelType w:val="multilevel"/>
    <w:tmpl w:val="5FB64014"/>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04">
    <w:nsid w:val="651068B0"/>
    <w:multiLevelType w:val="multilevel"/>
    <w:tmpl w:val="2F7ADD1A"/>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05">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06">
    <w:nsid w:val="652767A7"/>
    <w:multiLevelType w:val="hybridMultilevel"/>
    <w:tmpl w:val="FB00BB8E"/>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07">
    <w:nsid w:val="655370DD"/>
    <w:multiLevelType w:val="hybridMultilevel"/>
    <w:tmpl w:val="4CCC921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8">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09">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510">
    <w:nsid w:val="65832EBB"/>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511">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12">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13">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4">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5">
    <w:nsid w:val="65D15DFE"/>
    <w:multiLevelType w:val="singleLevel"/>
    <w:tmpl w:val="475E6D3C"/>
    <w:lvl w:ilvl="0">
      <w:start w:val="1"/>
      <w:numFmt w:val="decimal"/>
      <w:lvlText w:val="%1."/>
      <w:lvlJc w:val="left"/>
      <w:pPr>
        <w:tabs>
          <w:tab w:val="num" w:pos="360"/>
        </w:tabs>
        <w:ind w:left="360" w:hanging="360"/>
      </w:pPr>
    </w:lvl>
  </w:abstractNum>
  <w:abstractNum w:abstractNumId="1516">
    <w:nsid w:val="65E07F20"/>
    <w:multiLevelType w:val="hybridMultilevel"/>
    <w:tmpl w:val="EAA668AE"/>
    <w:lvl w:ilvl="0" w:tplc="9FF0377C">
      <w:start w:val="310"/>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17">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18">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519">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520">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521">
    <w:nsid w:val="661C7E02"/>
    <w:multiLevelType w:val="multilevel"/>
    <w:tmpl w:val="C0DC5E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2">
    <w:nsid w:val="66422BDF"/>
    <w:multiLevelType w:val="hybridMultilevel"/>
    <w:tmpl w:val="ABCC2012"/>
    <w:lvl w:ilvl="0" w:tplc="B2806406">
      <w:start w:val="1023"/>
      <w:numFmt w:val="decimal"/>
      <w:lvlText w:val="%1."/>
      <w:lvlJc w:val="left"/>
      <w:pPr>
        <w:tabs>
          <w:tab w:val="num" w:pos="600"/>
        </w:tabs>
        <w:ind w:left="600" w:hanging="60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3">
    <w:nsid w:val="66422E35"/>
    <w:multiLevelType w:val="hybridMultilevel"/>
    <w:tmpl w:val="BF942B2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24">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25">
    <w:nsid w:val="66645675"/>
    <w:multiLevelType w:val="hybridMultilevel"/>
    <w:tmpl w:val="75A6C9C8"/>
    <w:lvl w:ilvl="0" w:tplc="5D5853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6">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27">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28">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29">
    <w:nsid w:val="66772975"/>
    <w:multiLevelType w:val="hybridMultilevel"/>
    <w:tmpl w:val="DF485828"/>
    <w:lvl w:ilvl="0" w:tplc="BA389DB6">
      <w:start w:val="3"/>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0">
    <w:nsid w:val="66896A23"/>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31">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2">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3">
    <w:nsid w:val="66BC0026"/>
    <w:multiLevelType w:val="hybridMultilevel"/>
    <w:tmpl w:val="ED84930C"/>
    <w:lvl w:ilvl="0" w:tplc="46664A2A">
      <w:start w:val="277"/>
      <w:numFmt w:val="decimal"/>
      <w:lvlText w:val="%1．"/>
      <w:lvlJc w:val="left"/>
      <w:pPr>
        <w:tabs>
          <w:tab w:val="num" w:pos="1020"/>
        </w:tabs>
        <w:ind w:left="1020" w:hanging="840"/>
      </w:pPr>
      <w:rPr>
        <w:rFonts w:hint="default"/>
      </w:rPr>
    </w:lvl>
    <w:lvl w:ilvl="1" w:tplc="D3143494">
      <w:start w:val="1"/>
      <w:numFmt w:val="upperRoman"/>
      <w:lvlText w:val="%2."/>
      <w:lvlJc w:val="left"/>
      <w:pPr>
        <w:tabs>
          <w:tab w:val="num" w:pos="840"/>
        </w:tabs>
        <w:ind w:left="840" w:hanging="420"/>
      </w:pPr>
      <w:rPr>
        <w:rFonts w:hint="default"/>
      </w:rPr>
    </w:lvl>
    <w:lvl w:ilvl="2" w:tplc="DD06EAE6">
      <w:start w:val="1"/>
      <w:numFmt w:val="upperRoman"/>
      <w:lvlText w:val="%3．"/>
      <w:lvlJc w:val="left"/>
      <w:pPr>
        <w:tabs>
          <w:tab w:val="num" w:pos="1560"/>
        </w:tabs>
        <w:ind w:left="1560" w:hanging="720"/>
      </w:pPr>
      <w:rPr>
        <w:rFonts w:hint="default"/>
      </w:r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4">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535">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36">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537">
    <w:nsid w:val="66EB22A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538">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9">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540">
    <w:nsid w:val="6738241A"/>
    <w:multiLevelType w:val="hybridMultilevel"/>
    <w:tmpl w:val="63ECBAA2"/>
    <w:lvl w:ilvl="0" w:tplc="9E92BC88">
      <w:start w:val="1"/>
      <w:numFmt w:val="japaneseCounting"/>
      <w:lvlText w:val="%1、"/>
      <w:lvlJc w:val="left"/>
      <w:pPr>
        <w:tabs>
          <w:tab w:val="num" w:pos="432"/>
        </w:tabs>
        <w:ind w:left="432" w:hanging="432"/>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1">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542">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543">
    <w:nsid w:val="677E1019"/>
    <w:multiLevelType w:val="hybridMultilevel"/>
    <w:tmpl w:val="9CF4BCD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544">
    <w:nsid w:val="67A62A21"/>
    <w:multiLevelType w:val="hybridMultilevel"/>
    <w:tmpl w:val="3696A9EC"/>
    <w:lvl w:ilvl="0" w:tplc="0DAE44A8">
      <w:start w:val="275"/>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5">
    <w:nsid w:val="67CD7697"/>
    <w:multiLevelType w:val="multilevel"/>
    <w:tmpl w:val="81225A4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46">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547">
    <w:nsid w:val="67DA6E88"/>
    <w:multiLevelType w:val="hybridMultilevel"/>
    <w:tmpl w:val="46045DFE"/>
    <w:lvl w:ilvl="0" w:tplc="3D36C84A">
      <w:start w:val="1"/>
      <w:numFmt w:val="decimal"/>
      <w:lvlText w:val="%1．"/>
      <w:lvlJc w:val="left"/>
      <w:pPr>
        <w:tabs>
          <w:tab w:val="num" w:pos="1452"/>
        </w:tabs>
        <w:ind w:left="1452" w:hanging="372"/>
      </w:pPr>
      <w:rPr>
        <w:rFonts w:eastAsia="SimSun" w:hint="eastAsia"/>
      </w:rPr>
    </w:lvl>
    <w:lvl w:ilvl="1" w:tplc="04090019">
      <w:start w:val="1"/>
      <w:numFmt w:val="lowerLetter"/>
      <w:lvlText w:val="%2)"/>
      <w:lvlJc w:val="left"/>
      <w:pPr>
        <w:tabs>
          <w:tab w:val="num" w:pos="1920"/>
        </w:tabs>
        <w:ind w:left="1920" w:hanging="420"/>
      </w:pPr>
    </w:lvl>
    <w:lvl w:ilvl="2" w:tplc="0409001B">
      <w:start w:val="1"/>
      <w:numFmt w:val="lowerRoman"/>
      <w:lvlText w:val="%3."/>
      <w:lvlJc w:val="right"/>
      <w:pPr>
        <w:tabs>
          <w:tab w:val="num" w:pos="2340"/>
        </w:tabs>
        <w:ind w:left="2340" w:hanging="420"/>
      </w:pPr>
    </w:lvl>
    <w:lvl w:ilvl="3" w:tplc="0409000F">
      <w:start w:val="1"/>
      <w:numFmt w:val="decimal"/>
      <w:lvlText w:val="%4."/>
      <w:lvlJc w:val="left"/>
      <w:pPr>
        <w:tabs>
          <w:tab w:val="num" w:pos="2760"/>
        </w:tabs>
        <w:ind w:left="2760" w:hanging="420"/>
      </w:pPr>
    </w:lvl>
    <w:lvl w:ilvl="4" w:tplc="04090019">
      <w:start w:val="1"/>
      <w:numFmt w:val="lowerLetter"/>
      <w:lvlText w:val="%5)"/>
      <w:lvlJc w:val="left"/>
      <w:pPr>
        <w:tabs>
          <w:tab w:val="num" w:pos="3180"/>
        </w:tabs>
        <w:ind w:left="3180" w:hanging="420"/>
      </w:pPr>
    </w:lvl>
    <w:lvl w:ilvl="5" w:tplc="0409001B">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548">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549">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0">
    <w:nsid w:val="67FB489E"/>
    <w:multiLevelType w:val="hybridMultilevel"/>
    <w:tmpl w:val="4B14A06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551">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552">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553">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4">
    <w:nsid w:val="68597A24"/>
    <w:multiLevelType w:val="hybridMultilevel"/>
    <w:tmpl w:val="CB74A7C8"/>
    <w:lvl w:ilvl="0" w:tplc="0DB08B2C">
      <w:start w:val="142"/>
      <w:numFmt w:val="decimal"/>
      <w:lvlText w:val="%1."/>
      <w:lvlJc w:val="left"/>
      <w:pPr>
        <w:tabs>
          <w:tab w:val="num" w:pos="360"/>
        </w:tabs>
        <w:ind w:left="360" w:hanging="360"/>
      </w:pPr>
      <w:rPr>
        <w:rFonts w:ascii="Times New Roman" w:hAnsi="Times New Roman" w:hint="default"/>
        <w:sz w:val="21"/>
        <w:szCs w:val="21"/>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5">
    <w:nsid w:val="686D6E92"/>
    <w:multiLevelType w:val="singleLevel"/>
    <w:tmpl w:val="04070017"/>
    <w:lvl w:ilvl="0">
      <w:start w:val="1"/>
      <w:numFmt w:val="lowerLetter"/>
      <w:lvlText w:val="%1)"/>
      <w:lvlJc w:val="left"/>
      <w:pPr>
        <w:tabs>
          <w:tab w:val="num" w:pos="360"/>
        </w:tabs>
        <w:ind w:left="360" w:hanging="360"/>
      </w:pPr>
    </w:lvl>
  </w:abstractNum>
  <w:abstractNum w:abstractNumId="1556">
    <w:nsid w:val="689E4F0E"/>
    <w:multiLevelType w:val="hybridMultilevel"/>
    <w:tmpl w:val="D7042D1E"/>
    <w:lvl w:ilvl="0" w:tplc="94A6116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57">
    <w:nsid w:val="68B815A8"/>
    <w:multiLevelType w:val="multilevel"/>
    <w:tmpl w:val="0308ABC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58">
    <w:nsid w:val="68DE5164"/>
    <w:multiLevelType w:val="multilevel"/>
    <w:tmpl w:val="741A67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59">
    <w:nsid w:val="68EF68B3"/>
    <w:multiLevelType w:val="multilevel"/>
    <w:tmpl w:val="CA2EC8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60">
    <w:nsid w:val="68EF6FD8"/>
    <w:multiLevelType w:val="hybridMultilevel"/>
    <w:tmpl w:val="72EAEF16"/>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561">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62">
    <w:nsid w:val="68F7200E"/>
    <w:multiLevelType w:val="hybridMultilevel"/>
    <w:tmpl w:val="E7BA7ABE"/>
    <w:lvl w:ilvl="0" w:tplc="2D9ACCB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63">
    <w:nsid w:val="690C391C"/>
    <w:multiLevelType w:val="multilevel"/>
    <w:tmpl w:val="3B7A3EC6"/>
    <w:lvl w:ilvl="0">
      <w:start w:val="24"/>
      <w:numFmt w:val="decimal"/>
      <w:lvlText w:val="%1"/>
      <w:lvlJc w:val="left"/>
      <w:pPr>
        <w:tabs>
          <w:tab w:val="num" w:pos="600"/>
        </w:tabs>
        <w:ind w:left="600" w:hanging="60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64">
    <w:nsid w:val="690D5EC9"/>
    <w:multiLevelType w:val="hybridMultilevel"/>
    <w:tmpl w:val="730AC9D4"/>
    <w:lvl w:ilvl="0" w:tplc="633EC72C">
      <w:start w:val="27"/>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565">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66">
    <w:nsid w:val="691B6BD5"/>
    <w:multiLevelType w:val="hybridMultilevel"/>
    <w:tmpl w:val="3F7020FA"/>
    <w:lvl w:ilvl="0" w:tplc="B37AC1DA">
      <w:start w:val="1023"/>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7">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68">
    <w:nsid w:val="694D03C8"/>
    <w:multiLevelType w:val="multilevel"/>
    <w:tmpl w:val="9044F7CA"/>
    <w:lvl w:ilvl="0">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69">
    <w:nsid w:val="694E24B6"/>
    <w:multiLevelType w:val="hybridMultilevel"/>
    <w:tmpl w:val="2BFE3634"/>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70">
    <w:nsid w:val="694F5169"/>
    <w:multiLevelType w:val="hybridMultilevel"/>
    <w:tmpl w:val="B9407024"/>
    <w:lvl w:ilvl="0" w:tplc="0409000F">
      <w:start w:val="1"/>
      <w:numFmt w:val="decimal"/>
      <w:lvlText w:val="%1."/>
      <w:lvlJc w:val="left"/>
      <w:pPr>
        <w:tabs>
          <w:tab w:val="num" w:pos="960"/>
        </w:tabs>
        <w:ind w:left="960" w:hanging="420"/>
      </w:pPr>
    </w:lvl>
    <w:lvl w:ilvl="1" w:tplc="6E5C580A">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571">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72">
    <w:nsid w:val="69BD39CD"/>
    <w:multiLevelType w:val="hybridMultilevel"/>
    <w:tmpl w:val="3412260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73">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574">
    <w:nsid w:val="69EC4351"/>
    <w:multiLevelType w:val="hybridMultilevel"/>
    <w:tmpl w:val="9BF6ABEE"/>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75">
    <w:nsid w:val="6A046649"/>
    <w:multiLevelType w:val="hybridMultilevel"/>
    <w:tmpl w:val="46EAF81A"/>
    <w:lvl w:ilvl="0" w:tplc="B680DCE4">
      <w:start w:val="1"/>
      <w:numFmt w:val="bullet"/>
      <w:lvlText w:val=""/>
      <w:lvlJc w:val="left"/>
      <w:pPr>
        <w:tabs>
          <w:tab w:val="num" w:pos="780"/>
        </w:tabs>
        <w:ind w:left="7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76">
    <w:nsid w:val="6A4401F3"/>
    <w:multiLevelType w:val="hybridMultilevel"/>
    <w:tmpl w:val="97D0800E"/>
    <w:lvl w:ilvl="0" w:tplc="942A94F2">
      <w:start w:val="3"/>
      <w:numFmt w:val="upperLetter"/>
      <w:lvlText w:val="%1."/>
      <w:lvlJc w:val="left"/>
      <w:pPr>
        <w:tabs>
          <w:tab w:val="num" w:pos="555"/>
        </w:tabs>
        <w:ind w:left="555" w:hanging="55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77">
    <w:nsid w:val="6A510616"/>
    <w:multiLevelType w:val="hybridMultilevel"/>
    <w:tmpl w:val="415A94B4"/>
    <w:lvl w:ilvl="0" w:tplc="5372C634">
      <w:start w:val="156"/>
      <w:numFmt w:val="decimal"/>
      <w:lvlText w:val="%1."/>
      <w:lvlJc w:val="left"/>
      <w:pPr>
        <w:tabs>
          <w:tab w:val="num" w:pos="792"/>
        </w:tabs>
        <w:ind w:left="792" w:hanging="79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78">
    <w:nsid w:val="6A56403F"/>
    <w:multiLevelType w:val="multilevel"/>
    <w:tmpl w:val="B9F0D9E2"/>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579">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580">
    <w:nsid w:val="6A771A65"/>
    <w:multiLevelType w:val="hybridMultilevel"/>
    <w:tmpl w:val="EE108F7C"/>
    <w:lvl w:ilvl="0" w:tplc="5BCE8042">
      <w:start w:val="1"/>
      <w:numFmt w:val="bullet"/>
      <w:lvlText w:val="●"/>
      <w:lvlJc w:val="left"/>
      <w:pPr>
        <w:tabs>
          <w:tab w:val="num" w:pos="1560"/>
        </w:tabs>
        <w:ind w:left="1560" w:hanging="360"/>
      </w:pPr>
      <w:rPr>
        <w:rFonts w:ascii="SimSun" w:eastAsia="SimSun" w:hAnsi="SimSun" w:cs="Times New Roman" w:hint="eastAsia"/>
      </w:rPr>
    </w:lvl>
    <w:lvl w:ilvl="1" w:tplc="04090003" w:tentative="1">
      <w:start w:val="1"/>
      <w:numFmt w:val="bullet"/>
      <w:lvlText w:val=""/>
      <w:lvlJc w:val="left"/>
      <w:pPr>
        <w:tabs>
          <w:tab w:val="num" w:pos="2040"/>
        </w:tabs>
        <w:ind w:left="2040" w:hanging="420"/>
      </w:pPr>
      <w:rPr>
        <w:rFonts w:ascii="Wingdings" w:hAnsi="Wingdings" w:hint="default"/>
      </w:rPr>
    </w:lvl>
    <w:lvl w:ilvl="2" w:tplc="04090005" w:tentative="1">
      <w:start w:val="1"/>
      <w:numFmt w:val="bullet"/>
      <w:lvlText w:val=""/>
      <w:lvlJc w:val="left"/>
      <w:pPr>
        <w:tabs>
          <w:tab w:val="num" w:pos="2460"/>
        </w:tabs>
        <w:ind w:left="2460" w:hanging="420"/>
      </w:pPr>
      <w:rPr>
        <w:rFonts w:ascii="Wingdings" w:hAnsi="Wingdings" w:hint="default"/>
      </w:rPr>
    </w:lvl>
    <w:lvl w:ilvl="3" w:tplc="04090001" w:tentative="1">
      <w:start w:val="1"/>
      <w:numFmt w:val="bullet"/>
      <w:lvlText w:val=""/>
      <w:lvlJc w:val="left"/>
      <w:pPr>
        <w:tabs>
          <w:tab w:val="num" w:pos="2880"/>
        </w:tabs>
        <w:ind w:left="2880" w:hanging="420"/>
      </w:pPr>
      <w:rPr>
        <w:rFonts w:ascii="Wingdings" w:hAnsi="Wingdings" w:hint="default"/>
      </w:rPr>
    </w:lvl>
    <w:lvl w:ilvl="4" w:tplc="04090003" w:tentative="1">
      <w:start w:val="1"/>
      <w:numFmt w:val="bullet"/>
      <w:lvlText w:val=""/>
      <w:lvlJc w:val="left"/>
      <w:pPr>
        <w:tabs>
          <w:tab w:val="num" w:pos="3300"/>
        </w:tabs>
        <w:ind w:left="3300" w:hanging="420"/>
      </w:pPr>
      <w:rPr>
        <w:rFonts w:ascii="Wingdings" w:hAnsi="Wingdings" w:hint="default"/>
      </w:rPr>
    </w:lvl>
    <w:lvl w:ilvl="5" w:tplc="04090005" w:tentative="1">
      <w:start w:val="1"/>
      <w:numFmt w:val="bullet"/>
      <w:lvlText w:val=""/>
      <w:lvlJc w:val="left"/>
      <w:pPr>
        <w:tabs>
          <w:tab w:val="num" w:pos="3720"/>
        </w:tabs>
        <w:ind w:left="3720" w:hanging="420"/>
      </w:pPr>
      <w:rPr>
        <w:rFonts w:ascii="Wingdings" w:hAnsi="Wingdings" w:hint="default"/>
      </w:rPr>
    </w:lvl>
    <w:lvl w:ilvl="6" w:tplc="04090001" w:tentative="1">
      <w:start w:val="1"/>
      <w:numFmt w:val="bullet"/>
      <w:lvlText w:val=""/>
      <w:lvlJc w:val="left"/>
      <w:pPr>
        <w:tabs>
          <w:tab w:val="num" w:pos="4140"/>
        </w:tabs>
        <w:ind w:left="4140" w:hanging="420"/>
      </w:pPr>
      <w:rPr>
        <w:rFonts w:ascii="Wingdings" w:hAnsi="Wingdings" w:hint="default"/>
      </w:rPr>
    </w:lvl>
    <w:lvl w:ilvl="7" w:tplc="04090003" w:tentative="1">
      <w:start w:val="1"/>
      <w:numFmt w:val="bullet"/>
      <w:lvlText w:val=""/>
      <w:lvlJc w:val="left"/>
      <w:pPr>
        <w:tabs>
          <w:tab w:val="num" w:pos="4560"/>
        </w:tabs>
        <w:ind w:left="4560" w:hanging="420"/>
      </w:pPr>
      <w:rPr>
        <w:rFonts w:ascii="Wingdings" w:hAnsi="Wingdings" w:hint="default"/>
      </w:rPr>
    </w:lvl>
    <w:lvl w:ilvl="8" w:tplc="04090005" w:tentative="1">
      <w:start w:val="1"/>
      <w:numFmt w:val="bullet"/>
      <w:lvlText w:val=""/>
      <w:lvlJc w:val="left"/>
      <w:pPr>
        <w:tabs>
          <w:tab w:val="num" w:pos="4980"/>
        </w:tabs>
        <w:ind w:left="4980" w:hanging="420"/>
      </w:pPr>
      <w:rPr>
        <w:rFonts w:ascii="Wingdings" w:hAnsi="Wingdings" w:hint="default"/>
      </w:rPr>
    </w:lvl>
  </w:abstractNum>
  <w:abstractNum w:abstractNumId="1581">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82">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3">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4">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585">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586">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7">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88">
    <w:nsid w:val="6AEB7DAB"/>
    <w:multiLevelType w:val="hybridMultilevel"/>
    <w:tmpl w:val="CFC8EA72"/>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589">
    <w:nsid w:val="6B0B5680"/>
    <w:multiLevelType w:val="multilevel"/>
    <w:tmpl w:val="84A29E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90">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1">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2">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3">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4">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5">
    <w:nsid w:val="6B94604D"/>
    <w:multiLevelType w:val="hybridMultilevel"/>
    <w:tmpl w:val="2070D676"/>
    <w:lvl w:ilvl="0" w:tplc="34201320">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6">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7">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598">
    <w:nsid w:val="6BBF556B"/>
    <w:multiLevelType w:val="hybridMultilevel"/>
    <w:tmpl w:val="8214BC1A"/>
    <w:lvl w:ilvl="0" w:tplc="1FB0FA78">
      <w:numFmt w:val="bullet"/>
      <w:lvlText w:val="—"/>
      <w:lvlJc w:val="left"/>
      <w:pPr>
        <w:tabs>
          <w:tab w:val="num" w:pos="630"/>
        </w:tabs>
        <w:ind w:left="630" w:hanging="63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9">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00">
    <w:nsid w:val="6BDE766C"/>
    <w:multiLevelType w:val="hybridMultilevel"/>
    <w:tmpl w:val="A058E59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1">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2">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603">
    <w:nsid w:val="6C02645E"/>
    <w:multiLevelType w:val="hybridMultilevel"/>
    <w:tmpl w:val="81588E3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04">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605">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606">
    <w:nsid w:val="6C1661F9"/>
    <w:multiLevelType w:val="hybridMultilevel"/>
    <w:tmpl w:val="3A588B26"/>
    <w:lvl w:ilvl="0" w:tplc="3FC282B0">
      <w:start w:val="957"/>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7">
    <w:nsid w:val="6C222A49"/>
    <w:multiLevelType w:val="hybridMultilevel"/>
    <w:tmpl w:val="EE945CE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608">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09">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0">
    <w:nsid w:val="6C2774ED"/>
    <w:multiLevelType w:val="singleLevel"/>
    <w:tmpl w:val="4114E738"/>
    <w:lvl w:ilvl="0">
      <w:start w:val="1"/>
      <w:numFmt w:val="decimal"/>
      <w:lvlText w:val="%1)"/>
      <w:legacy w:legacy="1" w:legacySpace="0" w:legacyIndent="360"/>
      <w:lvlJc w:val="left"/>
      <w:pPr>
        <w:ind w:left="360" w:hanging="360"/>
      </w:pPr>
    </w:lvl>
  </w:abstractNum>
  <w:abstractNum w:abstractNumId="1611">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2">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613">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4">
    <w:nsid w:val="6C566591"/>
    <w:multiLevelType w:val="multilevel"/>
    <w:tmpl w:val="7D5470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15">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6">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617">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618">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619">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20">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621">
    <w:nsid w:val="6C9C68C9"/>
    <w:multiLevelType w:val="hybridMultilevel"/>
    <w:tmpl w:val="63E0FE6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22">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23">
    <w:nsid w:val="6CAC4540"/>
    <w:multiLevelType w:val="multilevel"/>
    <w:tmpl w:val="BF3AAB9C"/>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24">
    <w:nsid w:val="6CB65F27"/>
    <w:multiLevelType w:val="multilevel"/>
    <w:tmpl w:val="3B0C948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25">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26">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27">
    <w:nsid w:val="6CCD461F"/>
    <w:multiLevelType w:val="multilevel"/>
    <w:tmpl w:val="9F564AB2"/>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628">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29">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630">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631">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632">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3">
    <w:nsid w:val="6D371987"/>
    <w:multiLevelType w:val="hybridMultilevel"/>
    <w:tmpl w:val="3084AAD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34">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35">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6">
    <w:nsid w:val="6D83060E"/>
    <w:multiLevelType w:val="multilevel"/>
    <w:tmpl w:val="DD1C18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37">
    <w:nsid w:val="6DA76640"/>
    <w:multiLevelType w:val="hybridMultilevel"/>
    <w:tmpl w:val="C170583E"/>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638">
    <w:nsid w:val="6DBF0BD4"/>
    <w:multiLevelType w:val="hybridMultilevel"/>
    <w:tmpl w:val="234A46A6"/>
    <w:lvl w:ilvl="0" w:tplc="885A5938">
      <w:start w:val="81"/>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39">
    <w:nsid w:val="6DD6031F"/>
    <w:multiLevelType w:val="hybridMultilevel"/>
    <w:tmpl w:val="B178FF0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40">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1">
    <w:nsid w:val="6DE81993"/>
    <w:multiLevelType w:val="hybridMultilevel"/>
    <w:tmpl w:val="5EAE9AB8"/>
    <w:lvl w:ilvl="0" w:tplc="91785474">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2">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643">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644">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45">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46">
    <w:nsid w:val="6E3C31DF"/>
    <w:multiLevelType w:val="multilevel"/>
    <w:tmpl w:val="D108A2A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47">
    <w:nsid w:val="6E423867"/>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48">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649">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0">
    <w:nsid w:val="6EAE5BA5"/>
    <w:multiLevelType w:val="multilevel"/>
    <w:tmpl w:val="BEB6C54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651">
    <w:nsid w:val="6EB73AB4"/>
    <w:multiLevelType w:val="singleLevel"/>
    <w:tmpl w:val="66FC3666"/>
    <w:lvl w:ilvl="0">
      <w:start w:val="1"/>
      <w:numFmt w:val="lowerLetter"/>
      <w:lvlText w:val="(%1)"/>
      <w:legacy w:legacy="1" w:legacySpace="0" w:legacyIndent="425"/>
      <w:lvlJc w:val="left"/>
      <w:pPr>
        <w:ind w:left="1446" w:hanging="425"/>
      </w:pPr>
    </w:lvl>
  </w:abstractNum>
  <w:abstractNum w:abstractNumId="1652">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3">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4">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55">
    <w:nsid w:val="6EC71A44"/>
    <w:multiLevelType w:val="hybridMultilevel"/>
    <w:tmpl w:val="3AAE83DA"/>
    <w:lvl w:ilvl="0" w:tplc="0FF6A0CC">
      <w:start w:val="163"/>
      <w:numFmt w:val="decimal"/>
      <w:lvlText w:val="%1."/>
      <w:lvlJc w:val="left"/>
      <w:pPr>
        <w:tabs>
          <w:tab w:val="num" w:pos="794"/>
        </w:tabs>
        <w:ind w:left="794" w:hanging="792"/>
      </w:pPr>
      <w:rPr>
        <w:rFonts w:ascii="Times New Roman" w:hAnsi="Times New Roman" w:hint="default"/>
      </w:rPr>
    </w:lvl>
    <w:lvl w:ilvl="1" w:tplc="04090019" w:tentative="1">
      <w:start w:val="1"/>
      <w:numFmt w:val="lowerLetter"/>
      <w:lvlText w:val="%2)"/>
      <w:lvlJc w:val="left"/>
      <w:pPr>
        <w:tabs>
          <w:tab w:val="num" w:pos="842"/>
        </w:tabs>
        <w:ind w:left="842" w:hanging="420"/>
      </w:pPr>
    </w:lvl>
    <w:lvl w:ilvl="2" w:tplc="0409001B" w:tentative="1">
      <w:start w:val="1"/>
      <w:numFmt w:val="lowerRoman"/>
      <w:lvlText w:val="%3."/>
      <w:lvlJc w:val="righ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9" w:tentative="1">
      <w:start w:val="1"/>
      <w:numFmt w:val="lowerLetter"/>
      <w:lvlText w:val="%5)"/>
      <w:lvlJc w:val="left"/>
      <w:pPr>
        <w:tabs>
          <w:tab w:val="num" w:pos="2102"/>
        </w:tabs>
        <w:ind w:left="2102" w:hanging="420"/>
      </w:pPr>
    </w:lvl>
    <w:lvl w:ilvl="5" w:tplc="0409001B" w:tentative="1">
      <w:start w:val="1"/>
      <w:numFmt w:val="lowerRoman"/>
      <w:lvlText w:val="%6."/>
      <w:lvlJc w:val="righ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9" w:tentative="1">
      <w:start w:val="1"/>
      <w:numFmt w:val="lowerLetter"/>
      <w:lvlText w:val="%8)"/>
      <w:lvlJc w:val="left"/>
      <w:pPr>
        <w:tabs>
          <w:tab w:val="num" w:pos="3362"/>
        </w:tabs>
        <w:ind w:left="3362" w:hanging="420"/>
      </w:pPr>
    </w:lvl>
    <w:lvl w:ilvl="8" w:tplc="0409001B" w:tentative="1">
      <w:start w:val="1"/>
      <w:numFmt w:val="lowerRoman"/>
      <w:lvlText w:val="%9."/>
      <w:lvlJc w:val="right"/>
      <w:pPr>
        <w:tabs>
          <w:tab w:val="num" w:pos="3782"/>
        </w:tabs>
        <w:ind w:left="3782" w:hanging="420"/>
      </w:pPr>
    </w:lvl>
  </w:abstractNum>
  <w:abstractNum w:abstractNumId="1656">
    <w:nsid w:val="6F100B1D"/>
    <w:multiLevelType w:val="hybridMultilevel"/>
    <w:tmpl w:val="15A85446"/>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57">
    <w:nsid w:val="6F3A4BDD"/>
    <w:multiLevelType w:val="hybridMultilevel"/>
    <w:tmpl w:val="C28A9AB0"/>
    <w:lvl w:ilvl="0" w:tplc="FBEEA55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58">
    <w:nsid w:val="6F526FB6"/>
    <w:multiLevelType w:val="singleLevel"/>
    <w:tmpl w:val="66FC3666"/>
    <w:lvl w:ilvl="0">
      <w:start w:val="1"/>
      <w:numFmt w:val="lowerLetter"/>
      <w:lvlText w:val="(%1)"/>
      <w:legacy w:legacy="1" w:legacySpace="0" w:legacyIndent="425"/>
      <w:lvlJc w:val="left"/>
      <w:pPr>
        <w:ind w:left="1446" w:hanging="425"/>
      </w:pPr>
    </w:lvl>
  </w:abstractNum>
  <w:abstractNum w:abstractNumId="1659">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60">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661">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62">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63">
    <w:nsid w:val="6F944A1C"/>
    <w:multiLevelType w:val="hybridMultilevel"/>
    <w:tmpl w:val="8B26D498"/>
    <w:lvl w:ilvl="0" w:tplc="E3967FB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4">
    <w:nsid w:val="6FAC5B0F"/>
    <w:multiLevelType w:val="hybridMultilevel"/>
    <w:tmpl w:val="7D7C8C9C"/>
    <w:lvl w:ilvl="0" w:tplc="0409000F">
      <w:start w:val="280"/>
      <w:numFmt w:val="decimal"/>
      <w:lvlText w:val="%1."/>
      <w:lvlJc w:val="left"/>
      <w:pPr>
        <w:tabs>
          <w:tab w:val="num" w:pos="420"/>
        </w:tabs>
        <w:ind w:left="420" w:hanging="420"/>
      </w:pPr>
      <w:rPr>
        <w:rFonts w:hint="default"/>
      </w:rPr>
    </w:lvl>
    <w:lvl w:ilvl="1" w:tplc="E9784000">
      <w:start w:val="1"/>
      <w:numFmt w:val="japaneseCounting"/>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5">
    <w:nsid w:val="6FBA0C7D"/>
    <w:multiLevelType w:val="singleLevel"/>
    <w:tmpl w:val="B75847E6"/>
    <w:lvl w:ilvl="0">
      <w:start w:val="1"/>
      <w:numFmt w:val="lowerRoman"/>
      <w:lvlText w:val="(%1)"/>
      <w:lvlJc w:val="left"/>
      <w:pPr>
        <w:tabs>
          <w:tab w:val="num" w:pos="1440"/>
        </w:tabs>
        <w:ind w:left="1440" w:hanging="720"/>
      </w:pPr>
      <w:rPr>
        <w:rFonts w:hint="default"/>
      </w:rPr>
    </w:lvl>
  </w:abstractNum>
  <w:abstractNum w:abstractNumId="1666">
    <w:nsid w:val="6FBB36C1"/>
    <w:multiLevelType w:val="singleLevel"/>
    <w:tmpl w:val="04070017"/>
    <w:lvl w:ilvl="0">
      <w:start w:val="1"/>
      <w:numFmt w:val="lowerLetter"/>
      <w:lvlText w:val="%1)"/>
      <w:lvlJc w:val="left"/>
      <w:pPr>
        <w:tabs>
          <w:tab w:val="num" w:pos="360"/>
        </w:tabs>
        <w:ind w:left="360" w:hanging="360"/>
      </w:pPr>
    </w:lvl>
  </w:abstractNum>
  <w:abstractNum w:abstractNumId="1667">
    <w:nsid w:val="6FC40E7F"/>
    <w:multiLevelType w:val="hybridMultilevel"/>
    <w:tmpl w:val="5E86A29C"/>
    <w:lvl w:ilvl="0" w:tplc="5AF02400">
      <w:start w:val="32"/>
      <w:numFmt w:val="decimal"/>
      <w:lvlText w:val="%1．"/>
      <w:lvlJc w:val="left"/>
      <w:pPr>
        <w:tabs>
          <w:tab w:val="num" w:pos="855"/>
        </w:tabs>
        <w:ind w:left="855" w:hanging="855"/>
      </w:pPr>
      <w:rPr>
        <w:rFonts w:ascii="Times New Roman" w:hAnsi="Times New Roman"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8">
    <w:nsid w:val="6FC539D6"/>
    <w:multiLevelType w:val="multilevel"/>
    <w:tmpl w:val="0A282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69">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70">
    <w:nsid w:val="6FDB73C3"/>
    <w:multiLevelType w:val="hybridMultilevel"/>
    <w:tmpl w:val="A726C69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71">
    <w:nsid w:val="6FDC286C"/>
    <w:multiLevelType w:val="hybridMultilevel"/>
    <w:tmpl w:val="726061E0"/>
    <w:lvl w:ilvl="0" w:tplc="A16640DA">
      <w:start w:val="610"/>
      <w:numFmt w:val="decimal"/>
      <w:lvlText w:val="%1．"/>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72">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73">
    <w:nsid w:val="6FFD0503"/>
    <w:multiLevelType w:val="hybridMultilevel"/>
    <w:tmpl w:val="F59AB1CA"/>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674">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75">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6">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77">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8">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9">
    <w:nsid w:val="701D5318"/>
    <w:multiLevelType w:val="hybridMultilevel"/>
    <w:tmpl w:val="FDFA2042"/>
    <w:lvl w:ilvl="0" w:tplc="882EE9B4">
      <w:start w:val="1"/>
      <w:numFmt w:val="bullet"/>
      <w:lvlText w:val=""/>
      <w:lvlJc w:val="left"/>
      <w:pPr>
        <w:tabs>
          <w:tab w:val="num" w:pos="960"/>
        </w:tabs>
        <w:ind w:left="960" w:hanging="42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680">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1">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2">
    <w:nsid w:val="70692FB8"/>
    <w:multiLevelType w:val="hybridMultilevel"/>
    <w:tmpl w:val="DD547B88"/>
    <w:lvl w:ilvl="0" w:tplc="315021B4">
      <w:start w:val="132"/>
      <w:numFmt w:val="bullet"/>
      <w:lvlText w:val="-"/>
      <w:lvlJc w:val="left"/>
      <w:pPr>
        <w:tabs>
          <w:tab w:val="num" w:pos="360"/>
        </w:tabs>
        <w:ind w:left="360" w:hanging="720"/>
      </w:pPr>
      <w:rPr>
        <w:rFonts w:ascii="Century Gothic" w:eastAsia="Times New Roman" w:hAnsi="Century Gothic"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83">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84">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85">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6">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687">
    <w:nsid w:val="70C75434"/>
    <w:multiLevelType w:val="hybridMultilevel"/>
    <w:tmpl w:val="2FF0733C"/>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688">
    <w:nsid w:val="70D57754"/>
    <w:multiLevelType w:val="multilevel"/>
    <w:tmpl w:val="4F4EE7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89">
    <w:nsid w:val="70E309CE"/>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90">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691">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92">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693">
    <w:nsid w:val="71035F7B"/>
    <w:multiLevelType w:val="hybridMultilevel"/>
    <w:tmpl w:val="945C0B4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694">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695">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696">
    <w:nsid w:val="716E6343"/>
    <w:multiLevelType w:val="multilevel"/>
    <w:tmpl w:val="C2B66C1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97">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8">
    <w:nsid w:val="71C0319C"/>
    <w:multiLevelType w:val="multilevel"/>
    <w:tmpl w:val="EBA00E5A"/>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99">
    <w:nsid w:val="71C262E8"/>
    <w:multiLevelType w:val="hybridMultilevel"/>
    <w:tmpl w:val="34EED85E"/>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700">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01">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702">
    <w:nsid w:val="72271040"/>
    <w:multiLevelType w:val="multilevel"/>
    <w:tmpl w:val="42E83C08"/>
    <w:lvl w:ilvl="0">
      <w:start w:val="24"/>
      <w:numFmt w:val="decimal"/>
      <w:lvlText w:val="%1"/>
      <w:lvlJc w:val="left"/>
      <w:pPr>
        <w:tabs>
          <w:tab w:val="num" w:pos="600"/>
        </w:tabs>
        <w:ind w:left="600" w:hanging="60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03">
    <w:nsid w:val="72296C59"/>
    <w:multiLevelType w:val="multilevel"/>
    <w:tmpl w:val="E0BE7148"/>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04">
    <w:nsid w:val="722B203C"/>
    <w:multiLevelType w:val="multilevel"/>
    <w:tmpl w:val="CF324A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05">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6">
    <w:nsid w:val="72404598"/>
    <w:multiLevelType w:val="multilevel"/>
    <w:tmpl w:val="CCE86D7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07">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08">
    <w:nsid w:val="7261446A"/>
    <w:multiLevelType w:val="multilevel"/>
    <w:tmpl w:val="F2A4FF60"/>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09">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710">
    <w:nsid w:val="727D7CA4"/>
    <w:multiLevelType w:val="multilevel"/>
    <w:tmpl w:val="E64468D4"/>
    <w:lvl w:ilvl="0">
      <w:start w:val="2"/>
      <w:numFmt w:val="decimal"/>
      <w:lvlText w:val="%1"/>
      <w:lvlJc w:val="left"/>
      <w:pPr>
        <w:tabs>
          <w:tab w:val="num" w:pos="636"/>
        </w:tabs>
        <w:ind w:left="636" w:hanging="636"/>
      </w:pPr>
      <w:rPr>
        <w:rFonts w:hint="eastAsia"/>
      </w:rPr>
    </w:lvl>
    <w:lvl w:ilvl="1">
      <w:start w:val="3"/>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711">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712">
    <w:nsid w:val="72841310"/>
    <w:multiLevelType w:val="hybridMultilevel"/>
    <w:tmpl w:val="E468202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13">
    <w:nsid w:val="72B37AC2"/>
    <w:multiLevelType w:val="multilevel"/>
    <w:tmpl w:val="87A08A2E"/>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14">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15">
    <w:nsid w:val="72FD2A7C"/>
    <w:multiLevelType w:val="hybridMultilevel"/>
    <w:tmpl w:val="0FB4CC2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16">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7">
    <w:nsid w:val="7333416A"/>
    <w:multiLevelType w:val="hybridMultilevel"/>
    <w:tmpl w:val="A30A525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18">
    <w:nsid w:val="737F0DB6"/>
    <w:multiLevelType w:val="hybridMultilevel"/>
    <w:tmpl w:val="17CA259C"/>
    <w:lvl w:ilvl="0" w:tplc="9B14DE9C">
      <w:start w:val="1"/>
      <w:numFmt w:val="decimal"/>
      <w:lvlText w:val="%1，"/>
      <w:lvlJc w:val="left"/>
      <w:pPr>
        <w:tabs>
          <w:tab w:val="num" w:pos="360"/>
        </w:tabs>
        <w:ind w:left="360" w:hanging="360"/>
      </w:pPr>
      <w:rPr>
        <w:rFonts w:hint="eastAsia"/>
      </w:rPr>
    </w:lvl>
    <w:lvl w:ilvl="1" w:tplc="29D2CA58">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19">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0">
    <w:nsid w:val="73A96E26"/>
    <w:multiLevelType w:val="hybridMultilevel"/>
    <w:tmpl w:val="E3E20D5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21">
    <w:nsid w:val="73C06504"/>
    <w:multiLevelType w:val="hybridMultilevel"/>
    <w:tmpl w:val="15F0DA00"/>
    <w:lvl w:ilvl="0" w:tplc="F26A6548">
      <w:start w:val="1"/>
      <w:numFmt w:val="decimal"/>
      <w:lvlText w:val="%1."/>
      <w:lvlJc w:val="left"/>
      <w:pPr>
        <w:tabs>
          <w:tab w:val="num" w:pos="1156"/>
        </w:tabs>
        <w:ind w:left="1156" w:hanging="675"/>
      </w:pPr>
      <w:rPr>
        <w:rFonts w:hint="eastAsia"/>
      </w:rPr>
    </w:lvl>
    <w:lvl w:ilvl="1" w:tplc="04090019" w:tentative="1">
      <w:start w:val="1"/>
      <w:numFmt w:val="lowerLetter"/>
      <w:lvlText w:val="%2)"/>
      <w:lvlJc w:val="left"/>
      <w:pPr>
        <w:tabs>
          <w:tab w:val="num" w:pos="1321"/>
        </w:tabs>
        <w:ind w:left="1321" w:hanging="420"/>
      </w:pPr>
    </w:lvl>
    <w:lvl w:ilvl="2" w:tplc="0409001B" w:tentative="1">
      <w:start w:val="1"/>
      <w:numFmt w:val="lowerRoman"/>
      <w:lvlText w:val="%3."/>
      <w:lvlJc w:val="right"/>
      <w:pPr>
        <w:tabs>
          <w:tab w:val="num" w:pos="1741"/>
        </w:tabs>
        <w:ind w:left="1741" w:hanging="420"/>
      </w:pPr>
    </w:lvl>
    <w:lvl w:ilvl="3" w:tplc="0409000F" w:tentative="1">
      <w:start w:val="1"/>
      <w:numFmt w:val="decimal"/>
      <w:lvlText w:val="%4."/>
      <w:lvlJc w:val="left"/>
      <w:pPr>
        <w:tabs>
          <w:tab w:val="num" w:pos="2161"/>
        </w:tabs>
        <w:ind w:left="2161" w:hanging="420"/>
      </w:pPr>
    </w:lvl>
    <w:lvl w:ilvl="4" w:tplc="04090019" w:tentative="1">
      <w:start w:val="1"/>
      <w:numFmt w:val="lowerLetter"/>
      <w:lvlText w:val="%5)"/>
      <w:lvlJc w:val="left"/>
      <w:pPr>
        <w:tabs>
          <w:tab w:val="num" w:pos="2581"/>
        </w:tabs>
        <w:ind w:left="2581" w:hanging="420"/>
      </w:pPr>
    </w:lvl>
    <w:lvl w:ilvl="5" w:tplc="0409001B" w:tentative="1">
      <w:start w:val="1"/>
      <w:numFmt w:val="lowerRoman"/>
      <w:lvlText w:val="%6."/>
      <w:lvlJc w:val="right"/>
      <w:pPr>
        <w:tabs>
          <w:tab w:val="num" w:pos="3001"/>
        </w:tabs>
        <w:ind w:left="3001" w:hanging="420"/>
      </w:pPr>
    </w:lvl>
    <w:lvl w:ilvl="6" w:tplc="0409000F" w:tentative="1">
      <w:start w:val="1"/>
      <w:numFmt w:val="decimal"/>
      <w:lvlText w:val="%7."/>
      <w:lvlJc w:val="left"/>
      <w:pPr>
        <w:tabs>
          <w:tab w:val="num" w:pos="3421"/>
        </w:tabs>
        <w:ind w:left="3421" w:hanging="420"/>
      </w:pPr>
    </w:lvl>
    <w:lvl w:ilvl="7" w:tplc="04090019" w:tentative="1">
      <w:start w:val="1"/>
      <w:numFmt w:val="lowerLetter"/>
      <w:lvlText w:val="%8)"/>
      <w:lvlJc w:val="left"/>
      <w:pPr>
        <w:tabs>
          <w:tab w:val="num" w:pos="3841"/>
        </w:tabs>
        <w:ind w:left="3841" w:hanging="420"/>
      </w:pPr>
    </w:lvl>
    <w:lvl w:ilvl="8" w:tplc="0409001B" w:tentative="1">
      <w:start w:val="1"/>
      <w:numFmt w:val="lowerRoman"/>
      <w:lvlText w:val="%9."/>
      <w:lvlJc w:val="right"/>
      <w:pPr>
        <w:tabs>
          <w:tab w:val="num" w:pos="4261"/>
        </w:tabs>
        <w:ind w:left="4261" w:hanging="420"/>
      </w:pPr>
    </w:lvl>
  </w:abstractNum>
  <w:abstractNum w:abstractNumId="1722">
    <w:nsid w:val="73D32EAE"/>
    <w:multiLevelType w:val="singleLevel"/>
    <w:tmpl w:val="04070017"/>
    <w:lvl w:ilvl="0">
      <w:start w:val="1"/>
      <w:numFmt w:val="lowerLetter"/>
      <w:lvlText w:val="%1)"/>
      <w:lvlJc w:val="left"/>
      <w:pPr>
        <w:tabs>
          <w:tab w:val="num" w:pos="360"/>
        </w:tabs>
        <w:ind w:left="360" w:hanging="360"/>
      </w:pPr>
    </w:lvl>
  </w:abstractNum>
  <w:abstractNum w:abstractNumId="1723">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724">
    <w:nsid w:val="74077078"/>
    <w:multiLevelType w:val="hybridMultilevel"/>
    <w:tmpl w:val="0EC297D4"/>
    <w:lvl w:ilvl="0" w:tplc="E1BC67B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25">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26">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727">
    <w:nsid w:val="742909F5"/>
    <w:multiLevelType w:val="multilevel"/>
    <w:tmpl w:val="61D0EE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28">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9">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30">
    <w:nsid w:val="746B7F97"/>
    <w:multiLevelType w:val="hybridMultilevel"/>
    <w:tmpl w:val="55B0A04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1">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732">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733">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734">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35">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736">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37">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38">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39">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0">
    <w:nsid w:val="74C567A8"/>
    <w:multiLevelType w:val="hybridMultilevel"/>
    <w:tmpl w:val="59209F14"/>
    <w:lvl w:ilvl="0" w:tplc="1F70586E">
      <w:start w:val="1"/>
      <w:numFmt w:val="lowerRoman"/>
      <w:lvlText w:val="(%1)"/>
      <w:lvlJc w:val="left"/>
      <w:pPr>
        <w:tabs>
          <w:tab w:val="num" w:pos="1800"/>
        </w:tabs>
        <w:ind w:left="1800" w:hanging="720"/>
      </w:pPr>
      <w:rPr>
        <w:rFonts w:hint="default"/>
      </w:r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41">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42">
    <w:nsid w:val="74DD1DEE"/>
    <w:multiLevelType w:val="hybridMultilevel"/>
    <w:tmpl w:val="C13256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3">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44">
    <w:nsid w:val="74E55527"/>
    <w:multiLevelType w:val="multilevel"/>
    <w:tmpl w:val="E424C4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745">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46">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47">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8">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749">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50">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51">
    <w:nsid w:val="755510E6"/>
    <w:multiLevelType w:val="multilevel"/>
    <w:tmpl w:val="D50825C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52">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53">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754">
    <w:nsid w:val="75726894"/>
    <w:multiLevelType w:val="multilevel"/>
    <w:tmpl w:val="6152E728"/>
    <w:lvl w:ilvl="0">
      <w:start w:val="6"/>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755">
    <w:nsid w:val="759C2791"/>
    <w:multiLevelType w:val="multilevel"/>
    <w:tmpl w:val="319EF87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56">
    <w:nsid w:val="759C4294"/>
    <w:multiLevelType w:val="hybridMultilevel"/>
    <w:tmpl w:val="F0DE2598"/>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757">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758">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59">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760">
    <w:nsid w:val="75B020EB"/>
    <w:multiLevelType w:val="hybridMultilevel"/>
    <w:tmpl w:val="2F7C179C"/>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61">
    <w:nsid w:val="75CA1882"/>
    <w:multiLevelType w:val="hybridMultilevel"/>
    <w:tmpl w:val="232CC14A"/>
    <w:lvl w:ilvl="0" w:tplc="0409000F">
      <w:start w:val="1"/>
      <w:numFmt w:val="decimal"/>
      <w:lvlText w:val="%1."/>
      <w:lvlJc w:val="left"/>
      <w:pPr>
        <w:tabs>
          <w:tab w:val="num" w:pos="1170"/>
        </w:tabs>
        <w:ind w:left="1170" w:hanging="420"/>
      </w:pPr>
    </w:lvl>
    <w:lvl w:ilvl="1" w:tplc="B45CC626">
      <w:start w:val="29"/>
      <w:numFmt w:val="decimal"/>
      <w:lvlText w:val="第%2条"/>
      <w:lvlJc w:val="left"/>
      <w:pPr>
        <w:tabs>
          <w:tab w:val="num" w:pos="2130"/>
        </w:tabs>
        <w:ind w:left="2130" w:hanging="960"/>
      </w:pPr>
      <w:rPr>
        <w:rFonts w:hint="eastAsia"/>
      </w:rPr>
    </w:lvl>
    <w:lvl w:ilvl="2" w:tplc="C356735C">
      <w:start w:val="15"/>
      <w:numFmt w:val="decimal"/>
      <w:lvlText w:val="第%3"/>
      <w:lvlJc w:val="left"/>
      <w:pPr>
        <w:tabs>
          <w:tab w:val="num" w:pos="2070"/>
        </w:tabs>
        <w:ind w:left="2070" w:hanging="480"/>
      </w:pPr>
      <w:rPr>
        <w:rFonts w:hint="eastAsia"/>
      </w:r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762">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63">
    <w:nsid w:val="75F0426A"/>
    <w:multiLevelType w:val="hybridMultilevel"/>
    <w:tmpl w:val="88C806C4"/>
    <w:lvl w:ilvl="0" w:tplc="1FB0FA78">
      <w:numFmt w:val="bullet"/>
      <w:lvlText w:val="—"/>
      <w:lvlJc w:val="left"/>
      <w:pPr>
        <w:tabs>
          <w:tab w:val="num" w:pos="630"/>
        </w:tabs>
        <w:ind w:left="630" w:hanging="63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64">
    <w:nsid w:val="761C6B66"/>
    <w:multiLevelType w:val="multilevel"/>
    <w:tmpl w:val="12CC9AF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65">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766">
    <w:nsid w:val="7621179C"/>
    <w:multiLevelType w:val="hybridMultilevel"/>
    <w:tmpl w:val="BE0C68FE"/>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67">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68">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769">
    <w:nsid w:val="762C520E"/>
    <w:multiLevelType w:val="hybridMultilevel"/>
    <w:tmpl w:val="D94E0F4A"/>
    <w:lvl w:ilvl="0" w:tplc="D598B3F2">
      <w:start w:val="1"/>
      <w:numFmt w:val="upperRoman"/>
      <w:lvlText w:val="%1."/>
      <w:lvlJc w:val="left"/>
      <w:pPr>
        <w:tabs>
          <w:tab w:val="num" w:pos="840"/>
        </w:tabs>
        <w:ind w:left="840" w:hanging="4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70">
    <w:nsid w:val="766305FD"/>
    <w:multiLevelType w:val="hybridMultilevel"/>
    <w:tmpl w:val="C7DE4674"/>
    <w:lvl w:ilvl="0" w:tplc="68E22442">
      <w:start w:val="1"/>
      <w:numFmt w:val="bullet"/>
      <w:lvlRestart w:val="0"/>
      <w:lvlText w:val=""/>
      <w:lvlJc w:val="left"/>
      <w:pPr>
        <w:tabs>
          <w:tab w:val="num" w:pos="1304"/>
        </w:tabs>
        <w:ind w:left="1304" w:hanging="567"/>
      </w:pPr>
      <w:rPr>
        <w:rFonts w:ascii="Symbol" w:hAnsi="Symbol" w:hint="default"/>
      </w:rPr>
    </w:lvl>
    <w:lvl w:ilvl="1" w:tplc="040C0003" w:tentative="1">
      <w:start w:val="1"/>
      <w:numFmt w:val="bullet"/>
      <w:lvlText w:val="o"/>
      <w:lvlJc w:val="left"/>
      <w:pPr>
        <w:tabs>
          <w:tab w:val="num" w:pos="1610"/>
        </w:tabs>
        <w:ind w:left="1610" w:hanging="360"/>
      </w:pPr>
      <w:rPr>
        <w:rFonts w:ascii="Courier New" w:hAnsi="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1771">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2">
    <w:nsid w:val="76B54B55"/>
    <w:multiLevelType w:val="multilevel"/>
    <w:tmpl w:val="67A45FF0"/>
    <w:lvl w:ilvl="0">
      <w:start w:val="232"/>
      <w:numFmt w:val="bullet"/>
      <w:lvlText w:val="-"/>
      <w:lvlJc w:val="left"/>
      <w:pPr>
        <w:tabs>
          <w:tab w:val="num" w:pos="1800"/>
        </w:tabs>
        <w:ind w:left="1800" w:hanging="360"/>
      </w:pPr>
      <w:rPr>
        <w:rFonts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773">
    <w:nsid w:val="76CB19FE"/>
    <w:multiLevelType w:val="multilevel"/>
    <w:tmpl w:val="E092DA3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74">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75">
    <w:nsid w:val="76E0379C"/>
    <w:multiLevelType w:val="multilevel"/>
    <w:tmpl w:val="2CDEB7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76">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77">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78">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79">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780">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1">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782">
    <w:nsid w:val="77501810"/>
    <w:multiLevelType w:val="hybridMultilevel"/>
    <w:tmpl w:val="9DD8F9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83">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784">
    <w:nsid w:val="776B1AE5"/>
    <w:multiLevelType w:val="hybridMultilevel"/>
    <w:tmpl w:val="F8489050"/>
    <w:lvl w:ilvl="0" w:tplc="04090019">
      <w:start w:val="1"/>
      <w:numFmt w:val="lowerLetter"/>
      <w:lvlText w:val="%1)"/>
      <w:lvlJc w:val="left"/>
      <w:pPr>
        <w:tabs>
          <w:tab w:val="num" w:pos="960"/>
        </w:tabs>
        <w:ind w:left="960" w:hanging="420"/>
      </w:pPr>
    </w:lvl>
    <w:lvl w:ilvl="1" w:tplc="EFECDE86">
      <w:start w:val="191"/>
      <w:numFmt w:val="decimal"/>
      <w:lvlText w:val="第%2条"/>
      <w:lvlJc w:val="left"/>
      <w:pPr>
        <w:tabs>
          <w:tab w:val="num" w:pos="2055"/>
        </w:tabs>
        <w:ind w:left="2055" w:hanging="1095"/>
      </w:pPr>
      <w:rPr>
        <w:rFonts w:hint="eastAsia"/>
      </w:rPr>
    </w:lvl>
    <w:lvl w:ilvl="2" w:tplc="F6E0A34A">
      <w:start w:val="4"/>
      <w:numFmt w:val="decimalFullWidth"/>
      <w:lvlText w:val="%3．"/>
      <w:lvlJc w:val="left"/>
      <w:pPr>
        <w:tabs>
          <w:tab w:val="num" w:pos="1800"/>
        </w:tabs>
        <w:ind w:left="1800" w:hanging="420"/>
      </w:pPr>
      <w:rPr>
        <w:rFonts w:hint="eastAsia"/>
      </w:r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785">
    <w:nsid w:val="776C41DA"/>
    <w:multiLevelType w:val="hybridMultilevel"/>
    <w:tmpl w:val="0A5A9F44"/>
    <w:lvl w:ilvl="0" w:tplc="4352EE2E">
      <w:start w:val="1"/>
      <w:numFmt w:val="decimal"/>
      <w:lvlText w:val="%1，"/>
      <w:lvlJc w:val="left"/>
      <w:pPr>
        <w:tabs>
          <w:tab w:val="num" w:pos="360"/>
        </w:tabs>
        <w:ind w:left="360" w:hanging="360"/>
      </w:pPr>
      <w:rPr>
        <w:rFonts w:hint="eastAsia"/>
      </w:rPr>
    </w:lvl>
    <w:lvl w:ilvl="1" w:tplc="60EA488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86">
    <w:nsid w:val="77802DB0"/>
    <w:multiLevelType w:val="multilevel"/>
    <w:tmpl w:val="F7749F7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87">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88">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89">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0">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91">
    <w:nsid w:val="7803634A"/>
    <w:multiLevelType w:val="hybridMultilevel"/>
    <w:tmpl w:val="AFF4CBEE"/>
    <w:lvl w:ilvl="0" w:tplc="E8F0CF84">
      <w:start w:val="1"/>
      <w:numFmt w:val="decimal"/>
      <w:lvlText w:val="%1．"/>
      <w:lvlJc w:val="left"/>
      <w:pPr>
        <w:tabs>
          <w:tab w:val="num" w:pos="765"/>
        </w:tabs>
        <w:ind w:left="765" w:hanging="36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1792">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793">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794">
    <w:nsid w:val="786E5696"/>
    <w:multiLevelType w:val="hybridMultilevel"/>
    <w:tmpl w:val="067888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5">
    <w:nsid w:val="786E6161"/>
    <w:multiLevelType w:val="hybridMultilevel"/>
    <w:tmpl w:val="0CAEB59E"/>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96">
    <w:nsid w:val="789E05D0"/>
    <w:multiLevelType w:val="multilevel"/>
    <w:tmpl w:val="04B29274"/>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97">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798">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99">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0">
    <w:nsid w:val="78D60EA1"/>
    <w:multiLevelType w:val="hybridMultilevel"/>
    <w:tmpl w:val="021C4472"/>
    <w:lvl w:ilvl="0" w:tplc="0406000F">
      <w:start w:val="1"/>
      <w:numFmt w:val="decimal"/>
      <w:lvlText w:val="%1."/>
      <w:lvlJc w:val="left"/>
      <w:pPr>
        <w:tabs>
          <w:tab w:val="num" w:pos="720"/>
        </w:tabs>
        <w:ind w:left="720" w:hanging="360"/>
      </w:pPr>
      <w:rPr>
        <w:rFonts w:hint="default"/>
        <w:i w:val="0"/>
      </w:rPr>
    </w:lvl>
    <w:lvl w:ilvl="1" w:tplc="04060001">
      <w:start w:val="1"/>
      <w:numFmt w:val="bullet"/>
      <w:lvlText w:val=""/>
      <w:lvlJc w:val="left"/>
      <w:pPr>
        <w:tabs>
          <w:tab w:val="num" w:pos="1440"/>
        </w:tabs>
        <w:ind w:left="1440" w:hanging="360"/>
      </w:pPr>
      <w:rPr>
        <w:rFonts w:ascii="Symbol" w:hAnsi="Symbol" w:hint="default"/>
        <w:i w:val="0"/>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801">
    <w:nsid w:val="78DA10F0"/>
    <w:multiLevelType w:val="multilevel"/>
    <w:tmpl w:val="FABEF62C"/>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02">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03">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04">
    <w:nsid w:val="794B0D1D"/>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05">
    <w:nsid w:val="795B7C62"/>
    <w:multiLevelType w:val="multilevel"/>
    <w:tmpl w:val="CB446784"/>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06">
    <w:nsid w:val="795D321D"/>
    <w:multiLevelType w:val="multilevel"/>
    <w:tmpl w:val="68AE39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07">
    <w:nsid w:val="798356D6"/>
    <w:multiLevelType w:val="hybridMultilevel"/>
    <w:tmpl w:val="17BE3FA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08">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809">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10">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1">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812">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13">
    <w:nsid w:val="79B72A09"/>
    <w:multiLevelType w:val="hybridMultilevel"/>
    <w:tmpl w:val="A302F4F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14">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15">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16">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817">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818">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819">
    <w:nsid w:val="79F8671F"/>
    <w:multiLevelType w:val="hybridMultilevel"/>
    <w:tmpl w:val="9CA4E33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20">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21">
    <w:nsid w:val="79FD2F73"/>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22">
    <w:nsid w:val="7A0E3FD7"/>
    <w:multiLevelType w:val="hybridMultilevel"/>
    <w:tmpl w:val="99D407E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23">
    <w:nsid w:val="7A1555E1"/>
    <w:multiLevelType w:val="hybridMultilevel"/>
    <w:tmpl w:val="DEBED28C"/>
    <w:lvl w:ilvl="0" w:tplc="0409000F">
      <w:start w:val="1"/>
      <w:numFmt w:val="decimal"/>
      <w:lvlText w:val="%1."/>
      <w:lvlJc w:val="left"/>
      <w:pPr>
        <w:tabs>
          <w:tab w:val="num" w:pos="1380"/>
        </w:tabs>
        <w:ind w:left="1380" w:hanging="420"/>
      </w:pPr>
    </w:lvl>
    <w:lvl w:ilvl="1" w:tplc="04090015">
      <w:start w:val="1"/>
      <w:numFmt w:val="upp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824">
    <w:nsid w:val="7A22493C"/>
    <w:multiLevelType w:val="hybridMultilevel"/>
    <w:tmpl w:val="67B8745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825">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26">
    <w:nsid w:val="7A295458"/>
    <w:multiLevelType w:val="hybridMultilevel"/>
    <w:tmpl w:val="E6E6B8C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827">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28">
    <w:nsid w:val="7A78325F"/>
    <w:multiLevelType w:val="hybridMultilevel"/>
    <w:tmpl w:val="23A832B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29">
    <w:nsid w:val="7A7C3C40"/>
    <w:multiLevelType w:val="multilevel"/>
    <w:tmpl w:val="36409F0E"/>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30">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831">
    <w:nsid w:val="7AA841FD"/>
    <w:multiLevelType w:val="hybridMultilevel"/>
    <w:tmpl w:val="A0345BFC"/>
    <w:lvl w:ilvl="0" w:tplc="431E6B22">
      <w:start w:val="1"/>
      <w:numFmt w:val="decimal"/>
      <w:lvlText w:val="%1."/>
      <w:lvlJc w:val="left"/>
      <w:pPr>
        <w:tabs>
          <w:tab w:val="num" w:pos="3800"/>
        </w:tabs>
        <w:ind w:left="380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832">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33">
    <w:nsid w:val="7AA96E17"/>
    <w:multiLevelType w:val="hybridMultilevel"/>
    <w:tmpl w:val="818095D4"/>
    <w:lvl w:ilvl="0" w:tplc="8D42898A">
      <w:start w:val="1"/>
      <w:numFmt w:val="decimal"/>
      <w:lvlText w:val="%1."/>
      <w:lvlJc w:val="left"/>
      <w:pPr>
        <w:tabs>
          <w:tab w:val="num" w:pos="2965"/>
        </w:tabs>
        <w:ind w:left="2965" w:hanging="420"/>
      </w:pPr>
      <w:rPr>
        <w:rFonts w:hint="eastAsia"/>
      </w:rPr>
    </w:lvl>
    <w:lvl w:ilvl="1" w:tplc="04090019" w:tentative="1">
      <w:start w:val="1"/>
      <w:numFmt w:val="lowerLetter"/>
      <w:lvlText w:val="%2)"/>
      <w:lvlJc w:val="left"/>
      <w:pPr>
        <w:tabs>
          <w:tab w:val="num" w:pos="1265"/>
        </w:tabs>
        <w:ind w:left="1265" w:hanging="420"/>
      </w:pPr>
    </w:lvl>
    <w:lvl w:ilvl="2" w:tplc="0409001B">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34">
    <w:nsid w:val="7AB8439E"/>
    <w:multiLevelType w:val="hybridMultilevel"/>
    <w:tmpl w:val="AE20B6B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835">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36">
    <w:nsid w:val="7ACA643D"/>
    <w:multiLevelType w:val="singleLevel"/>
    <w:tmpl w:val="0409000F"/>
    <w:lvl w:ilvl="0">
      <w:start w:val="1"/>
      <w:numFmt w:val="decimal"/>
      <w:lvlText w:val="%1."/>
      <w:lvlJc w:val="left"/>
      <w:pPr>
        <w:tabs>
          <w:tab w:val="num" w:pos="360"/>
        </w:tabs>
        <w:ind w:left="360" w:hanging="360"/>
      </w:pPr>
    </w:lvl>
  </w:abstractNum>
  <w:abstractNum w:abstractNumId="1837">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838">
    <w:nsid w:val="7AE97F46"/>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839">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840">
    <w:nsid w:val="7AFE40D3"/>
    <w:multiLevelType w:val="singleLevel"/>
    <w:tmpl w:val="04070007"/>
    <w:lvl w:ilvl="0">
      <w:start w:val="1"/>
      <w:numFmt w:val="bullet"/>
      <w:lvlText w:val="-"/>
      <w:lvlJc w:val="left"/>
      <w:pPr>
        <w:tabs>
          <w:tab w:val="num" w:pos="360"/>
        </w:tabs>
        <w:ind w:left="360" w:hanging="360"/>
      </w:pPr>
      <w:rPr>
        <w:sz w:val="16"/>
      </w:rPr>
    </w:lvl>
  </w:abstractNum>
  <w:abstractNum w:abstractNumId="1841">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842">
    <w:nsid w:val="7B181A07"/>
    <w:multiLevelType w:val="hybridMultilevel"/>
    <w:tmpl w:val="5F28ECE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43">
    <w:nsid w:val="7B413FDE"/>
    <w:multiLevelType w:val="hybridMultilevel"/>
    <w:tmpl w:val="BECAC0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44">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45">
    <w:nsid w:val="7B4E3B3E"/>
    <w:multiLevelType w:val="hybridMultilevel"/>
    <w:tmpl w:val="8AEE520A"/>
    <w:lvl w:ilvl="0" w:tplc="0394AD86">
      <w:start w:val="1"/>
      <w:numFmt w:val="upperRoman"/>
      <w:lvlText w:val="%1."/>
      <w:lvlJc w:val="left"/>
      <w:pPr>
        <w:tabs>
          <w:tab w:val="num" w:pos="1560"/>
        </w:tabs>
        <w:ind w:left="1560" w:hanging="720"/>
      </w:pPr>
      <w:rPr>
        <w:rFonts w:hint="default"/>
      </w:rPr>
    </w:lvl>
    <w:lvl w:ilvl="1" w:tplc="9FB0C01C">
      <w:start w:val="1"/>
      <w:numFmt w:val="upperRoman"/>
      <w:lvlText w:val="%2."/>
      <w:lvlJc w:val="left"/>
      <w:pPr>
        <w:tabs>
          <w:tab w:val="num" w:pos="1980"/>
        </w:tabs>
        <w:ind w:left="1980" w:hanging="720"/>
      </w:pPr>
      <w:rPr>
        <w:rFonts w:hint="default"/>
      </w:r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846">
    <w:nsid w:val="7B76371F"/>
    <w:multiLevelType w:val="multilevel"/>
    <w:tmpl w:val="DCCAC2D4"/>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47">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48">
    <w:nsid w:val="7B885761"/>
    <w:multiLevelType w:val="multilevel"/>
    <w:tmpl w:val="F22AC28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49">
    <w:nsid w:val="7B9F4C52"/>
    <w:multiLevelType w:val="singleLevel"/>
    <w:tmpl w:val="469E76E4"/>
    <w:lvl w:ilvl="0">
      <w:numFmt w:val="bullet"/>
      <w:lvlText w:val="-"/>
      <w:lvlJc w:val="left"/>
      <w:pPr>
        <w:tabs>
          <w:tab w:val="num" w:pos="780"/>
        </w:tabs>
        <w:ind w:left="780" w:hanging="360"/>
      </w:pPr>
      <w:rPr>
        <w:rFonts w:hint="default"/>
      </w:rPr>
    </w:lvl>
  </w:abstractNum>
  <w:abstractNum w:abstractNumId="1850">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51">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852">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853">
    <w:nsid w:val="7BD32109"/>
    <w:multiLevelType w:val="hybridMultilevel"/>
    <w:tmpl w:val="36165C26"/>
    <w:lvl w:ilvl="0" w:tplc="332A4D3C">
      <w:start w:val="1"/>
      <w:numFmt w:val="bullet"/>
      <w:lvlText w:val=""/>
      <w:lvlJc w:val="left"/>
      <w:pPr>
        <w:tabs>
          <w:tab w:val="num" w:pos="1004"/>
        </w:tabs>
        <w:ind w:left="1004" w:hanging="360"/>
      </w:pPr>
      <w:rPr>
        <w:rFonts w:ascii="Symbol" w:hAnsi="Symbol" w:hint="default"/>
      </w:rPr>
    </w:lvl>
    <w:lvl w:ilvl="1" w:tplc="04070003" w:tentative="1">
      <w:start w:val="1"/>
      <w:numFmt w:val="bullet"/>
      <w:lvlText w:val="o"/>
      <w:lvlJc w:val="left"/>
      <w:pPr>
        <w:tabs>
          <w:tab w:val="num" w:pos="1724"/>
        </w:tabs>
        <w:ind w:left="1724" w:hanging="360"/>
      </w:pPr>
      <w:rPr>
        <w:rFonts w:ascii="Courier New" w:hAnsi="Courier New"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1854">
    <w:nsid w:val="7C120DE7"/>
    <w:multiLevelType w:val="multilevel"/>
    <w:tmpl w:val="8A72B59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55">
    <w:nsid w:val="7C192D71"/>
    <w:multiLevelType w:val="multilevel"/>
    <w:tmpl w:val="FC5859B0"/>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56">
    <w:nsid w:val="7C1C7F93"/>
    <w:multiLevelType w:val="hybridMultilevel"/>
    <w:tmpl w:val="019E834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57">
    <w:nsid w:val="7C3260D6"/>
    <w:multiLevelType w:val="hybridMultilevel"/>
    <w:tmpl w:val="6004FF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58">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59">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60">
    <w:nsid w:val="7C5A51EB"/>
    <w:multiLevelType w:val="multilevel"/>
    <w:tmpl w:val="F06E6BA2"/>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1861">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862">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63">
    <w:nsid w:val="7C9360CB"/>
    <w:multiLevelType w:val="multilevel"/>
    <w:tmpl w:val="0BDC74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64">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865">
    <w:nsid w:val="7CC67F5C"/>
    <w:multiLevelType w:val="multilevel"/>
    <w:tmpl w:val="A56CBBA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66">
    <w:nsid w:val="7CEC3BAD"/>
    <w:multiLevelType w:val="hybridMultilevel"/>
    <w:tmpl w:val="1310A674"/>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6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68">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869">
    <w:nsid w:val="7D0214E2"/>
    <w:multiLevelType w:val="hybridMultilevel"/>
    <w:tmpl w:val="A470F768"/>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70">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871">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872">
    <w:nsid w:val="7D353AA4"/>
    <w:multiLevelType w:val="hybridMultilevel"/>
    <w:tmpl w:val="AA38D16A"/>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873">
    <w:nsid w:val="7D613CE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74">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875">
    <w:nsid w:val="7D7967A3"/>
    <w:multiLevelType w:val="hybridMultilevel"/>
    <w:tmpl w:val="2990FEA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76">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877">
    <w:nsid w:val="7DB441B2"/>
    <w:multiLevelType w:val="hybridMultilevel"/>
    <w:tmpl w:val="8B1658F6"/>
    <w:lvl w:ilvl="0" w:tplc="2EBC71E2">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878">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879">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80">
    <w:nsid w:val="7DBF6B58"/>
    <w:multiLevelType w:val="singleLevel"/>
    <w:tmpl w:val="0409000F"/>
    <w:lvl w:ilvl="0">
      <w:start w:val="1"/>
      <w:numFmt w:val="decimal"/>
      <w:lvlText w:val="%1."/>
      <w:lvlJc w:val="left"/>
      <w:pPr>
        <w:tabs>
          <w:tab w:val="num" w:pos="360"/>
        </w:tabs>
        <w:ind w:left="360" w:hanging="360"/>
      </w:pPr>
    </w:lvl>
  </w:abstractNum>
  <w:abstractNum w:abstractNumId="1881">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882">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883">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84">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885">
    <w:nsid w:val="7E1A07CA"/>
    <w:multiLevelType w:val="hybridMultilevel"/>
    <w:tmpl w:val="FFE21B3E"/>
    <w:lvl w:ilvl="0" w:tplc="04090019">
      <w:start w:val="1"/>
      <w:numFmt w:val="lowerLetter"/>
      <w:lvlText w:val="%1)"/>
      <w:lvlJc w:val="left"/>
      <w:pPr>
        <w:tabs>
          <w:tab w:val="num" w:pos="1800"/>
        </w:tabs>
        <w:ind w:left="1800" w:hanging="420"/>
      </w:pPr>
    </w:lvl>
    <w:lvl w:ilvl="1" w:tplc="04090019" w:tentative="1">
      <w:start w:val="1"/>
      <w:numFmt w:val="lowerLetter"/>
      <w:lvlText w:val="%2)"/>
      <w:lvlJc w:val="left"/>
      <w:pPr>
        <w:tabs>
          <w:tab w:val="num" w:pos="2220"/>
        </w:tabs>
        <w:ind w:left="2220" w:hanging="420"/>
      </w:pPr>
    </w:lvl>
    <w:lvl w:ilvl="2" w:tplc="0409001B" w:tentative="1">
      <w:start w:val="1"/>
      <w:numFmt w:val="lowerRoman"/>
      <w:lvlText w:val="%3."/>
      <w:lvlJc w:val="right"/>
      <w:pPr>
        <w:tabs>
          <w:tab w:val="num" w:pos="2640"/>
        </w:tabs>
        <w:ind w:left="2640" w:hanging="420"/>
      </w:pPr>
    </w:lvl>
    <w:lvl w:ilvl="3" w:tplc="0409000F" w:tentative="1">
      <w:start w:val="1"/>
      <w:numFmt w:val="decimal"/>
      <w:lvlText w:val="%4."/>
      <w:lvlJc w:val="left"/>
      <w:pPr>
        <w:tabs>
          <w:tab w:val="num" w:pos="3060"/>
        </w:tabs>
        <w:ind w:left="3060" w:hanging="420"/>
      </w:pPr>
    </w:lvl>
    <w:lvl w:ilvl="4" w:tplc="04090019" w:tentative="1">
      <w:start w:val="1"/>
      <w:numFmt w:val="lowerLetter"/>
      <w:lvlText w:val="%5)"/>
      <w:lvlJc w:val="left"/>
      <w:pPr>
        <w:tabs>
          <w:tab w:val="num" w:pos="3480"/>
        </w:tabs>
        <w:ind w:left="3480" w:hanging="420"/>
      </w:pPr>
    </w:lvl>
    <w:lvl w:ilvl="5" w:tplc="0409001B" w:tentative="1">
      <w:start w:val="1"/>
      <w:numFmt w:val="lowerRoman"/>
      <w:lvlText w:val="%6."/>
      <w:lvlJc w:val="right"/>
      <w:pPr>
        <w:tabs>
          <w:tab w:val="num" w:pos="3900"/>
        </w:tabs>
        <w:ind w:left="3900" w:hanging="420"/>
      </w:pPr>
    </w:lvl>
    <w:lvl w:ilvl="6" w:tplc="0409000F" w:tentative="1">
      <w:start w:val="1"/>
      <w:numFmt w:val="decimal"/>
      <w:lvlText w:val="%7."/>
      <w:lvlJc w:val="left"/>
      <w:pPr>
        <w:tabs>
          <w:tab w:val="num" w:pos="4320"/>
        </w:tabs>
        <w:ind w:left="4320" w:hanging="420"/>
      </w:pPr>
    </w:lvl>
    <w:lvl w:ilvl="7" w:tplc="04090019" w:tentative="1">
      <w:start w:val="1"/>
      <w:numFmt w:val="lowerLetter"/>
      <w:lvlText w:val="%8)"/>
      <w:lvlJc w:val="left"/>
      <w:pPr>
        <w:tabs>
          <w:tab w:val="num" w:pos="4740"/>
        </w:tabs>
        <w:ind w:left="4740" w:hanging="420"/>
      </w:pPr>
    </w:lvl>
    <w:lvl w:ilvl="8" w:tplc="0409001B" w:tentative="1">
      <w:start w:val="1"/>
      <w:numFmt w:val="lowerRoman"/>
      <w:lvlText w:val="%9."/>
      <w:lvlJc w:val="right"/>
      <w:pPr>
        <w:tabs>
          <w:tab w:val="num" w:pos="5160"/>
        </w:tabs>
        <w:ind w:left="5160" w:hanging="420"/>
      </w:pPr>
    </w:lvl>
  </w:abstractNum>
  <w:abstractNum w:abstractNumId="1886">
    <w:nsid w:val="7E247705"/>
    <w:multiLevelType w:val="multilevel"/>
    <w:tmpl w:val="AB46372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887">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888">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889">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890">
    <w:nsid w:val="7E747B45"/>
    <w:multiLevelType w:val="singleLevel"/>
    <w:tmpl w:val="66FC3666"/>
    <w:lvl w:ilvl="0">
      <w:start w:val="1"/>
      <w:numFmt w:val="lowerLetter"/>
      <w:lvlText w:val="(%1)"/>
      <w:legacy w:legacy="1" w:legacySpace="0" w:legacyIndent="425"/>
      <w:lvlJc w:val="left"/>
      <w:pPr>
        <w:ind w:left="1446" w:hanging="425"/>
      </w:pPr>
    </w:lvl>
  </w:abstractNum>
  <w:abstractNum w:abstractNumId="1891">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92">
    <w:nsid w:val="7E991984"/>
    <w:multiLevelType w:val="hybridMultilevel"/>
    <w:tmpl w:val="02A4C5F0"/>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893">
    <w:nsid w:val="7EB24075"/>
    <w:multiLevelType w:val="hybridMultilevel"/>
    <w:tmpl w:val="10D6369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94">
    <w:nsid w:val="7EC8192E"/>
    <w:multiLevelType w:val="hybridMultilevel"/>
    <w:tmpl w:val="5E988104"/>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95">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896">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897">
    <w:nsid w:val="7EE85433"/>
    <w:multiLevelType w:val="hybridMultilevel"/>
    <w:tmpl w:val="EC947D08"/>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98">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99">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900">
    <w:nsid w:val="7F3C6F51"/>
    <w:multiLevelType w:val="multilevel"/>
    <w:tmpl w:val="A0CE86D8"/>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01">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902">
    <w:nsid w:val="7F787B82"/>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03">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904">
    <w:nsid w:val="7F9005B1"/>
    <w:multiLevelType w:val="multilevel"/>
    <w:tmpl w:val="33FA473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05">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906">
    <w:nsid w:val="7FD13838"/>
    <w:multiLevelType w:val="hybridMultilevel"/>
    <w:tmpl w:val="D03AD6D2"/>
    <w:lvl w:ilvl="0" w:tplc="B79C80FC">
      <w:start w:val="1131"/>
      <w:numFmt w:val="decimal"/>
      <w:lvlText w:val="%1．"/>
      <w:lvlJc w:val="left"/>
      <w:pPr>
        <w:tabs>
          <w:tab w:val="num" w:pos="615"/>
        </w:tabs>
        <w:ind w:left="615" w:hanging="615"/>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07">
    <w:nsid w:val="7FD14CD0"/>
    <w:multiLevelType w:val="multilevel"/>
    <w:tmpl w:val="0BE250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08">
    <w:nsid w:val="7FE37796"/>
    <w:multiLevelType w:val="hybridMultilevel"/>
    <w:tmpl w:val="B0C27EFA"/>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909">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910">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11">
    <w:nsid w:val="7FF47DC5"/>
    <w:multiLevelType w:val="hybridMultilevel"/>
    <w:tmpl w:val="7A384A8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912">
    <w:nsid w:val="7FFD5D32"/>
    <w:multiLevelType w:val="hybridMultilevel"/>
    <w:tmpl w:val="4224D238"/>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num w:numId="1">
    <w:abstractNumId w:val="1129"/>
  </w:num>
  <w:num w:numId="2">
    <w:abstractNumId w:val="47"/>
  </w:num>
  <w:num w:numId="3">
    <w:abstractNumId w:val="322"/>
  </w:num>
  <w:num w:numId="4">
    <w:abstractNumId w:val="966"/>
  </w:num>
  <w:num w:numId="5">
    <w:abstractNumId w:val="543"/>
  </w:num>
  <w:num w:numId="6">
    <w:abstractNumId w:val="587"/>
  </w:num>
  <w:num w:numId="7">
    <w:abstractNumId w:val="1140"/>
  </w:num>
  <w:num w:numId="8">
    <w:abstractNumId w:val="867"/>
  </w:num>
  <w:num w:numId="9">
    <w:abstractNumId w:val="1247"/>
  </w:num>
  <w:num w:numId="10">
    <w:abstractNumId w:val="1415"/>
  </w:num>
  <w:num w:numId="11">
    <w:abstractNumId w:val="1021"/>
  </w:num>
  <w:num w:numId="12">
    <w:abstractNumId w:val="1405"/>
  </w:num>
  <w:num w:numId="13">
    <w:abstractNumId w:val="817"/>
  </w:num>
  <w:num w:numId="14">
    <w:abstractNumId w:val="435"/>
  </w:num>
  <w:num w:numId="15">
    <w:abstractNumId w:val="591"/>
  </w:num>
  <w:num w:numId="16">
    <w:abstractNumId w:val="935"/>
  </w:num>
  <w:num w:numId="17">
    <w:abstractNumId w:val="739"/>
  </w:num>
  <w:num w:numId="18">
    <w:abstractNumId w:val="741"/>
  </w:num>
  <w:num w:numId="19">
    <w:abstractNumId w:val="371"/>
  </w:num>
  <w:num w:numId="20">
    <w:abstractNumId w:val="955"/>
  </w:num>
  <w:num w:numId="21">
    <w:abstractNumId w:val="709"/>
  </w:num>
  <w:num w:numId="22">
    <w:abstractNumId w:val="615"/>
  </w:num>
  <w:num w:numId="23">
    <w:abstractNumId w:val="1518"/>
  </w:num>
  <w:num w:numId="24">
    <w:abstractNumId w:val="802"/>
  </w:num>
  <w:num w:numId="25">
    <w:abstractNumId w:val="1423"/>
  </w:num>
  <w:num w:numId="26">
    <w:abstractNumId w:val="397"/>
  </w:num>
  <w:num w:numId="27">
    <w:abstractNumId w:val="1218"/>
  </w:num>
  <w:num w:numId="28">
    <w:abstractNumId w:val="1757"/>
  </w:num>
  <w:num w:numId="29">
    <w:abstractNumId w:val="1648"/>
  </w:num>
  <w:num w:numId="30">
    <w:abstractNumId w:val="1457"/>
  </w:num>
  <w:num w:numId="31">
    <w:abstractNumId w:val="1701"/>
  </w:num>
  <w:num w:numId="32">
    <w:abstractNumId w:val="1874"/>
  </w:num>
  <w:num w:numId="33">
    <w:abstractNumId w:val="1212"/>
  </w:num>
  <w:num w:numId="34">
    <w:abstractNumId w:val="1347"/>
  </w:num>
  <w:num w:numId="35">
    <w:abstractNumId w:val="661"/>
  </w:num>
  <w:num w:numId="36">
    <w:abstractNumId w:val="938"/>
  </w:num>
  <w:num w:numId="37">
    <w:abstractNumId w:val="1748"/>
  </w:num>
  <w:num w:numId="38">
    <w:abstractNumId w:val="1168"/>
  </w:num>
  <w:num w:numId="39">
    <w:abstractNumId w:val="399"/>
  </w:num>
  <w:num w:numId="40">
    <w:abstractNumId w:val="1113"/>
  </w:num>
  <w:num w:numId="41">
    <w:abstractNumId w:val="1123"/>
  </w:num>
  <w:num w:numId="42">
    <w:abstractNumId w:val="1905"/>
  </w:num>
  <w:num w:numId="43">
    <w:abstractNumId w:val="1188"/>
  </w:num>
  <w:num w:numId="44">
    <w:abstractNumId w:val="999"/>
  </w:num>
  <w:num w:numId="45">
    <w:abstractNumId w:val="1851"/>
  </w:num>
  <w:num w:numId="46">
    <w:abstractNumId w:val="922"/>
  </w:num>
  <w:num w:numId="47">
    <w:abstractNumId w:val="1864"/>
  </w:num>
  <w:num w:numId="48">
    <w:abstractNumId w:val="227"/>
  </w:num>
  <w:num w:numId="49">
    <w:abstractNumId w:val="1732"/>
  </w:num>
  <w:num w:numId="50">
    <w:abstractNumId w:val="925"/>
  </w:num>
  <w:num w:numId="51">
    <w:abstractNumId w:val="391"/>
  </w:num>
  <w:num w:numId="52">
    <w:abstractNumId w:val="30"/>
  </w:num>
  <w:num w:numId="53">
    <w:abstractNumId w:val="529"/>
  </w:num>
  <w:num w:numId="54">
    <w:abstractNumId w:val="451"/>
  </w:num>
  <w:num w:numId="55">
    <w:abstractNumId w:val="1355"/>
  </w:num>
  <w:num w:numId="56">
    <w:abstractNumId w:val="725"/>
  </w:num>
  <w:num w:numId="57">
    <w:abstractNumId w:val="1079"/>
  </w:num>
  <w:num w:numId="58">
    <w:abstractNumId w:val="132"/>
  </w:num>
  <w:num w:numId="59">
    <w:abstractNumId w:val="933"/>
  </w:num>
  <w:num w:numId="60">
    <w:abstractNumId w:val="315"/>
  </w:num>
  <w:num w:numId="61">
    <w:abstractNumId w:val="784"/>
  </w:num>
  <w:num w:numId="62">
    <w:abstractNumId w:val="249"/>
  </w:num>
  <w:num w:numId="63">
    <w:abstractNumId w:val="561"/>
  </w:num>
  <w:num w:numId="64">
    <w:abstractNumId w:val="1092"/>
  </w:num>
  <w:num w:numId="65">
    <w:abstractNumId w:val="1100"/>
  </w:num>
  <w:num w:numId="66">
    <w:abstractNumId w:val="1839"/>
  </w:num>
  <w:num w:numId="67">
    <w:abstractNumId w:val="1484"/>
  </w:num>
  <w:num w:numId="68">
    <w:abstractNumId w:val="268"/>
  </w:num>
  <w:num w:numId="69">
    <w:abstractNumId w:val="131"/>
  </w:num>
  <w:num w:numId="70">
    <w:abstractNumId w:val="945"/>
  </w:num>
  <w:num w:numId="71">
    <w:abstractNumId w:val="960"/>
  </w:num>
  <w:num w:numId="72">
    <w:abstractNumId w:val="1797"/>
  </w:num>
  <w:num w:numId="73">
    <w:abstractNumId w:val="244"/>
  </w:num>
  <w:num w:numId="74">
    <w:abstractNumId w:val="814"/>
  </w:num>
  <w:num w:numId="75">
    <w:abstractNumId w:val="930"/>
  </w:num>
  <w:num w:numId="76">
    <w:abstractNumId w:val="1552"/>
  </w:num>
  <w:num w:numId="77">
    <w:abstractNumId w:val="197"/>
  </w:num>
  <w:num w:numId="78">
    <w:abstractNumId w:val="170"/>
  </w:num>
  <w:num w:numId="79">
    <w:abstractNumId w:val="1581"/>
  </w:num>
  <w:num w:numId="80">
    <w:abstractNumId w:val="1542"/>
  </w:num>
  <w:num w:numId="81">
    <w:abstractNumId w:val="1104"/>
  </w:num>
  <w:num w:numId="82">
    <w:abstractNumId w:val="1802"/>
  </w:num>
  <w:num w:numId="83">
    <w:abstractNumId w:val="125"/>
  </w:num>
  <w:num w:numId="84">
    <w:abstractNumId w:val="126"/>
  </w:num>
  <w:num w:numId="85">
    <w:abstractNumId w:val="1546"/>
  </w:num>
  <w:num w:numId="86">
    <w:abstractNumId w:val="1903"/>
  </w:num>
  <w:num w:numId="87">
    <w:abstractNumId w:val="726"/>
  </w:num>
  <w:num w:numId="88">
    <w:abstractNumId w:val="981"/>
  </w:num>
  <w:num w:numId="89">
    <w:abstractNumId w:val="1620"/>
  </w:num>
  <w:num w:numId="90">
    <w:abstractNumId w:val="1876"/>
  </w:num>
  <w:num w:numId="91">
    <w:abstractNumId w:val="238"/>
  </w:num>
  <w:num w:numId="92">
    <w:abstractNumId w:val="407"/>
  </w:num>
  <w:num w:numId="93">
    <w:abstractNumId w:val="242"/>
  </w:num>
  <w:num w:numId="94">
    <w:abstractNumId w:val="1029"/>
  </w:num>
  <w:num w:numId="95">
    <w:abstractNumId w:val="1631"/>
  </w:num>
  <w:num w:numId="96">
    <w:abstractNumId w:val="283"/>
  </w:num>
  <w:num w:numId="97">
    <w:abstractNumId w:val="1871"/>
  </w:num>
  <w:num w:numId="98">
    <w:abstractNumId w:val="765"/>
  </w:num>
  <w:num w:numId="99">
    <w:abstractNumId w:val="264"/>
  </w:num>
  <w:num w:numId="100">
    <w:abstractNumId w:val="442"/>
  </w:num>
  <w:num w:numId="101">
    <w:abstractNumId w:val="885"/>
  </w:num>
  <w:num w:numId="102">
    <w:abstractNumId w:val="728"/>
  </w:num>
  <w:num w:numId="103">
    <w:abstractNumId w:val="681"/>
  </w:num>
  <w:num w:numId="104">
    <w:abstractNumId w:val="357"/>
  </w:num>
  <w:num w:numId="105">
    <w:abstractNumId w:val="903"/>
  </w:num>
  <w:num w:numId="106">
    <w:abstractNumId w:val="1002"/>
  </w:num>
  <w:num w:numId="107">
    <w:abstractNumId w:val="1548"/>
  </w:num>
  <w:num w:numId="108">
    <w:abstractNumId w:val="1341"/>
  </w:num>
  <w:num w:numId="109">
    <w:abstractNumId w:val="265"/>
  </w:num>
  <w:num w:numId="110">
    <w:abstractNumId w:val="514"/>
  </w:num>
  <w:num w:numId="111">
    <w:abstractNumId w:val="1861"/>
  </w:num>
  <w:num w:numId="112">
    <w:abstractNumId w:val="687"/>
  </w:num>
  <w:num w:numId="113">
    <w:abstractNumId w:val="1536"/>
  </w:num>
  <w:num w:numId="114">
    <w:abstractNumId w:val="1279"/>
  </w:num>
  <w:num w:numId="115">
    <w:abstractNumId w:val="1400"/>
  </w:num>
  <w:num w:numId="116">
    <w:abstractNumId w:val="929"/>
  </w:num>
  <w:num w:numId="117">
    <w:abstractNumId w:val="934"/>
  </w:num>
  <w:num w:numId="118">
    <w:abstractNumId w:val="1346"/>
  </w:num>
  <w:num w:numId="119">
    <w:abstractNumId w:val="193"/>
  </w:num>
  <w:num w:numId="120">
    <w:abstractNumId w:val="585"/>
  </w:num>
  <w:num w:numId="121">
    <w:abstractNumId w:val="484"/>
  </w:num>
  <w:num w:numId="122">
    <w:abstractNumId w:val="1837"/>
  </w:num>
  <w:num w:numId="123">
    <w:abstractNumId w:val="358"/>
  </w:num>
  <w:num w:numId="124">
    <w:abstractNumId w:val="1759"/>
  </w:num>
  <w:num w:numId="125">
    <w:abstractNumId w:val="1077"/>
  </w:num>
  <w:num w:numId="126">
    <w:abstractNumId w:val="1492"/>
  </w:num>
  <w:num w:numId="127">
    <w:abstractNumId w:val="573"/>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260"/>
  </w:num>
  <w:num w:numId="139">
    <w:abstractNumId w:val="1434"/>
  </w:num>
  <w:num w:numId="140">
    <w:abstractNumId w:val="337"/>
  </w:num>
  <w:num w:numId="141">
    <w:abstractNumId w:val="1792"/>
  </w:num>
  <w:num w:numId="142">
    <w:abstractNumId w:val="1158"/>
  </w:num>
  <w:num w:numId="143">
    <w:abstractNumId w:val="140"/>
  </w:num>
  <w:num w:numId="144">
    <w:abstractNumId w:val="1467"/>
  </w:num>
  <w:num w:numId="145">
    <w:abstractNumId w:val="1173"/>
  </w:num>
  <w:num w:numId="146">
    <w:abstractNumId w:val="425"/>
  </w:num>
  <w:num w:numId="147">
    <w:abstractNumId w:val="1642"/>
  </w:num>
  <w:num w:numId="148">
    <w:abstractNumId w:val="1285"/>
  </w:num>
  <w:num w:numId="149">
    <w:abstractNumId w:val="705"/>
  </w:num>
  <w:num w:numId="150">
    <w:abstractNumId w:val="1120"/>
  </w:num>
  <w:num w:numId="151">
    <w:abstractNumId w:val="715"/>
  </w:num>
  <w:num w:numId="152">
    <w:abstractNumId w:val="350"/>
  </w:num>
  <w:num w:numId="153">
    <w:abstractNumId w:val="200"/>
  </w:num>
  <w:num w:numId="154">
    <w:abstractNumId w:val="63"/>
  </w:num>
  <w:num w:numId="155">
    <w:abstractNumId w:val="1541"/>
  </w:num>
  <w:num w:numId="156">
    <w:abstractNumId w:val="1811"/>
  </w:num>
  <w:num w:numId="157">
    <w:abstractNumId w:val="672"/>
  </w:num>
  <w:num w:numId="158">
    <w:abstractNumId w:val="513"/>
  </w:num>
  <w:num w:numId="159">
    <w:abstractNumId w:val="353"/>
  </w:num>
  <w:num w:numId="160">
    <w:abstractNumId w:val="1351"/>
  </w:num>
  <w:num w:numId="161">
    <w:abstractNumId w:val="1584"/>
  </w:num>
  <w:num w:numId="162">
    <w:abstractNumId w:val="629"/>
  </w:num>
  <w:num w:numId="163">
    <w:abstractNumId w:val="1618"/>
  </w:num>
  <w:num w:numId="164">
    <w:abstractNumId w:val="1165"/>
  </w:num>
  <w:num w:numId="165">
    <w:abstractNumId w:val="1830"/>
  </w:num>
  <w:num w:numId="166">
    <w:abstractNumId w:val="1270"/>
  </w:num>
  <w:num w:numId="167">
    <w:abstractNumId w:val="1387"/>
  </w:num>
  <w:num w:numId="168">
    <w:abstractNumId w:val="991"/>
  </w:num>
  <w:num w:numId="169">
    <w:abstractNumId w:val="19"/>
  </w:num>
  <w:num w:numId="170">
    <w:abstractNumId w:val="1793"/>
  </w:num>
  <w:num w:numId="171">
    <w:abstractNumId w:val="906"/>
  </w:num>
  <w:num w:numId="172">
    <w:abstractNumId w:val="272"/>
  </w:num>
  <w:num w:numId="173">
    <w:abstractNumId w:val="735"/>
  </w:num>
  <w:num w:numId="174">
    <w:abstractNumId w:val="680"/>
  </w:num>
  <w:num w:numId="175">
    <w:abstractNumId w:val="15"/>
  </w:num>
  <w:num w:numId="176">
    <w:abstractNumId w:val="812"/>
  </w:num>
  <w:num w:numId="177">
    <w:abstractNumId w:val="994"/>
  </w:num>
  <w:num w:numId="178">
    <w:abstractNumId w:val="1509"/>
  </w:num>
  <w:num w:numId="179">
    <w:abstractNumId w:val="718"/>
  </w:num>
  <w:num w:numId="180">
    <w:abstractNumId w:val="1661"/>
  </w:num>
  <w:num w:numId="181">
    <w:abstractNumId w:val="1281"/>
  </w:num>
  <w:num w:numId="182">
    <w:abstractNumId w:val="847"/>
  </w:num>
  <w:num w:numId="183">
    <w:abstractNumId w:val="1615"/>
  </w:num>
  <w:num w:numId="184">
    <w:abstractNumId w:val="1372"/>
  </w:num>
  <w:num w:numId="185">
    <w:abstractNumId w:val="1719"/>
  </w:num>
  <w:num w:numId="186">
    <w:abstractNumId w:val="1532"/>
  </w:num>
  <w:num w:numId="187">
    <w:abstractNumId w:val="1499"/>
  </w:num>
  <w:num w:numId="188">
    <w:abstractNumId w:val="203"/>
  </w:num>
  <w:num w:numId="189">
    <w:abstractNumId w:val="528"/>
  </w:num>
  <w:num w:numId="190">
    <w:abstractNumId w:val="1716"/>
  </w:num>
  <w:num w:numId="191">
    <w:abstractNumId w:val="1583"/>
  </w:num>
  <w:num w:numId="192">
    <w:abstractNumId w:val="1050"/>
  </w:num>
  <w:num w:numId="193">
    <w:abstractNumId w:val="1253"/>
  </w:num>
  <w:num w:numId="194">
    <w:abstractNumId w:val="1677"/>
  </w:num>
  <w:num w:numId="195">
    <w:abstractNumId w:val="610"/>
  </w:num>
  <w:num w:numId="196">
    <w:abstractNumId w:val="662"/>
  </w:num>
  <w:num w:numId="197">
    <w:abstractNumId w:val="498"/>
  </w:num>
  <w:num w:numId="198">
    <w:abstractNumId w:val="1594"/>
  </w:num>
  <w:num w:numId="199">
    <w:abstractNumId w:val="1115"/>
  </w:num>
  <w:num w:numId="200">
    <w:abstractNumId w:val="778"/>
  </w:num>
  <w:num w:numId="201">
    <w:abstractNumId w:val="646"/>
  </w:num>
  <w:num w:numId="202">
    <w:abstractNumId w:val="1488"/>
  </w:num>
  <w:num w:numId="203">
    <w:abstractNumId w:val="574"/>
  </w:num>
  <w:num w:numId="204">
    <w:abstractNumId w:val="37"/>
  </w:num>
  <w:num w:numId="205">
    <w:abstractNumId w:val="1402"/>
  </w:num>
  <w:num w:numId="206">
    <w:abstractNumId w:val="701"/>
  </w:num>
  <w:num w:numId="207">
    <w:abstractNumId w:val="796"/>
  </w:num>
  <w:num w:numId="208">
    <w:abstractNumId w:val="1047"/>
  </w:num>
  <w:num w:numId="209">
    <w:abstractNumId w:val="1272"/>
  </w:num>
  <w:num w:numId="210">
    <w:abstractNumId w:val="1680"/>
  </w:num>
  <w:num w:numId="211">
    <w:abstractNumId w:val="98"/>
  </w:num>
  <w:num w:numId="212">
    <w:abstractNumId w:val="123"/>
  </w:num>
  <w:num w:numId="213">
    <w:abstractNumId w:val="1758"/>
  </w:num>
  <w:num w:numId="214">
    <w:abstractNumId w:val="454"/>
  </w:num>
  <w:num w:numId="215">
    <w:abstractNumId w:val="1118"/>
  </w:num>
  <w:num w:numId="216">
    <w:abstractNumId w:val="566"/>
  </w:num>
  <w:num w:numId="217">
    <w:abstractNumId w:val="1586"/>
  </w:num>
  <w:num w:numId="218">
    <w:abstractNumId w:val="191"/>
  </w:num>
  <w:num w:numId="219">
    <w:abstractNumId w:val="723"/>
  </w:num>
  <w:num w:numId="220">
    <w:abstractNumId w:val="1271"/>
  </w:num>
  <w:num w:numId="221">
    <w:abstractNumId w:val="90"/>
  </w:num>
  <w:num w:numId="222">
    <w:abstractNumId w:val="971"/>
  </w:num>
  <w:num w:numId="223">
    <w:abstractNumId w:val="985"/>
  </w:num>
  <w:num w:numId="224">
    <w:abstractNumId w:val="1883"/>
  </w:num>
  <w:num w:numId="225">
    <w:abstractNumId w:val="875"/>
  </w:num>
  <w:num w:numId="226">
    <w:abstractNumId w:val="1596"/>
  </w:num>
  <w:num w:numId="227">
    <w:abstractNumId w:val="1728"/>
  </w:num>
  <w:num w:numId="228">
    <w:abstractNumId w:val="336"/>
  </w:num>
  <w:num w:numId="229">
    <w:abstractNumId w:val="1226"/>
  </w:num>
  <w:num w:numId="230">
    <w:abstractNumId w:val="1678"/>
  </w:num>
  <w:num w:numId="231">
    <w:abstractNumId w:val="986"/>
  </w:num>
  <w:num w:numId="232">
    <w:abstractNumId w:val="1131"/>
  </w:num>
  <w:num w:numId="233">
    <w:abstractNumId w:val="78"/>
  </w:num>
  <w:num w:numId="234">
    <w:abstractNumId w:val="961"/>
  </w:num>
  <w:num w:numId="235">
    <w:abstractNumId w:val="612"/>
  </w:num>
  <w:num w:numId="236">
    <w:abstractNumId w:val="363"/>
  </w:num>
  <w:num w:numId="237">
    <w:abstractNumId w:val="983"/>
  </w:num>
  <w:num w:numId="238">
    <w:abstractNumId w:val="541"/>
  </w:num>
  <w:num w:numId="239">
    <w:abstractNumId w:val="621"/>
  </w:num>
  <w:num w:numId="240">
    <w:abstractNumId w:val="749"/>
  </w:num>
  <w:num w:numId="241">
    <w:abstractNumId w:val="1015"/>
  </w:num>
  <w:num w:numId="242">
    <w:abstractNumId w:val="1354"/>
  </w:num>
  <w:num w:numId="243">
    <w:abstractNumId w:val="413"/>
  </w:num>
  <w:num w:numId="244">
    <w:abstractNumId w:val="64"/>
  </w:num>
  <w:num w:numId="245">
    <w:abstractNumId w:val="1111"/>
  </w:num>
  <w:num w:numId="246">
    <w:abstractNumId w:val="793"/>
  </w:num>
  <w:num w:numId="247">
    <w:abstractNumId w:val="1514"/>
  </w:num>
  <w:num w:numId="248">
    <w:abstractNumId w:val="1681"/>
  </w:num>
  <w:num w:numId="249">
    <w:abstractNumId w:val="1101"/>
  </w:num>
  <w:num w:numId="250">
    <w:abstractNumId w:val="1148"/>
  </w:num>
  <w:num w:numId="251">
    <w:abstractNumId w:val="898"/>
  </w:num>
  <w:num w:numId="252">
    <w:abstractNumId w:val="1428"/>
  </w:num>
  <w:num w:numId="253">
    <w:abstractNumId w:val="1180"/>
  </w:num>
  <w:num w:numId="254">
    <w:abstractNumId w:val="848"/>
  </w:num>
  <w:num w:numId="255">
    <w:abstractNumId w:val="330"/>
  </w:num>
  <w:num w:numId="256">
    <w:abstractNumId w:val="1750"/>
  </w:num>
  <w:num w:numId="257">
    <w:abstractNumId w:val="1099"/>
  </w:num>
  <w:num w:numId="258">
    <w:abstractNumId w:val="72"/>
  </w:num>
  <w:num w:numId="259">
    <w:abstractNumId w:val="247"/>
  </w:num>
  <w:num w:numId="260">
    <w:abstractNumId w:val="35"/>
  </w:num>
  <w:num w:numId="261">
    <w:abstractNumId w:val="1553"/>
  </w:num>
  <w:num w:numId="262">
    <w:abstractNumId w:val="902"/>
  </w:num>
  <w:num w:numId="263">
    <w:abstractNumId w:val="1513"/>
  </w:num>
  <w:num w:numId="264">
    <w:abstractNumId w:val="25"/>
  </w:num>
  <w:num w:numId="265">
    <w:abstractNumId w:val="324"/>
  </w:num>
  <w:num w:numId="266">
    <w:abstractNumId w:val="1350"/>
  </w:num>
  <w:num w:numId="267">
    <w:abstractNumId w:val="1468"/>
  </w:num>
  <w:num w:numId="268">
    <w:abstractNumId w:val="18"/>
  </w:num>
  <w:num w:numId="269">
    <w:abstractNumId w:val="508"/>
  </w:num>
  <w:num w:numId="270">
    <w:abstractNumId w:val="459"/>
  </w:num>
  <w:num w:numId="271">
    <w:abstractNumId w:val="1357"/>
  </w:num>
  <w:num w:numId="272">
    <w:abstractNumId w:val="1229"/>
  </w:num>
  <w:num w:numId="273">
    <w:abstractNumId w:val="1844"/>
  </w:num>
  <w:num w:numId="274">
    <w:abstractNumId w:val="1317"/>
  </w:num>
  <w:num w:numId="275">
    <w:abstractNumId w:val="767"/>
  </w:num>
  <w:num w:numId="276">
    <w:abstractNumId w:val="1799"/>
  </w:num>
  <w:num w:numId="277">
    <w:abstractNumId w:val="33"/>
  </w:num>
  <w:num w:numId="278">
    <w:abstractNumId w:val="628"/>
  </w:num>
  <w:num w:numId="279">
    <w:abstractNumId w:val="1609"/>
  </w:num>
  <w:num w:numId="280">
    <w:abstractNumId w:val="316"/>
  </w:num>
  <w:num w:numId="281">
    <w:abstractNumId w:val="1649"/>
  </w:num>
  <w:num w:numId="282">
    <w:abstractNumId w:val="424"/>
  </w:num>
  <w:num w:numId="283">
    <w:abstractNumId w:val="248"/>
  </w:num>
  <w:num w:numId="284">
    <w:abstractNumId w:val="1214"/>
  </w:num>
  <w:num w:numId="285">
    <w:abstractNumId w:val="721"/>
  </w:num>
  <w:num w:numId="286">
    <w:abstractNumId w:val="1211"/>
  </w:num>
  <w:num w:numId="287">
    <w:abstractNumId w:val="1767"/>
  </w:num>
  <w:num w:numId="288">
    <w:abstractNumId w:val="164"/>
  </w:num>
  <w:num w:numId="289">
    <w:abstractNumId w:val="710"/>
  </w:num>
  <w:num w:numId="290">
    <w:abstractNumId w:val="1635"/>
  </w:num>
  <w:num w:numId="291">
    <w:abstractNumId w:val="1652"/>
  </w:num>
  <w:num w:numId="292">
    <w:abstractNumId w:val="1060"/>
  </w:num>
  <w:num w:numId="293">
    <w:abstractNumId w:val="977"/>
  </w:num>
  <w:num w:numId="294">
    <w:abstractNumId w:val="854"/>
  </w:num>
  <w:num w:numId="295">
    <w:abstractNumId w:val="233"/>
  </w:num>
  <w:num w:numId="296">
    <w:abstractNumId w:val="187"/>
  </w:num>
  <w:num w:numId="297">
    <w:abstractNumId w:val="1216"/>
  </w:num>
  <w:num w:numId="298">
    <w:abstractNumId w:val="295"/>
  </w:num>
  <w:num w:numId="299">
    <w:abstractNumId w:val="1640"/>
  </w:num>
  <w:num w:numId="300">
    <w:abstractNumId w:val="147"/>
  </w:num>
  <w:num w:numId="301">
    <w:abstractNumId w:val="815"/>
  </w:num>
  <w:num w:numId="302">
    <w:abstractNumId w:val="274"/>
  </w:num>
  <w:num w:numId="303">
    <w:abstractNumId w:val="355"/>
  </w:num>
  <w:num w:numId="304">
    <w:abstractNumId w:val="572"/>
  </w:num>
  <w:num w:numId="305">
    <w:abstractNumId w:val="1789"/>
  </w:num>
  <w:num w:numId="306">
    <w:abstractNumId w:val="1332"/>
  </w:num>
  <w:num w:numId="307">
    <w:abstractNumId w:val="768"/>
  </w:num>
  <w:num w:numId="308">
    <w:abstractNumId w:val="1810"/>
  </w:num>
  <w:num w:numId="309">
    <w:abstractNumId w:val="1825"/>
  </w:num>
  <w:num w:numId="310">
    <w:abstractNumId w:val="792"/>
  </w:num>
  <w:num w:numId="311">
    <w:abstractNumId w:val="840"/>
  </w:num>
  <w:num w:numId="312">
    <w:abstractNumId w:val="915"/>
  </w:num>
  <w:num w:numId="313">
    <w:abstractNumId w:val="1771"/>
  </w:num>
  <w:num w:numId="314">
    <w:abstractNumId w:val="314"/>
  </w:num>
  <w:num w:numId="315">
    <w:abstractNumId w:val="1135"/>
  </w:num>
  <w:num w:numId="316">
    <w:abstractNumId w:val="254"/>
  </w:num>
  <w:num w:numId="317">
    <w:abstractNumId w:val="1095"/>
  </w:num>
  <w:num w:numId="318">
    <w:abstractNumId w:val="1078"/>
  </w:num>
  <w:num w:numId="319">
    <w:abstractNumId w:val="1003"/>
  </w:num>
  <w:num w:numId="320">
    <w:abstractNumId w:val="1780"/>
  </w:num>
  <w:num w:numId="321">
    <w:abstractNumId w:val="1613"/>
  </w:num>
  <w:num w:numId="322">
    <w:abstractNumId w:val="489"/>
  </w:num>
  <w:num w:numId="323">
    <w:abstractNumId w:val="791"/>
  </w:num>
  <w:num w:numId="324">
    <w:abstractNumId w:val="524"/>
  </w:num>
  <w:num w:numId="325">
    <w:abstractNumId w:val="1414"/>
  </w:num>
  <w:num w:numId="326">
    <w:abstractNumId w:val="1076"/>
  </w:num>
  <w:num w:numId="327">
    <w:abstractNumId w:val="263"/>
  </w:num>
  <w:num w:numId="328">
    <w:abstractNumId w:val="373"/>
  </w:num>
  <w:num w:numId="329">
    <w:abstractNumId w:val="641"/>
  </w:num>
  <w:num w:numId="330">
    <w:abstractNumId w:val="511"/>
  </w:num>
  <w:num w:numId="331">
    <w:abstractNumId w:val="439"/>
  </w:num>
  <w:num w:numId="332">
    <w:abstractNumId w:val="56"/>
  </w:num>
  <w:num w:numId="333">
    <w:abstractNumId w:val="1611"/>
  </w:num>
  <w:num w:numId="334">
    <w:abstractNumId w:val="684"/>
  </w:num>
  <w:num w:numId="335">
    <w:abstractNumId w:val="1147"/>
  </w:num>
  <w:num w:numId="336">
    <w:abstractNumId w:val="1753"/>
  </w:num>
  <w:num w:numId="337">
    <w:abstractNumId w:val="360"/>
  </w:num>
  <w:num w:numId="338">
    <w:abstractNumId w:val="873"/>
  </w:num>
  <w:num w:numId="339">
    <w:abstractNumId w:val="1630"/>
  </w:num>
  <w:num w:numId="340">
    <w:abstractNumId w:val="180"/>
  </w:num>
  <w:num w:numId="341">
    <w:abstractNumId w:val="361"/>
  </w:num>
  <w:num w:numId="342">
    <w:abstractNumId w:val="563"/>
  </w:num>
  <w:num w:numId="343">
    <w:abstractNumId w:val="81"/>
  </w:num>
  <w:num w:numId="344">
    <w:abstractNumId w:val="501"/>
  </w:num>
  <w:num w:numId="345">
    <w:abstractNumId w:val="1066"/>
  </w:num>
  <w:num w:numId="346">
    <w:abstractNumId w:val="472"/>
  </w:num>
  <w:num w:numId="347">
    <w:abstractNumId w:val="159"/>
  </w:num>
  <w:num w:numId="348">
    <w:abstractNumId w:val="1267"/>
  </w:num>
  <w:num w:numId="349">
    <w:abstractNumId w:val="1579"/>
  </w:num>
  <w:num w:numId="350">
    <w:abstractNumId w:val="1389"/>
  </w:num>
  <w:num w:numId="351">
    <w:abstractNumId w:val="1070"/>
  </w:num>
  <w:num w:numId="352">
    <w:abstractNumId w:val="523"/>
  </w:num>
  <w:num w:numId="353">
    <w:abstractNumId w:val="1745"/>
  </w:num>
  <w:num w:numId="354">
    <w:abstractNumId w:val="1612"/>
  </w:num>
  <w:num w:numId="355">
    <w:abstractNumId w:val="567"/>
  </w:num>
  <w:num w:numId="356">
    <w:abstractNumId w:val="1276"/>
  </w:num>
  <w:num w:numId="357">
    <w:abstractNumId w:val="1752"/>
  </w:num>
  <w:num w:numId="358">
    <w:abstractNumId w:val="605"/>
  </w:num>
  <w:num w:numId="359">
    <w:abstractNumId w:val="746"/>
  </w:num>
  <w:num w:numId="360">
    <w:abstractNumId w:val="1059"/>
  </w:num>
  <w:num w:numId="361">
    <w:abstractNumId w:val="844"/>
  </w:num>
  <w:num w:numId="362">
    <w:abstractNumId w:val="1734"/>
  </w:num>
  <w:num w:numId="363">
    <w:abstractNumId w:val="367"/>
  </w:num>
  <w:num w:numId="364">
    <w:abstractNumId w:val="1535"/>
  </w:num>
  <w:num w:numId="365">
    <w:abstractNumId w:val="1524"/>
  </w:num>
  <w:num w:numId="366">
    <w:abstractNumId w:val="46"/>
  </w:num>
  <w:num w:numId="367">
    <w:abstractNumId w:val="1205"/>
  </w:num>
  <w:num w:numId="368">
    <w:abstractNumId w:val="620"/>
  </w:num>
  <w:num w:numId="369">
    <w:abstractNumId w:val="1645"/>
  </w:num>
  <w:num w:numId="370">
    <w:abstractNumId w:val="861"/>
  </w:num>
  <w:num w:numId="371">
    <w:abstractNumId w:val="1194"/>
  </w:num>
  <w:num w:numId="372">
    <w:abstractNumId w:val="969"/>
  </w:num>
  <w:num w:numId="373">
    <w:abstractNumId w:val="1471"/>
  </w:num>
  <w:num w:numId="374">
    <w:abstractNumId w:val="79"/>
  </w:num>
  <w:num w:numId="375">
    <w:abstractNumId w:val="1816"/>
  </w:num>
  <w:num w:numId="376">
    <w:abstractNumId w:val="156"/>
  </w:num>
  <w:num w:numId="377">
    <w:abstractNumId w:val="548"/>
  </w:num>
  <w:num w:numId="378">
    <w:abstractNumId w:val="1887"/>
  </w:num>
  <w:num w:numId="379">
    <w:abstractNumId w:val="1121"/>
  </w:num>
  <w:num w:numId="380">
    <w:abstractNumId w:val="1088"/>
  </w:num>
  <w:num w:numId="381">
    <w:abstractNumId w:val="453"/>
  </w:num>
  <w:num w:numId="382">
    <w:abstractNumId w:val="609"/>
  </w:num>
  <w:num w:numId="383">
    <w:abstractNumId w:val="754"/>
  </w:num>
  <w:num w:numId="384">
    <w:abstractNumId w:val="1425"/>
  </w:num>
  <w:num w:numId="385">
    <w:abstractNumId w:val="647"/>
  </w:num>
  <w:num w:numId="386">
    <w:abstractNumId w:val="518"/>
  </w:num>
  <w:num w:numId="387">
    <w:abstractNumId w:val="518"/>
    <w:lvlOverride w:ilvl="0"/>
    <w:lvlOverride w:ilvl="1"/>
    <w:lvlOverride w:ilvl="2"/>
    <w:lvlOverride w:ilvl="3"/>
    <w:lvlOverride w:ilvl="4"/>
    <w:lvlOverride w:ilvl="5"/>
    <w:lvlOverride w:ilvl="6"/>
    <w:lvlOverride w:ilvl="7"/>
    <w:lvlOverride w:ilvl="8"/>
  </w:num>
  <w:num w:numId="388">
    <w:abstractNumId w:val="447"/>
  </w:num>
  <w:num w:numId="389">
    <w:abstractNumId w:val="286"/>
  </w:num>
  <w:num w:numId="390">
    <w:abstractNumId w:val="657"/>
  </w:num>
  <w:num w:numId="391">
    <w:abstractNumId w:val="518"/>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1296"/>
  </w:num>
  <w:num w:numId="393">
    <w:abstractNumId w:val="304"/>
  </w:num>
  <w:num w:numId="394">
    <w:abstractNumId w:val="1660"/>
  </w:num>
  <w:num w:numId="395">
    <w:abstractNumId w:val="16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1660"/>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706"/>
  </w:num>
  <w:num w:numId="398">
    <w:abstractNumId w:val="1249"/>
  </w:num>
  <w:num w:numId="399">
    <w:abstractNumId w:val="22"/>
  </w:num>
  <w:num w:numId="400">
    <w:abstractNumId w:val="1242"/>
  </w:num>
  <w:num w:numId="401">
    <w:abstractNumId w:val="1551"/>
  </w:num>
  <w:num w:numId="402">
    <w:abstractNumId w:val="1817"/>
  </w:num>
  <w:num w:numId="403">
    <w:abstractNumId w:val="865"/>
  </w:num>
  <w:num w:numId="404">
    <w:abstractNumId w:val="417"/>
  </w:num>
  <w:num w:numId="405">
    <w:abstractNumId w:val="1733"/>
  </w:num>
  <w:num w:numId="406">
    <w:abstractNumId w:val="1230"/>
  </w:num>
  <w:num w:numId="407">
    <w:abstractNumId w:val="979"/>
  </w:num>
  <w:num w:numId="408">
    <w:abstractNumId w:val="1033"/>
  </w:num>
  <w:num w:numId="409">
    <w:abstractNumId w:val="1458"/>
  </w:num>
  <w:num w:numId="410">
    <w:abstractNumId w:val="1585"/>
  </w:num>
  <w:num w:numId="411">
    <w:abstractNumId w:val="1456"/>
  </w:num>
  <w:num w:numId="412">
    <w:abstractNumId w:val="385"/>
  </w:num>
  <w:num w:numId="413">
    <w:abstractNumId w:val="1313"/>
  </w:num>
  <w:num w:numId="414">
    <w:abstractNumId w:val="1783"/>
  </w:num>
  <w:num w:numId="415">
    <w:abstractNumId w:val="1862"/>
  </w:num>
  <w:num w:numId="416">
    <w:abstractNumId w:val="105"/>
  </w:num>
  <w:num w:numId="417">
    <w:abstractNumId w:val="136"/>
  </w:num>
  <w:num w:numId="418">
    <w:abstractNumId w:val="1517"/>
  </w:num>
  <w:num w:numId="419">
    <w:abstractNumId w:val="239"/>
  </w:num>
  <w:num w:numId="420">
    <w:abstractNumId w:val="1619"/>
  </w:num>
  <w:num w:numId="421">
    <w:abstractNumId w:val="393"/>
  </w:num>
  <w:num w:numId="422">
    <w:abstractNumId w:val="473"/>
  </w:num>
  <w:num w:numId="423">
    <w:abstractNumId w:val="1110"/>
  </w:num>
  <w:num w:numId="424">
    <w:abstractNumId w:val="1835"/>
  </w:num>
  <w:num w:numId="425">
    <w:abstractNumId w:val="600"/>
  </w:num>
  <w:num w:numId="426">
    <w:abstractNumId w:val="1324"/>
  </w:num>
  <w:num w:numId="427">
    <w:abstractNumId w:val="177"/>
  </w:num>
  <w:num w:numId="428">
    <w:abstractNumId w:val="904"/>
  </w:num>
  <w:num w:numId="429">
    <w:abstractNumId w:val="476"/>
  </w:num>
  <w:num w:numId="430">
    <w:abstractNumId w:val="48"/>
  </w:num>
  <w:num w:numId="431">
    <w:abstractNumId w:val="1014"/>
  </w:num>
  <w:num w:numId="432">
    <w:abstractNumId w:val="1496"/>
  </w:num>
  <w:num w:numId="433">
    <w:abstractNumId w:val="670"/>
  </w:num>
  <w:num w:numId="434">
    <w:abstractNumId w:val="362"/>
  </w:num>
  <w:num w:numId="435">
    <w:abstractNumId w:val="537"/>
  </w:num>
  <w:num w:numId="436">
    <w:abstractNumId w:val="809"/>
  </w:num>
  <w:num w:numId="437">
    <w:abstractNumId w:val="1879"/>
  </w:num>
  <w:num w:numId="438">
    <w:abstractNumId w:val="1859"/>
  </w:num>
  <w:num w:numId="439">
    <w:abstractNumId w:val="835"/>
  </w:num>
  <w:num w:numId="440">
    <w:abstractNumId w:val="1122"/>
  </w:num>
  <w:num w:numId="441">
    <w:abstractNumId w:val="253"/>
  </w:num>
  <w:num w:numId="442">
    <w:abstractNumId w:val="173"/>
  </w:num>
  <w:num w:numId="443">
    <w:abstractNumId w:val="157"/>
  </w:num>
  <w:num w:numId="444">
    <w:abstractNumId w:val="325"/>
  </w:num>
  <w:num w:numId="445">
    <w:abstractNumId w:val="1090"/>
  </w:num>
  <w:num w:numId="446">
    <w:abstractNumId w:val="1776"/>
  </w:num>
  <w:num w:numId="447">
    <w:abstractNumId w:val="773"/>
  </w:num>
  <w:num w:numId="448">
    <w:abstractNumId w:val="1815"/>
  </w:num>
  <w:num w:numId="449">
    <w:abstractNumId w:val="1798"/>
  </w:num>
  <w:num w:numId="450">
    <w:abstractNumId w:val="334"/>
  </w:num>
  <w:num w:numId="451">
    <w:abstractNumId w:val="831"/>
  </w:num>
  <w:num w:numId="452">
    <w:abstractNumId w:val="400"/>
  </w:num>
  <w:num w:numId="453">
    <w:abstractNumId w:val="703"/>
  </w:num>
  <w:num w:numId="454">
    <w:abstractNumId w:val="1069"/>
  </w:num>
  <w:num w:numId="455">
    <w:abstractNumId w:val="298"/>
  </w:num>
  <w:num w:numId="456">
    <w:abstractNumId w:val="1662"/>
  </w:num>
  <w:num w:numId="457">
    <w:abstractNumId w:val="742"/>
  </w:num>
  <w:num w:numId="458">
    <w:abstractNumId w:val="1145"/>
  </w:num>
  <w:num w:numId="459">
    <w:abstractNumId w:val="331"/>
  </w:num>
  <w:num w:numId="460">
    <w:abstractNumId w:val="1526"/>
  </w:num>
  <w:num w:numId="461">
    <w:abstractNumId w:val="1016"/>
  </w:num>
  <w:num w:numId="462">
    <w:abstractNumId w:val="228"/>
  </w:num>
  <w:num w:numId="463">
    <w:abstractNumId w:val="909"/>
  </w:num>
  <w:num w:numId="464">
    <w:abstractNumId w:val="175"/>
  </w:num>
  <w:num w:numId="465">
    <w:abstractNumId w:val="167"/>
  </w:num>
  <w:num w:numId="466">
    <w:abstractNumId w:val="271"/>
  </w:num>
  <w:num w:numId="467">
    <w:abstractNumId w:val="606"/>
  </w:num>
  <w:num w:numId="468">
    <w:abstractNumId w:val="1167"/>
  </w:num>
  <w:num w:numId="469">
    <w:abstractNumId w:val="1779"/>
  </w:num>
  <w:num w:numId="470">
    <w:abstractNumId w:val="224"/>
  </w:num>
  <w:num w:numId="471">
    <w:abstractNumId w:val="100"/>
  </w:num>
  <w:num w:numId="472">
    <w:abstractNumId w:val="841"/>
  </w:num>
  <w:num w:numId="473">
    <w:abstractNumId w:val="402"/>
  </w:num>
  <w:num w:numId="474">
    <w:abstractNumId w:val="732"/>
  </w:num>
  <w:num w:numId="475">
    <w:abstractNumId w:val="374"/>
  </w:num>
  <w:num w:numId="476">
    <w:abstractNumId w:val="1057"/>
  </w:num>
  <w:num w:numId="477">
    <w:abstractNumId w:val="1684"/>
  </w:num>
  <w:num w:numId="478">
    <w:abstractNumId w:val="384"/>
  </w:num>
  <w:num w:numId="479">
    <w:abstractNumId w:val="722"/>
  </w:num>
  <w:num w:numId="480">
    <w:abstractNumId w:val="1197"/>
  </w:num>
  <w:num w:numId="481">
    <w:abstractNumId w:val="624"/>
  </w:num>
  <w:num w:numId="482">
    <w:abstractNumId w:val="1461"/>
  </w:num>
  <w:num w:numId="483">
    <w:abstractNumId w:val="833"/>
  </w:num>
  <w:num w:numId="484">
    <w:abstractNumId w:val="1749"/>
  </w:num>
  <w:num w:numId="485">
    <w:abstractNumId w:val="1251"/>
  </w:num>
  <w:num w:numId="486">
    <w:abstractNumId w:val="958"/>
  </w:num>
  <w:num w:numId="487">
    <w:abstractNumId w:val="1431"/>
  </w:num>
  <w:num w:numId="488">
    <w:abstractNumId w:val="49"/>
  </w:num>
  <w:num w:numId="489">
    <w:abstractNumId w:val="783"/>
  </w:num>
  <w:num w:numId="490">
    <w:abstractNumId w:val="349"/>
  </w:num>
  <w:num w:numId="491">
    <w:abstractNumId w:val="1534"/>
  </w:num>
  <w:num w:numId="492">
    <w:abstractNumId w:val="1378"/>
  </w:num>
  <w:num w:numId="493">
    <w:abstractNumId w:val="982"/>
  </w:num>
  <w:num w:numId="494">
    <w:abstractNumId w:val="291"/>
  </w:num>
  <w:num w:numId="495">
    <w:abstractNumId w:val="88"/>
  </w:num>
  <w:num w:numId="496">
    <w:abstractNumId w:val="1012"/>
  </w:num>
  <w:num w:numId="497">
    <w:abstractNumId w:val="1868"/>
  </w:num>
  <w:num w:numId="498">
    <w:abstractNumId w:val="389"/>
  </w:num>
  <w:num w:numId="499">
    <w:abstractNumId w:val="1527"/>
  </w:num>
  <w:num w:numId="500">
    <w:abstractNumId w:val="1371"/>
  </w:num>
  <w:num w:numId="501">
    <w:abstractNumId w:val="1691"/>
  </w:num>
  <w:num w:numId="502">
    <w:abstractNumId w:val="1159"/>
  </w:num>
  <w:num w:numId="503">
    <w:abstractNumId w:val="827"/>
  </w:num>
  <w:num w:numId="504">
    <w:abstractNumId w:val="1686"/>
  </w:num>
  <w:num w:numId="505">
    <w:abstractNumId w:val="1459"/>
  </w:num>
  <w:num w:numId="506">
    <w:abstractNumId w:val="1412"/>
  </w:num>
  <w:num w:numId="507">
    <w:abstractNumId w:val="623"/>
  </w:num>
  <w:num w:numId="508">
    <w:abstractNumId w:val="143"/>
  </w:num>
  <w:num w:numId="509">
    <w:abstractNumId w:val="483"/>
  </w:num>
  <w:num w:numId="510">
    <w:abstractNumId w:val="1398"/>
  </w:num>
  <w:num w:numId="511">
    <w:abstractNumId w:val="1124"/>
  </w:num>
  <w:num w:numId="512">
    <w:abstractNumId w:val="1674"/>
  </w:num>
  <w:num w:numId="513">
    <w:abstractNumId w:val="62"/>
  </w:num>
  <w:num w:numId="514">
    <w:abstractNumId w:val="519"/>
  </w:num>
  <w:num w:numId="515">
    <w:abstractNumId w:val="394"/>
  </w:num>
  <w:num w:numId="516">
    <w:abstractNumId w:val="151"/>
  </w:num>
  <w:num w:numId="517">
    <w:abstractNumId w:val="1233"/>
  </w:num>
  <w:num w:numId="518">
    <w:abstractNumId w:val="474"/>
  </w:num>
  <w:num w:numId="519">
    <w:abstractNumId w:val="1726"/>
  </w:num>
  <w:num w:numId="520">
    <w:abstractNumId w:val="494"/>
  </w:num>
  <w:num w:numId="521">
    <w:abstractNumId w:val="1690"/>
  </w:num>
  <w:num w:numId="522">
    <w:abstractNumId w:val="77"/>
  </w:num>
  <w:num w:numId="523">
    <w:abstractNumId w:val="1444"/>
  </w:num>
  <w:num w:numId="524">
    <w:abstractNumId w:val="1146"/>
  </w:num>
  <w:num w:numId="525">
    <w:abstractNumId w:val="1520"/>
  </w:num>
  <w:num w:numId="526">
    <w:abstractNumId w:val="682"/>
  </w:num>
  <w:num w:numId="527">
    <w:abstractNumId w:val="1602"/>
  </w:num>
  <w:num w:numId="528">
    <w:abstractNumId w:val="500"/>
  </w:num>
  <w:num w:numId="529">
    <w:abstractNumId w:val="1711"/>
  </w:num>
  <w:num w:numId="530">
    <w:abstractNumId w:val="522"/>
  </w:num>
  <w:num w:numId="531">
    <w:abstractNumId w:val="449"/>
  </w:num>
  <w:num w:numId="532">
    <w:abstractNumId w:val="376"/>
  </w:num>
  <w:num w:numId="533">
    <w:abstractNumId w:val="614"/>
  </w:num>
  <w:num w:numId="534">
    <w:abstractNumId w:val="17"/>
  </w:num>
  <w:num w:numId="535">
    <w:abstractNumId w:val="808"/>
  </w:num>
  <w:num w:numId="536">
    <w:abstractNumId w:val="1654"/>
  </w:num>
  <w:num w:numId="537">
    <w:abstractNumId w:val="1222"/>
  </w:num>
  <w:num w:numId="538">
    <w:abstractNumId w:val="1445"/>
  </w:num>
  <w:num w:numId="539">
    <w:abstractNumId w:val="27"/>
  </w:num>
  <w:num w:numId="540">
    <w:abstractNumId w:val="1209"/>
  </w:num>
  <w:num w:numId="541">
    <w:abstractNumId w:val="1411"/>
  </w:num>
  <w:num w:numId="542">
    <w:abstractNumId w:val="1549"/>
  </w:num>
  <w:num w:numId="543">
    <w:abstractNumId w:val="16"/>
  </w:num>
  <w:num w:numId="544">
    <w:abstractNumId w:val="669"/>
  </w:num>
  <w:num w:numId="545">
    <w:abstractNumId w:val="142"/>
  </w:num>
  <w:num w:numId="546">
    <w:abstractNumId w:val="273"/>
  </w:num>
  <w:num w:numId="547">
    <w:abstractNumId w:val="448"/>
  </w:num>
  <w:num w:numId="548">
    <w:abstractNumId w:val="1391"/>
  </w:num>
  <w:num w:numId="549">
    <w:abstractNumId w:val="427"/>
  </w:num>
  <w:num w:numId="550">
    <w:abstractNumId w:val="195"/>
  </w:num>
  <w:num w:numId="551">
    <w:abstractNumId w:val="900"/>
  </w:num>
  <w:num w:numId="552">
    <w:abstractNumId w:val="1832"/>
  </w:num>
  <w:num w:numId="553">
    <w:abstractNumId w:val="1255"/>
  </w:num>
  <w:num w:numId="554">
    <w:abstractNumId w:val="69"/>
  </w:num>
  <w:num w:numId="555">
    <w:abstractNumId w:val="1622"/>
  </w:num>
  <w:num w:numId="556">
    <w:abstractNumId w:val="693"/>
  </w:num>
  <w:num w:numId="557">
    <w:abstractNumId w:val="1464"/>
  </w:num>
  <w:num w:numId="558">
    <w:abstractNumId w:val="1746"/>
  </w:num>
  <w:num w:numId="559">
    <w:abstractNumId w:val="1023"/>
  </w:num>
  <w:num w:numId="560">
    <w:abstractNumId w:val="1910"/>
  </w:num>
  <w:num w:numId="561">
    <w:abstractNumId w:val="569"/>
  </w:num>
  <w:num w:numId="562">
    <w:abstractNumId w:val="428"/>
  </w:num>
  <w:num w:numId="563">
    <w:abstractNumId w:val="1625"/>
  </w:num>
  <w:num w:numId="564">
    <w:abstractNumId w:val="1067"/>
  </w:num>
  <w:num w:numId="565">
    <w:abstractNumId w:val="1714"/>
  </w:num>
  <w:num w:numId="566">
    <w:abstractNumId w:val="671"/>
  </w:num>
  <w:num w:numId="567">
    <w:abstractNumId w:val="102"/>
  </w:num>
  <w:num w:numId="568">
    <w:abstractNumId w:val="1065"/>
  </w:num>
  <w:num w:numId="569">
    <w:abstractNumId w:val="860"/>
  </w:num>
  <w:num w:numId="570">
    <w:abstractNumId w:val="1410"/>
  </w:num>
  <w:num w:numId="571">
    <w:abstractNumId w:val="1669"/>
  </w:num>
  <w:num w:numId="572">
    <w:abstractNumId w:val="1348"/>
  </w:num>
  <w:num w:numId="573">
    <w:abstractNumId w:val="1774"/>
  </w:num>
  <w:num w:numId="574">
    <w:abstractNumId w:val="1454"/>
  </w:num>
  <w:num w:numId="575">
    <w:abstractNumId w:val="931"/>
  </w:num>
  <w:num w:numId="576">
    <w:abstractNumId w:val="319"/>
  </w:num>
  <w:num w:numId="577">
    <w:abstractNumId w:val="1498"/>
  </w:num>
  <w:num w:numId="578">
    <w:abstractNumId w:val="225"/>
  </w:num>
  <w:num w:numId="579">
    <w:abstractNumId w:val="1738"/>
  </w:num>
  <w:num w:numId="580">
    <w:abstractNumId w:val="570"/>
  </w:num>
  <w:num w:numId="581">
    <w:abstractNumId w:val="468"/>
  </w:num>
  <w:num w:numId="582">
    <w:abstractNumId w:val="422"/>
  </w:num>
  <w:num w:numId="583">
    <w:abstractNumId w:val="1260"/>
  </w:num>
  <w:num w:numId="584">
    <w:abstractNumId w:val="461"/>
  </w:num>
  <w:num w:numId="585">
    <w:abstractNumId w:val="1632"/>
  </w:num>
  <w:num w:numId="586">
    <w:abstractNumId w:val="1042"/>
  </w:num>
  <w:num w:numId="587">
    <w:abstractNumId w:val="446"/>
  </w:num>
  <w:num w:numId="588">
    <w:abstractNumId w:val="129"/>
  </w:num>
  <w:num w:numId="589">
    <w:abstractNumId w:val="912"/>
  </w:num>
  <w:num w:numId="590">
    <w:abstractNumId w:val="243"/>
  </w:num>
  <w:num w:numId="591">
    <w:abstractNumId w:val="352"/>
  </w:num>
  <w:num w:numId="592">
    <w:abstractNumId w:val="1519"/>
  </w:num>
  <w:num w:numId="593">
    <w:abstractNumId w:val="1617"/>
  </w:num>
  <w:num w:numId="594">
    <w:abstractNumId w:val="1909"/>
  </w:num>
  <w:num w:numId="595">
    <w:abstractNumId w:val="1291"/>
  </w:num>
  <w:num w:numId="596">
    <w:abstractNumId w:val="1085"/>
  </w:num>
  <w:num w:numId="597">
    <w:abstractNumId w:val="1393"/>
  </w:num>
  <w:num w:numId="598">
    <w:abstractNumId w:val="1027"/>
  </w:num>
  <w:num w:numId="599">
    <w:abstractNumId w:val="1808"/>
  </w:num>
  <w:num w:numId="600">
    <w:abstractNumId w:val="772"/>
  </w:num>
  <w:num w:numId="601">
    <w:abstractNumId w:val="1765"/>
  </w:num>
  <w:num w:numId="602">
    <w:abstractNumId w:val="944"/>
  </w:num>
  <w:num w:numId="603">
    <w:abstractNumId w:val="1692"/>
  </w:num>
  <w:num w:numId="604">
    <w:abstractNumId w:val="1643"/>
  </w:num>
  <w:num w:numId="605">
    <w:abstractNumId w:val="1286"/>
  </w:num>
  <w:num w:numId="606">
    <w:abstractNumId w:val="1061"/>
  </w:num>
  <w:num w:numId="607">
    <w:abstractNumId w:val="1150"/>
  </w:num>
  <w:num w:numId="608">
    <w:abstractNumId w:val="1731"/>
  </w:num>
  <w:num w:numId="609">
    <w:abstractNumId w:val="638"/>
  </w:num>
  <w:num w:numId="610">
    <w:abstractNumId w:val="205"/>
  </w:num>
  <w:num w:numId="611">
    <w:abstractNumId w:val="250"/>
  </w:num>
  <w:num w:numId="612">
    <w:abstractNumId w:val="269"/>
  </w:num>
  <w:num w:numId="613">
    <w:abstractNumId w:val="1453"/>
  </w:num>
  <w:num w:numId="614">
    <w:abstractNumId w:val="536"/>
  </w:num>
  <w:num w:numId="615">
    <w:abstractNumId w:val="161"/>
  </w:num>
  <w:num w:numId="616">
    <w:abstractNumId w:val="455"/>
  </w:num>
  <w:num w:numId="617">
    <w:abstractNumId w:val="1878"/>
  </w:num>
  <w:num w:numId="618">
    <w:abstractNumId w:val="1768"/>
  </w:num>
  <w:num w:numId="619">
    <w:abstractNumId w:val="1694"/>
  </w:num>
  <w:num w:numId="620">
    <w:abstractNumId w:val="1889"/>
  </w:num>
  <w:num w:numId="621">
    <w:abstractNumId w:val="300"/>
  </w:num>
  <w:num w:numId="622">
    <w:abstractNumId w:val="1125"/>
  </w:num>
  <w:num w:numId="623">
    <w:abstractNumId w:val="405"/>
  </w:num>
  <w:num w:numId="624">
    <w:abstractNumId w:val="1895"/>
  </w:num>
  <w:num w:numId="625">
    <w:abstractNumId w:val="1374"/>
  </w:num>
  <w:num w:numId="626">
    <w:abstractNumId w:val="611"/>
  </w:num>
  <w:num w:numId="627">
    <w:abstractNumId w:val="696"/>
  </w:num>
  <w:num w:numId="628">
    <w:abstractNumId w:val="586"/>
  </w:num>
  <w:num w:numId="629">
    <w:abstractNumId w:val="579"/>
  </w:num>
  <w:num w:numId="630">
    <w:abstractNumId w:val="1881"/>
  </w:num>
  <w:num w:numId="631">
    <w:abstractNumId w:val="1046"/>
  </w:num>
  <w:num w:numId="632">
    <w:abstractNumId w:val="1781"/>
  </w:num>
  <w:num w:numId="633">
    <w:abstractNumId w:val="1511"/>
  </w:num>
  <w:num w:numId="634">
    <w:abstractNumId w:val="15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737"/>
  </w:num>
  <w:num w:numId="636">
    <w:abstractNumId w:val="179"/>
  </w:num>
  <w:num w:numId="637">
    <w:abstractNumId w:val="1747"/>
  </w:num>
  <w:num w:numId="638">
    <w:abstractNumId w:val="1262"/>
  </w:num>
  <w:num w:numId="639">
    <w:abstractNumId w:val="1705"/>
  </w:num>
  <w:num w:numId="640">
    <w:abstractNumId w:val="1705"/>
    <w:lvlOverride w:ilvl="0"/>
    <w:lvlOverride w:ilvl="1"/>
    <w:lvlOverride w:ilvl="2"/>
    <w:lvlOverride w:ilvl="3"/>
    <w:lvlOverride w:ilvl="4"/>
    <w:lvlOverride w:ilvl="5"/>
    <w:lvlOverride w:ilvl="6"/>
    <w:lvlOverride w:ilvl="7"/>
    <w:lvlOverride w:ilvl="8"/>
  </w:num>
  <w:num w:numId="641">
    <w:abstractNumId w:val="987"/>
  </w:num>
  <w:num w:numId="642">
    <w:abstractNumId w:val="747"/>
  </w:num>
  <w:num w:numId="643">
    <w:abstractNumId w:val="1788"/>
  </w:num>
  <w:num w:numId="644">
    <w:abstractNumId w:val="613"/>
  </w:num>
  <w:num w:numId="645">
    <w:abstractNumId w:val="1571"/>
  </w:num>
  <w:num w:numId="646">
    <w:abstractNumId w:val="495"/>
  </w:num>
  <w:num w:numId="647">
    <w:abstractNumId w:val="1074"/>
  </w:num>
  <w:num w:numId="648">
    <w:abstractNumId w:val="852"/>
  </w:num>
  <w:num w:numId="649">
    <w:abstractNumId w:val="1227"/>
  </w:num>
  <w:num w:numId="650">
    <w:abstractNumId w:val="194"/>
  </w:num>
  <w:num w:numId="651">
    <w:abstractNumId w:val="445"/>
  </w:num>
  <w:num w:numId="652">
    <w:abstractNumId w:val="568"/>
  </w:num>
  <w:num w:numId="653">
    <w:abstractNumId w:val="1723"/>
  </w:num>
  <w:num w:numId="654">
    <w:abstractNumId w:val="458"/>
  </w:num>
  <w:num w:numId="655">
    <w:abstractNumId w:val="1604"/>
  </w:num>
  <w:num w:numId="656">
    <w:abstractNumId w:val="602"/>
  </w:num>
  <w:num w:numId="657">
    <w:abstractNumId w:val="521"/>
  </w:num>
  <w:num w:numId="658">
    <w:abstractNumId w:val="1870"/>
  </w:num>
  <w:num w:numId="659">
    <w:abstractNumId w:val="736"/>
  </w:num>
  <w:num w:numId="660">
    <w:abstractNumId w:val="1343"/>
  </w:num>
  <w:num w:numId="661">
    <w:abstractNumId w:val="420"/>
  </w:num>
  <w:num w:numId="662">
    <w:abstractNumId w:val="1294"/>
  </w:num>
  <w:num w:numId="663">
    <w:abstractNumId w:val="1380"/>
  </w:num>
  <w:num w:numId="664">
    <w:abstractNumId w:val="117"/>
  </w:num>
  <w:num w:numId="665">
    <w:abstractNumId w:val="1898"/>
  </w:num>
  <w:num w:numId="666">
    <w:abstractNumId w:val="919"/>
  </w:num>
  <w:num w:numId="667">
    <w:abstractNumId w:val="1512"/>
  </w:num>
  <w:num w:numId="668">
    <w:abstractNumId w:val="1342"/>
  </w:num>
  <w:num w:numId="669">
    <w:abstractNumId w:val="881"/>
  </w:num>
  <w:num w:numId="670">
    <w:abstractNumId w:val="619"/>
  </w:num>
  <w:num w:numId="671">
    <w:abstractNumId w:val="1884"/>
  </w:num>
  <w:num w:numId="672">
    <w:abstractNumId w:val="160"/>
  </w:num>
  <w:num w:numId="673">
    <w:abstractNumId w:val="1899"/>
  </w:num>
  <w:num w:numId="674">
    <w:abstractNumId w:val="54"/>
  </w:num>
  <w:num w:numId="675">
    <w:abstractNumId w:val="592"/>
  </w:num>
  <w:num w:numId="676">
    <w:abstractNumId w:val="685"/>
  </w:num>
  <w:num w:numId="677">
    <w:abstractNumId w:val="899"/>
  </w:num>
  <w:num w:numId="678">
    <w:abstractNumId w:val="1729"/>
  </w:num>
  <w:num w:numId="679">
    <w:abstractNumId w:val="457"/>
  </w:num>
  <w:num w:numId="680">
    <w:abstractNumId w:val="1426"/>
  </w:num>
  <w:num w:numId="681">
    <w:abstractNumId w:val="1505"/>
  </w:num>
  <w:num w:numId="682">
    <w:abstractNumId w:val="75"/>
  </w:num>
  <w:num w:numId="683">
    <w:abstractNumId w:val="482"/>
  </w:num>
  <w:num w:numId="684">
    <w:abstractNumId w:val="1019"/>
  </w:num>
  <w:num w:numId="685">
    <w:abstractNumId w:val="1439"/>
  </w:num>
  <w:num w:numId="686">
    <w:abstractNumId w:val="1172"/>
  </w:num>
  <w:num w:numId="687">
    <w:abstractNumId w:val="1672"/>
  </w:num>
  <w:num w:numId="688">
    <w:abstractNumId w:val="1039"/>
  </w:num>
  <w:num w:numId="689">
    <w:abstractNumId w:val="654"/>
  </w:num>
  <w:num w:numId="690">
    <w:abstractNumId w:val="1138"/>
  </w:num>
  <w:num w:numId="691">
    <w:abstractNumId w:val="1176"/>
  </w:num>
  <w:num w:numId="692">
    <w:abstractNumId w:val="398"/>
  </w:num>
  <w:num w:numId="693">
    <w:abstractNumId w:val="1597"/>
  </w:num>
  <w:num w:numId="694">
    <w:abstractNumId w:val="1001"/>
  </w:num>
  <w:num w:numId="695">
    <w:abstractNumId w:val="441"/>
  </w:num>
  <w:num w:numId="696">
    <w:abstractNumId w:val="462"/>
  </w:num>
  <w:num w:numId="697">
    <w:abstractNumId w:val="29"/>
  </w:num>
  <w:num w:numId="698">
    <w:abstractNumId w:val="1599"/>
  </w:num>
  <w:num w:numId="699">
    <w:abstractNumId w:val="1284"/>
  </w:num>
  <w:num w:numId="700">
    <w:abstractNumId w:val="1490"/>
  </w:num>
  <w:num w:numId="701">
    <w:abstractNumId w:val="656"/>
  </w:num>
  <w:num w:numId="702">
    <w:abstractNumId w:val="887"/>
  </w:num>
  <w:num w:numId="703">
    <w:abstractNumId w:val="1736"/>
  </w:num>
  <w:num w:numId="704">
    <w:abstractNumId w:val="1820"/>
  </w:num>
  <w:num w:numId="705">
    <w:abstractNumId w:val="1455"/>
  </w:num>
  <w:num w:numId="706">
    <w:abstractNumId w:val="76"/>
  </w:num>
  <w:num w:numId="707">
    <w:abstractNumId w:val="344"/>
  </w:num>
  <w:num w:numId="708">
    <w:abstractNumId w:val="1037"/>
  </w:num>
  <w:num w:numId="709">
    <w:abstractNumId w:val="438"/>
  </w:num>
  <w:num w:numId="710">
    <w:abstractNumId w:val="53"/>
  </w:num>
  <w:num w:numId="711">
    <w:abstractNumId w:val="769"/>
  </w:num>
  <w:num w:numId="712">
    <w:abstractNumId w:val="1790"/>
  </w:num>
  <w:num w:numId="713">
    <w:abstractNumId w:val="211"/>
  </w:num>
  <w:num w:numId="714">
    <w:abstractNumId w:val="998"/>
  </w:num>
  <w:num w:numId="715">
    <w:abstractNumId w:val="556"/>
  </w:num>
  <w:num w:numId="716">
    <w:abstractNumId w:val="918"/>
  </w:num>
  <w:num w:numId="717">
    <w:abstractNumId w:val="644"/>
  </w:num>
  <w:num w:numId="718">
    <w:abstractNumId w:val="1626"/>
  </w:num>
  <w:num w:numId="719">
    <w:abstractNumId w:val="843"/>
  </w:num>
  <w:num w:numId="720">
    <w:abstractNumId w:val="94"/>
  </w:num>
  <w:num w:numId="721">
    <w:abstractNumId w:val="138"/>
  </w:num>
  <w:num w:numId="722">
    <w:abstractNumId w:val="1629"/>
  </w:num>
  <w:num w:numId="723">
    <w:abstractNumId w:val="1089"/>
  </w:num>
  <w:num w:numId="724">
    <w:abstractNumId w:val="1538"/>
  </w:num>
  <w:num w:numId="725">
    <w:abstractNumId w:val="940"/>
  </w:num>
  <w:num w:numId="726">
    <w:abstractNumId w:val="1888"/>
  </w:num>
  <w:num w:numId="727">
    <w:abstractNumId w:val="107"/>
  </w:num>
  <w:num w:numId="728">
    <w:abstractNumId w:val="1901"/>
  </w:num>
  <w:num w:numId="729">
    <w:abstractNumId w:val="1223"/>
  </w:num>
  <w:num w:numId="730">
    <w:abstractNumId w:val="940"/>
    <w:lvlOverride w:ilvl="0">
      <w:startOverride w:val="1"/>
    </w:lvlOverride>
  </w:num>
  <w:num w:numId="731">
    <w:abstractNumId w:val="810"/>
  </w:num>
  <w:num w:numId="732">
    <w:abstractNumId w:val="410"/>
  </w:num>
  <w:num w:numId="733">
    <w:abstractNumId w:val="821"/>
  </w:num>
  <w:num w:numId="734">
    <w:abstractNumId w:val="1128"/>
  </w:num>
  <w:num w:numId="735">
    <w:abstractNumId w:val="890"/>
  </w:num>
  <w:num w:numId="736">
    <w:abstractNumId w:val="1163"/>
  </w:num>
  <w:num w:numId="737">
    <w:abstractNumId w:val="121"/>
  </w:num>
  <w:num w:numId="738">
    <w:abstractNumId w:val="1709"/>
  </w:num>
  <w:num w:numId="739">
    <w:abstractNumId w:val="948"/>
  </w:num>
  <w:num w:numId="740">
    <w:abstractNumId w:val="1616"/>
  </w:num>
  <w:num w:numId="741">
    <w:abstractNumId w:val="737"/>
  </w:num>
  <w:num w:numId="742">
    <w:abstractNumId w:val="359"/>
  </w:num>
  <w:num w:numId="743">
    <w:abstractNumId w:val="1005"/>
  </w:num>
  <w:num w:numId="744">
    <w:abstractNumId w:val="1201"/>
  </w:num>
  <w:num w:numId="745">
    <w:abstractNumId w:val="192"/>
  </w:num>
  <w:num w:numId="746">
    <w:abstractNumId w:val="146"/>
  </w:num>
  <w:num w:numId="747">
    <w:abstractNumId w:val="155"/>
  </w:num>
  <w:num w:numId="748">
    <w:abstractNumId w:val="217"/>
  </w:num>
  <w:num w:numId="749">
    <w:abstractNumId w:val="91"/>
  </w:num>
  <w:num w:numId="750">
    <w:abstractNumId w:val="1282"/>
  </w:num>
  <w:num w:numId="751">
    <w:abstractNumId w:val="1062"/>
  </w:num>
  <w:num w:numId="752">
    <w:abstractNumId w:val="481"/>
  </w:num>
  <w:num w:numId="753">
    <w:abstractNumId w:val="1850"/>
  </w:num>
  <w:num w:numId="754">
    <w:abstractNumId w:val="26"/>
  </w:num>
  <w:num w:numId="755">
    <w:abstractNumId w:val="26"/>
    <w:lvlOverride w:ilvl="0">
      <w:lvl w:ilvl="0">
        <w:start w:val="2"/>
        <w:numFmt w:val="decimal"/>
        <w:lvlText w:val="%1)"/>
        <w:legacy w:legacy="1" w:legacySpace="0" w:legacyIndent="360"/>
        <w:lvlJc w:val="left"/>
        <w:pPr>
          <w:ind w:left="360" w:hanging="360"/>
        </w:pPr>
      </w:lvl>
    </w:lvlOverride>
  </w:num>
  <w:num w:numId="756">
    <w:abstractNumId w:val="11"/>
    <w:lvlOverride w:ilvl="0">
      <w:lvl w:ilvl="0">
        <w:numFmt w:val="bullet"/>
        <w:lvlText w:val="-"/>
        <w:legacy w:legacy="1" w:legacySpace="0" w:legacyIndent="360"/>
        <w:lvlJc w:val="left"/>
        <w:pPr>
          <w:ind w:left="360" w:hanging="360"/>
        </w:pPr>
      </w:lvl>
    </w:lvlOverride>
  </w:num>
  <w:num w:numId="757">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1"/>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1610"/>
  </w:num>
  <w:num w:numId="762">
    <w:abstractNumId w:val="1610"/>
    <w:lvlOverride w:ilvl="0">
      <w:lvl w:ilvl="0">
        <w:start w:val="2"/>
        <w:numFmt w:val="decimal"/>
        <w:lvlText w:val="%1)"/>
        <w:legacy w:legacy="1" w:legacySpace="0" w:legacyIndent="360"/>
        <w:lvlJc w:val="left"/>
        <w:pPr>
          <w:ind w:left="360" w:hanging="360"/>
        </w:pPr>
      </w:lvl>
    </w:lvlOverride>
  </w:num>
  <w:num w:numId="763">
    <w:abstractNumId w:val="116"/>
  </w:num>
  <w:num w:numId="764">
    <w:abstractNumId w:val="1700"/>
  </w:num>
  <w:num w:numId="765">
    <w:abstractNumId w:val="1451"/>
  </w:num>
  <w:num w:numId="766">
    <w:abstractNumId w:val="1777"/>
  </w:num>
  <w:num w:numId="767">
    <w:abstractNumId w:val="525"/>
  </w:num>
  <w:num w:numId="768">
    <w:abstractNumId w:val="1298"/>
  </w:num>
  <w:num w:numId="769">
    <w:abstractNumId w:val="1508"/>
  </w:num>
  <w:num w:numId="770">
    <w:abstractNumId w:val="1356"/>
  </w:num>
  <w:num w:numId="771">
    <w:abstractNumId w:val="816"/>
  </w:num>
  <w:num w:numId="772">
    <w:abstractNumId w:val="868"/>
  </w:num>
  <w:num w:numId="773">
    <w:abstractNumId w:val="163"/>
  </w:num>
  <w:num w:numId="774">
    <w:abstractNumId w:val="1787"/>
  </w:num>
  <w:num w:numId="775">
    <w:abstractNumId w:val="1561"/>
  </w:num>
  <w:num w:numId="776">
    <w:abstractNumId w:val="1592"/>
  </w:num>
  <w:num w:numId="777">
    <w:abstractNumId w:val="1478"/>
  </w:num>
  <w:num w:numId="778">
    <w:abstractNumId w:val="460"/>
  </w:num>
  <w:num w:numId="779">
    <w:abstractNumId w:val="781"/>
  </w:num>
  <w:num w:numId="780">
    <w:abstractNumId w:val="1565"/>
  </w:num>
  <w:num w:numId="781">
    <w:abstractNumId w:val="1683"/>
  </w:num>
  <w:num w:numId="782">
    <w:abstractNumId w:val="509"/>
  </w:num>
  <w:num w:numId="783">
    <w:abstractNumId w:val="480"/>
  </w:num>
  <w:num w:numId="784">
    <w:abstractNumId w:val="1501"/>
  </w:num>
  <w:num w:numId="785">
    <w:abstractNumId w:val="466"/>
  </w:num>
  <w:num w:numId="786">
    <w:abstractNumId w:val="1268"/>
  </w:num>
  <w:num w:numId="787">
    <w:abstractNumId w:val="471"/>
  </w:num>
  <w:num w:numId="788">
    <w:abstractNumId w:val="1814"/>
  </w:num>
  <w:num w:numId="789">
    <w:abstractNumId w:val="886"/>
  </w:num>
  <w:num w:numId="790">
    <w:abstractNumId w:val="666"/>
  </w:num>
  <w:num w:numId="791">
    <w:abstractNumId w:val="943"/>
  </w:num>
  <w:num w:numId="792">
    <w:abstractNumId w:val="939"/>
  </w:num>
  <w:num w:numId="793">
    <w:abstractNumId w:val="1073"/>
  </w:num>
  <w:num w:numId="794">
    <w:abstractNumId w:val="891"/>
  </w:num>
  <w:num w:numId="795">
    <w:abstractNumId w:val="390"/>
  </w:num>
  <w:num w:numId="796">
    <w:abstractNumId w:val="975"/>
  </w:num>
  <w:num w:numId="797">
    <w:abstractNumId w:val="1345"/>
  </w:num>
  <w:num w:numId="798">
    <w:abstractNumId w:val="1096"/>
  </w:num>
  <w:num w:numId="799">
    <w:abstractNumId w:val="625"/>
  </w:num>
  <w:num w:numId="800">
    <w:abstractNumId w:val="1217"/>
  </w:num>
  <w:num w:numId="801">
    <w:abstractNumId w:val="1741"/>
  </w:num>
  <w:num w:numId="802">
    <w:abstractNumId w:val="1373"/>
  </w:num>
  <w:num w:numId="803">
    <w:abstractNumId w:val="1591"/>
  </w:num>
  <w:num w:numId="804">
    <w:abstractNumId w:val="1196"/>
  </w:num>
  <w:num w:numId="805">
    <w:abstractNumId w:val="504"/>
  </w:num>
  <w:num w:numId="806">
    <w:abstractNumId w:val="465"/>
  </w:num>
  <w:num w:numId="807">
    <w:abstractNumId w:val="643"/>
  </w:num>
  <w:num w:numId="808">
    <w:abstractNumId w:val="762"/>
  </w:num>
  <w:num w:numId="809">
    <w:abstractNumId w:val="230"/>
  </w:num>
  <w:num w:numId="810">
    <w:abstractNumId w:val="369"/>
  </w:num>
  <w:num w:numId="811">
    <w:abstractNumId w:val="1195"/>
  </w:num>
  <w:num w:numId="812">
    <w:abstractNumId w:val="1326"/>
  </w:num>
  <w:num w:numId="813">
    <w:abstractNumId w:val="838"/>
  </w:num>
  <w:num w:numId="814">
    <w:abstractNumId w:val="1307"/>
  </w:num>
  <w:num w:numId="815">
    <w:abstractNumId w:val="797"/>
  </w:num>
  <w:num w:numId="816">
    <w:abstractNumId w:val="506"/>
  </w:num>
  <w:num w:numId="817">
    <w:abstractNumId w:val="658"/>
  </w:num>
  <w:num w:numId="818">
    <w:abstractNumId w:val="275"/>
  </w:num>
  <w:num w:numId="819">
    <w:abstractNumId w:val="941"/>
  </w:num>
  <w:num w:numId="820">
    <w:abstractNumId w:val="1000"/>
  </w:num>
  <w:num w:numId="821">
    <w:abstractNumId w:val="1437"/>
  </w:num>
  <w:num w:numId="822">
    <w:abstractNumId w:val="277"/>
  </w:num>
  <w:num w:numId="823">
    <w:abstractNumId w:val="1331"/>
  </w:num>
  <w:num w:numId="824">
    <w:abstractNumId w:val="1812"/>
  </w:num>
  <w:num w:numId="825">
    <w:abstractNumId w:val="1601"/>
  </w:num>
  <w:num w:numId="826">
    <w:abstractNumId w:val="1433"/>
  </w:num>
  <w:num w:numId="827">
    <w:abstractNumId w:val="880"/>
  </w:num>
  <w:num w:numId="828">
    <w:abstractNumId w:val="1071"/>
  </w:num>
  <w:num w:numId="829">
    <w:abstractNumId w:val="598"/>
  </w:num>
  <w:num w:numId="830">
    <w:abstractNumId w:val="1006"/>
  </w:num>
  <w:num w:numId="831">
    <w:abstractNumId w:val="660"/>
  </w:num>
  <w:num w:numId="832">
    <w:abstractNumId w:val="1239"/>
  </w:num>
  <w:num w:numId="833">
    <w:abstractNumId w:val="1142"/>
  </w:num>
  <w:num w:numId="834">
    <w:abstractNumId w:val="806"/>
  </w:num>
  <w:num w:numId="835">
    <w:abstractNumId w:val="1675"/>
  </w:num>
  <w:num w:numId="836">
    <w:abstractNumId w:val="1300"/>
  </w:num>
  <w:num w:numId="837">
    <w:abstractNumId w:val="1707"/>
  </w:num>
  <w:num w:numId="838">
    <w:abstractNumId w:val="1891"/>
  </w:num>
  <w:num w:numId="839">
    <w:abstractNumId w:val="1485"/>
  </w:num>
  <w:num w:numId="840">
    <w:abstractNumId w:val="496"/>
  </w:num>
  <w:num w:numId="841">
    <w:abstractNumId w:val="351"/>
  </w:num>
  <w:num w:numId="842">
    <w:abstractNumId w:val="1735"/>
  </w:num>
  <w:num w:numId="843">
    <w:abstractNumId w:val="1319"/>
  </w:num>
  <w:num w:numId="844">
    <w:abstractNumId w:val="759"/>
  </w:num>
  <w:num w:numId="845">
    <w:abstractNumId w:val="1605"/>
  </w:num>
  <w:num w:numId="846">
    <w:abstractNumId w:val="65"/>
  </w:num>
  <w:num w:numId="847">
    <w:abstractNumId w:val="734"/>
  </w:num>
  <w:num w:numId="848">
    <w:abstractNumId w:val="1308"/>
  </w:num>
  <w:num w:numId="849">
    <w:abstractNumId w:val="1143"/>
  </w:num>
  <w:num w:numId="850">
    <w:abstractNumId w:val="704"/>
  </w:num>
  <w:num w:numId="851">
    <w:abstractNumId w:val="1072"/>
  </w:num>
  <w:num w:numId="852">
    <w:abstractNumId w:val="884"/>
  </w:num>
  <w:num w:numId="853">
    <w:abstractNumId w:val="321"/>
  </w:num>
  <w:num w:numId="854">
    <w:abstractNumId w:val="864"/>
  </w:num>
  <w:num w:numId="855">
    <w:abstractNumId w:val="1311"/>
  </w:num>
  <w:num w:numId="856">
    <w:abstractNumId w:val="39"/>
  </w:num>
  <w:num w:numId="857">
    <w:abstractNumId w:val="604"/>
  </w:num>
  <w:num w:numId="858">
    <w:abstractNumId w:val="201"/>
  </w:num>
  <w:num w:numId="859">
    <w:abstractNumId w:val="287"/>
  </w:num>
  <w:num w:numId="860">
    <w:abstractNumId w:val="1852"/>
  </w:num>
  <w:num w:numId="861">
    <w:abstractNumId w:val="1340"/>
  </w:num>
  <w:num w:numId="862">
    <w:abstractNumId w:val="530"/>
  </w:num>
  <w:num w:numId="863">
    <w:abstractNumId w:val="1075"/>
  </w:num>
  <w:num w:numId="864">
    <w:abstractNumId w:val="1375"/>
  </w:num>
  <w:num w:numId="865">
    <w:abstractNumId w:val="1376"/>
  </w:num>
  <w:num w:numId="866">
    <w:abstractNumId w:val="1528"/>
  </w:num>
  <w:num w:numId="867">
    <w:abstractNumId w:val="1762"/>
  </w:num>
  <w:num w:numId="868">
    <w:abstractNumId w:val="1827"/>
  </w:num>
  <w:num w:numId="869">
    <w:abstractNumId w:val="1325"/>
  </w:num>
  <w:num w:numId="870">
    <w:abstractNumId w:val="1739"/>
  </w:num>
  <w:num w:numId="871">
    <w:abstractNumId w:val="222"/>
  </w:num>
  <w:num w:numId="872">
    <w:abstractNumId w:val="923"/>
  </w:num>
  <w:num w:numId="873">
    <w:abstractNumId w:val="555"/>
  </w:num>
  <w:num w:numId="874">
    <w:abstractNumId w:val="1416"/>
  </w:num>
  <w:num w:numId="875">
    <w:abstractNumId w:val="1653"/>
  </w:num>
  <w:num w:numId="876">
    <w:abstractNumId w:val="689"/>
  </w:num>
  <w:num w:numId="877">
    <w:abstractNumId w:val="1634"/>
  </w:num>
  <w:num w:numId="878">
    <w:abstractNumId w:val="1177"/>
  </w:num>
  <w:num w:numId="879">
    <w:abstractNumId w:val="364"/>
  </w:num>
  <w:num w:numId="880">
    <w:abstractNumId w:val="618"/>
  </w:num>
  <w:num w:numId="881">
    <w:abstractNumId w:val="1370"/>
  </w:num>
  <w:num w:numId="882">
    <w:abstractNumId w:val="50"/>
  </w:num>
  <w:num w:numId="883">
    <w:abstractNumId w:val="21"/>
  </w:num>
  <w:num w:numId="884">
    <w:abstractNumId w:val="834"/>
  </w:num>
  <w:num w:numId="885">
    <w:abstractNumId w:val="1086"/>
  </w:num>
  <w:num w:numId="886">
    <w:abstractNumId w:val="23"/>
  </w:num>
  <w:num w:numId="887">
    <w:abstractNumId w:val="1644"/>
  </w:num>
  <w:num w:numId="888">
    <w:abstractNumId w:val="1593"/>
  </w:num>
  <w:num w:numId="889">
    <w:abstractNumId w:val="1228"/>
  </w:num>
  <w:num w:numId="890">
    <w:abstractNumId w:val="608"/>
  </w:num>
  <w:num w:numId="891">
    <w:abstractNumId w:val="153"/>
  </w:num>
  <w:num w:numId="892">
    <w:abstractNumId w:val="1420"/>
  </w:num>
  <w:num w:numId="893">
    <w:abstractNumId w:val="1103"/>
  </w:num>
  <w:num w:numId="894">
    <w:abstractNumId w:val="1098"/>
  </w:num>
  <w:num w:numId="895">
    <w:abstractNumId w:val="490"/>
  </w:num>
  <w:num w:numId="896">
    <w:abstractNumId w:val="1327"/>
  </w:num>
  <w:num w:numId="897">
    <w:abstractNumId w:val="34"/>
  </w:num>
  <w:num w:numId="898">
    <w:abstractNumId w:val="1151"/>
  </w:num>
  <w:num w:numId="899">
    <w:abstractNumId w:val="622"/>
  </w:num>
  <w:num w:numId="900">
    <w:abstractNumId w:val="1573"/>
  </w:num>
  <w:num w:numId="901">
    <w:abstractNumId w:val="1258"/>
  </w:num>
  <w:num w:numId="902">
    <w:abstractNumId w:val="258"/>
  </w:num>
  <w:num w:numId="903">
    <w:abstractNumId w:val="807"/>
  </w:num>
  <w:num w:numId="904">
    <w:abstractNumId w:val="1809"/>
  </w:num>
  <w:num w:numId="905">
    <w:abstractNumId w:val="957"/>
  </w:num>
  <w:num w:numId="906">
    <w:abstractNumId w:val="1136"/>
  </w:num>
  <w:num w:numId="907">
    <w:abstractNumId w:val="235"/>
  </w:num>
  <w:num w:numId="908">
    <w:abstractNumId w:val="582"/>
  </w:num>
  <w:num w:numId="909">
    <w:abstractNumId w:val="1283"/>
  </w:num>
  <w:num w:numId="910">
    <w:abstractNumId w:val="1849"/>
  </w:num>
  <w:num w:numId="911">
    <w:abstractNumId w:val="40"/>
  </w:num>
  <w:num w:numId="912">
    <w:abstractNumId w:val="1352"/>
  </w:num>
  <w:num w:numId="913">
    <w:abstractNumId w:val="1395"/>
  </w:num>
  <w:num w:numId="914">
    <w:abstractNumId w:val="921"/>
  </w:num>
  <w:num w:numId="915">
    <w:abstractNumId w:val="695"/>
  </w:num>
  <w:num w:numId="916">
    <w:abstractNumId w:val="964"/>
  </w:num>
  <w:num w:numId="917">
    <w:abstractNumId w:val="370"/>
  </w:num>
  <w:num w:numId="918">
    <w:abstractNumId w:val="1695"/>
  </w:num>
  <w:num w:numId="919">
    <w:abstractNumId w:val="1154"/>
  </w:num>
  <w:num w:numId="920">
    <w:abstractNumId w:val="246"/>
  </w:num>
  <w:num w:numId="921">
    <w:abstractNumId w:val="12"/>
  </w:num>
  <w:num w:numId="922">
    <w:abstractNumId w:val="463"/>
  </w:num>
  <w:num w:numId="923">
    <w:abstractNumId w:val="1277"/>
  </w:num>
  <w:num w:numId="924">
    <w:abstractNumId w:val="1725"/>
  </w:num>
  <w:num w:numId="925">
    <w:abstractNumId w:val="1896"/>
  </w:num>
  <w:num w:numId="926">
    <w:abstractNumId w:val="711"/>
  </w:num>
  <w:num w:numId="927">
    <w:abstractNumId w:val="1017"/>
  </w:num>
  <w:num w:numId="928">
    <w:abstractNumId w:val="926"/>
  </w:num>
  <w:num w:numId="929">
    <w:abstractNumId w:val="932"/>
  </w:num>
  <w:num w:numId="930">
    <w:abstractNumId w:val="883"/>
  </w:num>
  <w:num w:numId="931">
    <w:abstractNumId w:val="1117"/>
  </w:num>
  <w:num w:numId="932">
    <w:abstractNumId w:val="740"/>
  </w:num>
  <w:num w:numId="933">
    <w:abstractNumId w:val="720"/>
  </w:num>
  <w:num w:numId="934">
    <w:abstractNumId w:val="1447"/>
  </w:num>
  <w:num w:numId="935">
    <w:abstractNumId w:val="1369"/>
  </w:num>
  <w:num w:numId="936">
    <w:abstractNumId w:val="234"/>
  </w:num>
  <w:num w:numId="937">
    <w:abstractNumId w:val="1489"/>
  </w:num>
  <w:num w:numId="938">
    <w:abstractNumId w:val="226"/>
  </w:num>
  <w:num w:numId="939">
    <w:abstractNumId w:val="11"/>
    <w:lvlOverride w:ilvl="0">
      <w:lvl w:ilvl="0">
        <w:numFmt w:val="bullet"/>
        <w:lvlText w:val=""/>
        <w:legacy w:legacy="1" w:legacySpace="0" w:legacyIndent="360"/>
        <w:lvlJc w:val="left"/>
        <w:rPr>
          <w:rFonts w:ascii="Symbol" w:hAnsi="Symbol" w:cs="Symbol" w:hint="default"/>
        </w:rPr>
      </w:lvl>
    </w:lvlOverride>
  </w:num>
  <w:num w:numId="940">
    <w:abstractNumId w:val="1841"/>
  </w:num>
  <w:num w:numId="941">
    <w:abstractNumId w:val="387"/>
  </w:num>
  <w:num w:numId="942">
    <w:abstractNumId w:val="252"/>
  </w:num>
  <w:num w:numId="943">
    <w:abstractNumId w:val="1539"/>
  </w:num>
  <w:num w:numId="944">
    <w:abstractNumId w:val="503"/>
  </w:num>
  <w:num w:numId="945">
    <w:abstractNumId w:val="1274"/>
  </w:num>
  <w:num w:numId="946">
    <w:abstractNumId w:val="149"/>
  </w:num>
  <w:num w:numId="947">
    <w:abstractNumId w:val="85"/>
  </w:num>
  <w:num w:numId="948">
    <w:abstractNumId w:val="836"/>
  </w:num>
  <w:num w:numId="949">
    <w:abstractNumId w:val="1882"/>
  </w:num>
  <w:num w:numId="950">
    <w:abstractNumId w:val="118"/>
  </w:num>
  <w:num w:numId="951">
    <w:abstractNumId w:val="190"/>
    <w:lvlOverride w:ilvl="0">
      <w:startOverride w:val="1"/>
    </w:lvlOverride>
  </w:num>
  <w:num w:numId="952">
    <w:abstractNumId w:val="1818"/>
  </w:num>
  <w:num w:numId="953">
    <w:abstractNumId w:val="1208"/>
  </w:num>
  <w:num w:numId="954">
    <w:abstractNumId w:val="338"/>
  </w:num>
  <w:num w:numId="955">
    <w:abstractNumId w:val="11"/>
    <w:lvlOverride w:ilvl="0">
      <w:lvl w:ilvl="0">
        <w:numFmt w:val="bullet"/>
        <w:lvlText w:val=""/>
        <w:legacy w:legacy="1" w:legacySpace="0" w:legacyIndent="360"/>
        <w:lvlJc w:val="left"/>
        <w:rPr>
          <w:rFonts w:ascii="Symbol" w:hAnsi="Symbol" w:hint="default"/>
        </w:rPr>
      </w:lvl>
    </w:lvlOverride>
  </w:num>
  <w:num w:numId="956">
    <w:abstractNumId w:val="1312"/>
  </w:num>
  <w:num w:numId="957">
    <w:abstractNumId w:val="697"/>
  </w:num>
  <w:num w:numId="958">
    <w:abstractNumId w:val="1361"/>
  </w:num>
  <w:num w:numId="959">
    <w:abstractNumId w:val="66"/>
  </w:num>
  <w:num w:numId="960">
    <w:abstractNumId w:val="1024"/>
  </w:num>
  <w:num w:numId="961">
    <w:abstractNumId w:val="70"/>
  </w:num>
  <w:num w:numId="962">
    <w:abstractNumId w:val="952"/>
  </w:num>
  <w:num w:numId="963">
    <w:abstractNumId w:val="1582"/>
  </w:num>
  <w:num w:numId="964">
    <w:abstractNumId w:val="967"/>
  </w:num>
  <w:num w:numId="965">
    <w:abstractNumId w:val="956"/>
  </w:num>
  <w:num w:numId="966">
    <w:abstractNumId w:val="328"/>
  </w:num>
  <w:num w:numId="967">
    <w:abstractNumId w:val="1497"/>
  </w:num>
  <w:num w:numId="968">
    <w:abstractNumId w:val="1466"/>
  </w:num>
  <w:num w:numId="969">
    <w:abstractNumId w:val="976"/>
  </w:num>
  <w:num w:numId="970">
    <w:abstractNumId w:val="24"/>
  </w:num>
  <w:num w:numId="971">
    <w:abstractNumId w:val="1097"/>
  </w:num>
  <w:num w:numId="972">
    <w:abstractNumId w:val="1011"/>
  </w:num>
  <w:num w:numId="973">
    <w:abstractNumId w:val="992"/>
  </w:num>
  <w:num w:numId="974">
    <w:abstractNumId w:val="437"/>
  </w:num>
  <w:num w:numId="975">
    <w:abstractNumId w:val="366"/>
  </w:num>
  <w:num w:numId="976">
    <w:abstractNumId w:val="1275"/>
  </w:num>
  <w:num w:numId="977">
    <w:abstractNumId w:val="375"/>
  </w:num>
  <w:num w:numId="978">
    <w:abstractNumId w:val="683"/>
  </w:num>
  <w:num w:numId="979">
    <w:abstractNumId w:val="199"/>
  </w:num>
  <w:num w:numId="980">
    <w:abstractNumId w:val="651"/>
  </w:num>
  <w:num w:numId="981">
    <w:abstractNumId w:val="1236"/>
  </w:num>
  <w:num w:numId="982">
    <w:abstractNumId w:val="1697"/>
  </w:num>
  <w:num w:numId="983">
    <w:abstractNumId w:val="1427"/>
  </w:num>
  <w:num w:numId="984">
    <w:abstractNumId w:val="1531"/>
  </w:num>
  <w:num w:numId="985">
    <w:abstractNumId w:val="120"/>
  </w:num>
  <w:num w:numId="986">
    <w:abstractNumId w:val="386"/>
  </w:num>
  <w:num w:numId="987">
    <w:abstractNumId w:val="1803"/>
  </w:num>
  <w:num w:numId="988">
    <w:abstractNumId w:val="1246"/>
  </w:num>
  <w:num w:numId="989">
    <w:abstractNumId w:val="1316"/>
  </w:num>
  <w:num w:numId="990">
    <w:abstractNumId w:val="1587"/>
  </w:num>
  <w:num w:numId="991">
    <w:abstractNumId w:val="694"/>
  </w:num>
  <w:num w:numId="992">
    <w:abstractNumId w:val="534"/>
  </w:num>
  <w:num w:numId="993">
    <w:abstractNumId w:val="686"/>
  </w:num>
  <w:num w:numId="994">
    <w:abstractNumId w:val="580"/>
  </w:num>
  <w:num w:numId="995">
    <w:abstractNumId w:val="452"/>
  </w:num>
  <w:num w:numId="996">
    <w:abstractNumId w:val="1659"/>
  </w:num>
  <w:num w:numId="997">
    <w:abstractNumId w:val="38"/>
  </w:num>
  <w:num w:numId="998">
    <w:abstractNumId w:val="862"/>
  </w:num>
  <w:num w:numId="999">
    <w:abstractNumId w:val="148"/>
  </w:num>
  <w:num w:numId="1000">
    <w:abstractNumId w:val="139"/>
  </w:num>
  <w:num w:numId="1001">
    <w:abstractNumId w:val="724"/>
  </w:num>
  <w:num w:numId="1002">
    <w:abstractNumId w:val="1858"/>
  </w:num>
  <w:num w:numId="1003">
    <w:abstractNumId w:val="818"/>
  </w:num>
  <w:num w:numId="1004">
    <w:abstractNumId w:val="1567"/>
  </w:num>
  <w:num w:numId="1005">
    <w:abstractNumId w:val="1685"/>
  </w:num>
  <w:num w:numId="1006">
    <w:abstractNumId w:val="377"/>
  </w:num>
  <w:num w:numId="1007">
    <w:abstractNumId w:val="1269"/>
  </w:num>
  <w:num w:numId="1008">
    <w:abstractNumId w:val="771"/>
  </w:num>
  <w:num w:numId="1009">
    <w:abstractNumId w:val="1676"/>
  </w:num>
  <w:num w:numId="1010">
    <w:abstractNumId w:val="690"/>
  </w:num>
  <w:num w:numId="1011">
    <w:abstractNumId w:val="1608"/>
  </w:num>
  <w:num w:numId="1012">
    <w:abstractNumId w:val="1590"/>
  </w:num>
  <w:num w:numId="1013">
    <w:abstractNumId w:val="1743"/>
  </w:num>
  <w:num w:numId="1014">
    <w:abstractNumId w:val="788"/>
  </w:num>
  <w:num w:numId="1015">
    <w:abstractNumId w:val="41"/>
  </w:num>
  <w:num w:numId="1016">
    <w:abstractNumId w:val="1152"/>
  </w:num>
  <w:num w:numId="1017">
    <w:abstractNumId w:val="648"/>
  </w:num>
  <w:num w:numId="1018">
    <w:abstractNumId w:val="1243"/>
  </w:num>
  <w:num w:numId="1019">
    <w:abstractNumId w:val="1778"/>
  </w:num>
  <w:num w:numId="1020">
    <w:abstractNumId w:val="549"/>
  </w:num>
  <w:num w:numId="1021">
    <w:abstractNumId w:val="1362"/>
  </w:num>
  <w:num w:numId="1022">
    <w:abstractNumId w:val="1477"/>
  </w:num>
  <w:num w:numId="1023">
    <w:abstractNumId w:val="1287"/>
  </w:num>
  <w:num w:numId="1024">
    <w:abstractNumId w:val="365"/>
  </w:num>
  <w:num w:numId="1025">
    <w:abstractNumId w:val="1031"/>
  </w:num>
  <w:num w:numId="1026">
    <w:abstractNumId w:val="1847"/>
  </w:num>
  <w:num w:numId="1027">
    <w:abstractNumId w:val="1628"/>
  </w:num>
  <w:num w:numId="1028">
    <w:abstractNumId w:val="464"/>
  </w:num>
  <w:num w:numId="1029">
    <w:abstractNumId w:val="733"/>
  </w:num>
  <w:num w:numId="1030">
    <w:abstractNumId w:val="893"/>
  </w:num>
  <w:num w:numId="1031">
    <w:abstractNumId w:val="700"/>
  </w:num>
  <w:num w:numId="1032">
    <w:abstractNumId w:val="758"/>
  </w:num>
  <w:num w:numId="1033">
    <w:abstractNumId w:val="1252"/>
  </w:num>
  <w:num w:numId="1034">
    <w:abstractNumId w:val="1234"/>
  </w:num>
  <w:num w:numId="1035">
    <w:abstractNumId w:val="327"/>
  </w:num>
  <w:num w:numId="1036">
    <w:abstractNumId w:val="312"/>
  </w:num>
  <w:num w:numId="1037">
    <w:abstractNumId w:val="546"/>
  </w:num>
  <w:num w:numId="1038">
    <w:abstractNumId w:val="1562"/>
  </w:num>
  <w:num w:numId="1039">
    <w:abstractNumId w:val="1877"/>
  </w:num>
  <w:num w:numId="1040">
    <w:abstractNumId w:val="303"/>
  </w:num>
  <w:num w:numId="1041">
    <w:abstractNumId w:val="917"/>
  </w:num>
  <w:num w:numId="1042">
    <w:abstractNumId w:val="1556"/>
  </w:num>
  <w:num w:numId="1043">
    <w:abstractNumId w:val="382"/>
  </w:num>
  <w:num w:numId="1044">
    <w:abstractNumId w:val="414"/>
  </w:num>
  <w:num w:numId="1045">
    <w:abstractNumId w:val="97"/>
  </w:num>
  <w:num w:numId="1046">
    <w:abstractNumId w:val="1462"/>
  </w:num>
  <w:num w:numId="1047">
    <w:abstractNumId w:val="154"/>
  </w:num>
  <w:num w:numId="1048">
    <w:abstractNumId w:val="731"/>
  </w:num>
  <w:num w:numId="1049">
    <w:abstractNumId w:val="1525"/>
  </w:num>
  <w:num w:numId="1050">
    <w:abstractNumId w:val="895"/>
  </w:num>
  <w:num w:numId="1051">
    <w:abstractNumId w:val="794"/>
  </w:num>
  <w:num w:numId="1052">
    <w:abstractNumId w:val="691"/>
  </w:num>
  <w:num w:numId="1053">
    <w:abstractNumId w:val="1785"/>
  </w:num>
  <w:num w:numId="1054">
    <w:abstractNumId w:val="1718"/>
  </w:num>
  <w:num w:numId="1055">
    <w:abstractNumId w:val="1724"/>
  </w:num>
  <w:num w:numId="1056">
    <w:abstractNumId w:val="436"/>
  </w:num>
  <w:num w:numId="1057">
    <w:abstractNumId w:val="356"/>
  </w:num>
  <w:num w:numId="1058">
    <w:abstractNumId w:val="204"/>
  </w:num>
  <w:num w:numId="1059">
    <w:abstractNumId w:val="554"/>
  </w:num>
  <w:num w:numId="1060">
    <w:abstractNumId w:val="1679"/>
  </w:num>
  <w:num w:numId="1061">
    <w:abstractNumId w:val="1715"/>
  </w:num>
  <w:num w:numId="1062">
    <w:abstractNumId w:val="692"/>
  </w:num>
  <w:num w:numId="1063">
    <w:abstractNumId w:val="558"/>
  </w:num>
  <w:num w:numId="1064">
    <w:abstractNumId w:val="1588"/>
  </w:num>
  <w:num w:numId="1065">
    <w:abstractNumId w:val="475"/>
  </w:num>
  <w:num w:numId="1066">
    <w:abstractNumId w:val="1394"/>
  </w:num>
  <w:num w:numId="1067">
    <w:abstractNumId w:val="515"/>
  </w:num>
  <w:num w:numId="1068">
    <w:abstractNumId w:val="348"/>
  </w:num>
  <w:num w:numId="1069">
    <w:abstractNumId w:val="1473"/>
  </w:num>
  <w:num w:numId="1070">
    <w:abstractNumId w:val="1886"/>
  </w:num>
  <w:num w:numId="1071">
    <w:abstractNumId w:val="996"/>
  </w:num>
  <w:num w:numId="1072">
    <w:abstractNumId w:val="1189"/>
  </w:num>
  <w:num w:numId="1073">
    <w:abstractNumId w:val="1181"/>
  </w:num>
  <w:num w:numId="1074">
    <w:abstractNumId w:val="380"/>
  </w:num>
  <w:num w:numId="1075">
    <w:abstractNumId w:val="1756"/>
  </w:num>
  <w:num w:numId="1076">
    <w:abstractNumId w:val="221"/>
  </w:num>
  <w:num w:numId="1077">
    <w:abstractNumId w:val="871"/>
  </w:num>
  <w:num w:numId="1078">
    <w:abstractNumId w:val="1744"/>
  </w:num>
  <w:num w:numId="1079">
    <w:abstractNumId w:val="1366"/>
  </w:num>
  <w:num w:numId="1080">
    <w:abstractNumId w:val="86"/>
  </w:num>
  <w:num w:numId="1081">
    <w:abstractNumId w:val="616"/>
  </w:num>
  <w:num w:numId="1082">
    <w:abstractNumId w:val="10"/>
  </w:num>
  <w:num w:numId="1083">
    <w:abstractNumId w:val="1417"/>
  </w:num>
  <w:num w:numId="1084">
    <w:abstractNumId w:val="801"/>
  </w:num>
  <w:num w:numId="1085">
    <w:abstractNumId w:val="505"/>
  </w:num>
  <w:num w:numId="1086">
    <w:abstractNumId w:val="535"/>
  </w:num>
  <w:num w:numId="1087">
    <w:abstractNumId w:val="1112"/>
  </w:num>
  <w:num w:numId="1088">
    <w:abstractNumId w:val="341"/>
  </w:num>
  <w:num w:numId="1089">
    <w:abstractNumId w:val="416"/>
  </w:num>
  <w:num w:numId="1090">
    <w:abstractNumId w:val="866"/>
  </w:num>
  <w:num w:numId="1091">
    <w:abstractNumId w:val="679"/>
  </w:num>
  <w:num w:numId="1092">
    <w:abstractNumId w:val="134"/>
  </w:num>
  <w:num w:numId="1093">
    <w:abstractNumId w:val="1127"/>
  </w:num>
  <w:num w:numId="1094">
    <w:abstractNumId w:val="1310"/>
  </w:num>
  <w:num w:numId="1095">
    <w:abstractNumId w:val="805"/>
  </w:num>
  <w:num w:numId="1096">
    <w:abstractNumId w:val="1385"/>
  </w:num>
  <w:num w:numId="1097">
    <w:abstractNumId w:val="1424"/>
  </w:num>
  <w:num w:numId="1098">
    <w:abstractNumId w:val="631"/>
  </w:num>
  <w:num w:numId="1099">
    <w:abstractNumId w:val="1875"/>
  </w:num>
  <w:num w:numId="1100">
    <w:abstractNumId w:val="1800"/>
  </w:num>
  <w:num w:numId="1101">
    <w:abstractNumId w:val="262"/>
  </w:num>
  <w:num w:numId="1102">
    <w:abstractNumId w:val="1022"/>
  </w:num>
  <w:num w:numId="1103">
    <w:abstractNumId w:val="659"/>
  </w:num>
  <w:num w:numId="1104">
    <w:abstractNumId w:val="74"/>
  </w:num>
  <w:num w:numId="1105">
    <w:abstractNumId w:val="433"/>
  </w:num>
  <w:num w:numId="1106">
    <w:abstractNumId w:val="408"/>
  </w:num>
  <w:num w:numId="1107">
    <w:abstractNumId w:val="58"/>
  </w:num>
  <w:num w:numId="1108">
    <w:abstractNumId w:val="770"/>
  </w:num>
  <w:num w:numId="1109">
    <w:abstractNumId w:val="1266"/>
  </w:num>
  <w:num w:numId="1110">
    <w:abstractNumId w:val="1219"/>
  </w:num>
  <w:num w:numId="1111">
    <w:abstractNumId w:val="665"/>
  </w:num>
  <w:num w:numId="1112">
    <w:abstractNumId w:val="1754"/>
  </w:num>
  <w:num w:numId="1113">
    <w:abstractNumId w:val="1250"/>
  </w:num>
  <w:num w:numId="1114">
    <w:abstractNumId w:val="207"/>
  </w:num>
  <w:num w:numId="1115">
    <w:abstractNumId w:val="664"/>
  </w:num>
  <w:num w:numId="1116">
    <w:abstractNumId w:val="259"/>
  </w:num>
  <w:num w:numId="1117">
    <w:abstractNumId w:val="1007"/>
  </w:num>
  <w:num w:numId="1118">
    <w:abstractNumId w:val="1156"/>
  </w:num>
  <w:num w:numId="1119">
    <w:abstractNumId w:val="1500"/>
  </w:num>
  <w:num w:numId="1120">
    <w:abstractNumId w:val="279"/>
  </w:num>
  <w:num w:numId="1121">
    <w:abstractNumId w:val="540"/>
  </w:num>
  <w:num w:numId="1122">
    <w:abstractNumId w:val="1550"/>
  </w:num>
  <w:num w:numId="1123">
    <w:abstractNumId w:val="1893"/>
  </w:num>
  <w:num w:numId="1124">
    <w:abstractNumId w:val="1843"/>
  </w:num>
  <w:num w:numId="1125">
    <w:abstractNumId w:val="576"/>
  </w:num>
  <w:num w:numId="1126">
    <w:abstractNumId w:val="99"/>
  </w:num>
  <w:num w:numId="1127">
    <w:abstractNumId w:val="953"/>
  </w:num>
  <w:num w:numId="1128">
    <w:abstractNumId w:val="907"/>
  </w:num>
  <w:num w:numId="1129">
    <w:abstractNumId w:val="1292"/>
  </w:num>
  <w:num w:numId="1130">
    <w:abstractNumId w:val="119"/>
  </w:num>
  <w:num w:numId="1131">
    <w:abstractNumId w:val="1894"/>
  </w:num>
  <w:num w:numId="1132">
    <w:abstractNumId w:val="1760"/>
  </w:num>
  <w:num w:numId="1133">
    <w:abstractNumId w:val="869"/>
  </w:num>
  <w:num w:numId="1134">
    <w:abstractNumId w:val="1872"/>
  </w:num>
  <w:num w:numId="1135">
    <w:abstractNumId w:val="1406"/>
  </w:num>
  <w:num w:numId="1136">
    <w:abstractNumId w:val="837"/>
  </w:num>
  <w:num w:numId="1137">
    <w:abstractNumId w:val="388"/>
  </w:num>
  <w:num w:numId="1138">
    <w:abstractNumId w:val="1422"/>
  </w:num>
  <w:num w:numId="1139">
    <w:abstractNumId w:val="59"/>
  </w:num>
  <w:num w:numId="1140">
    <w:abstractNumId w:val="335"/>
  </w:num>
  <w:num w:numId="1141">
    <w:abstractNumId w:val="255"/>
  </w:num>
  <w:num w:numId="1142">
    <w:abstractNumId w:val="1475"/>
  </w:num>
  <w:num w:numId="1143">
    <w:abstractNumId w:val="305"/>
  </w:num>
  <w:num w:numId="1144">
    <w:abstractNumId w:val="1699"/>
  </w:num>
  <w:num w:numId="1145">
    <w:abstractNumId w:val="589"/>
  </w:num>
  <w:num w:numId="1146">
    <w:abstractNumId w:val="411"/>
  </w:num>
  <w:num w:numId="1147">
    <w:abstractNumId w:val="1384"/>
  </w:num>
  <w:num w:numId="1148">
    <w:abstractNumId w:val="294"/>
  </w:num>
  <w:num w:numId="1149">
    <w:abstractNumId w:val="297"/>
  </w:num>
  <w:num w:numId="1150">
    <w:abstractNumId w:val="240"/>
  </w:num>
  <w:num w:numId="1151">
    <w:abstractNumId w:val="1547"/>
  </w:num>
  <w:num w:numId="1152">
    <w:abstractNumId w:val="310"/>
  </w:num>
  <w:num w:numId="1153">
    <w:abstractNumId w:val="974"/>
  </w:num>
  <w:num w:numId="1154">
    <w:abstractNumId w:val="1055"/>
  </w:num>
  <w:num w:numId="1155">
    <w:abstractNumId w:val="795"/>
  </w:num>
  <w:num w:numId="1156">
    <w:abstractNumId w:val="1377"/>
  </w:num>
  <w:num w:numId="1157">
    <w:abstractNumId w:val="1897"/>
  </w:num>
  <w:num w:numId="1158">
    <w:abstractNumId w:val="342"/>
  </w:num>
  <w:num w:numId="1159">
    <w:abstractNumId w:val="1080"/>
  </w:num>
  <w:num w:numId="1160">
    <w:abstractNumId w:val="988"/>
  </w:num>
  <w:num w:numId="1161">
    <w:abstractNumId w:val="36"/>
  </w:num>
  <w:num w:numId="1162">
    <w:abstractNumId w:val="178"/>
  </w:num>
  <w:num w:numId="1163">
    <w:abstractNumId w:val="229"/>
  </w:num>
  <w:num w:numId="1164">
    <w:abstractNumId w:val="189"/>
  </w:num>
  <w:num w:numId="1165">
    <w:abstractNumId w:val="1452"/>
  </w:num>
  <w:num w:numId="1166">
    <w:abstractNumId w:val="280"/>
  </w:num>
  <w:num w:numId="1167">
    <w:abstractNumId w:val="14"/>
  </w:num>
  <w:num w:numId="1168">
    <w:abstractNumId w:val="845"/>
  </w:num>
  <w:num w:numId="1169">
    <w:abstractNumId w:val="901"/>
  </w:num>
  <w:num w:numId="1170">
    <w:abstractNumId w:val="1102"/>
  </w:num>
  <w:num w:numId="1171">
    <w:abstractNumId w:val="730"/>
  </w:num>
  <w:num w:numId="1172">
    <w:abstractNumId w:val="1335"/>
  </w:num>
  <w:num w:numId="1173">
    <w:abstractNumId w:val="599"/>
  </w:num>
  <w:num w:numId="1174">
    <w:abstractNumId w:val="1137"/>
  </w:num>
  <w:num w:numId="1175">
    <w:abstractNumId w:val="968"/>
  </w:num>
  <w:num w:numId="1176">
    <w:abstractNumId w:val="584"/>
  </w:num>
  <w:num w:numId="1177">
    <w:abstractNumId w:val="1359"/>
  </w:num>
  <w:num w:numId="1178">
    <w:abstractNumId w:val="1543"/>
  </w:num>
  <w:num w:numId="1179">
    <w:abstractNumId w:val="708"/>
  </w:num>
  <w:num w:numId="1180">
    <w:abstractNumId w:val="571"/>
  </w:num>
  <w:num w:numId="1181">
    <w:abstractNumId w:val="757"/>
  </w:num>
  <w:num w:numId="1182">
    <w:abstractNumId w:val="7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1025"/>
  </w:num>
  <w:num w:numId="1184">
    <w:abstractNumId w:val="1413"/>
  </w:num>
  <w:num w:numId="1185">
    <w:abstractNumId w:val="209"/>
  </w:num>
  <w:num w:numId="1186">
    <w:abstractNumId w:val="278"/>
  </w:num>
  <w:num w:numId="1187">
    <w:abstractNumId w:val="1784"/>
  </w:num>
  <w:num w:numId="1188">
    <w:abstractNumId w:val="270"/>
  </w:num>
  <w:num w:numId="1189">
    <w:abstractNumId w:val="1470"/>
  </w:num>
  <w:num w:numId="1190">
    <w:abstractNumId w:val="1328"/>
  </w:num>
  <w:num w:numId="1191">
    <w:abstractNumId w:val="491"/>
  </w:num>
  <w:num w:numId="1192">
    <w:abstractNumId w:val="712"/>
  </w:num>
  <w:num w:numId="1193">
    <w:abstractNumId w:val="990"/>
  </w:num>
  <w:num w:numId="1194">
    <w:abstractNumId w:val="1600"/>
  </w:num>
  <w:num w:numId="1195">
    <w:abstractNumId w:val="1819"/>
  </w:num>
  <w:num w:numId="1196">
    <w:abstractNumId w:val="1166"/>
  </w:num>
  <w:num w:numId="1197">
    <w:abstractNumId w:val="1404"/>
  </w:num>
  <w:num w:numId="1198">
    <w:abstractNumId w:val="169"/>
  </w:num>
  <w:num w:numId="1199">
    <w:abstractNumId w:val="1440"/>
  </w:num>
  <w:num w:numId="1200">
    <w:abstractNumId w:val="368"/>
  </w:num>
  <w:num w:numId="1201">
    <w:abstractNumId w:val="1782"/>
  </w:num>
  <w:num w:numId="1202">
    <w:abstractNumId w:val="1054"/>
  </w:num>
  <w:num w:numId="1203">
    <w:abstractNumId w:val="1105"/>
  </w:num>
  <w:num w:numId="1204">
    <w:abstractNumId w:val="603"/>
  </w:num>
  <w:num w:numId="1205">
    <w:abstractNumId w:val="6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6">
    <w:abstractNumId w:val="1866"/>
  </w:num>
  <w:num w:numId="1207">
    <w:abstractNumId w:val="1409"/>
  </w:num>
  <w:num w:numId="1208">
    <w:abstractNumId w:val="1119"/>
  </w:num>
  <w:num w:numId="1209">
    <w:abstractNumId w:val="1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0">
    <w:abstractNumId w:val="1330"/>
  </w:num>
  <w:num w:numId="1211">
    <w:abstractNumId w:val="1607"/>
  </w:num>
  <w:num w:numId="1212">
    <w:abstractNumId w:val="1824"/>
  </w:num>
  <w:num w:numId="1213">
    <w:abstractNumId w:val="1823"/>
  </w:num>
  <w:num w:numId="1214">
    <w:abstractNumId w:val="1885"/>
  </w:num>
  <w:num w:numId="1215">
    <w:abstractNumId w:val="822"/>
  </w:num>
  <w:num w:numId="1216">
    <w:abstractNumId w:val="15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7">
    <w:abstractNumId w:val="215"/>
  </w:num>
  <w:num w:numId="1218">
    <w:abstractNumId w:val="980"/>
  </w:num>
  <w:num w:numId="1219">
    <w:abstractNumId w:val="141"/>
  </w:num>
  <w:num w:numId="1220">
    <w:abstractNumId w:val="198"/>
  </w:num>
  <w:num w:numId="1221">
    <w:abstractNumId w:val="559"/>
  </w:num>
  <w:num w:numId="1222">
    <w:abstractNumId w:val="241"/>
  </w:num>
  <w:num w:numId="1223">
    <w:abstractNumId w:val="825"/>
  </w:num>
  <w:num w:numId="1224">
    <w:abstractNumId w:val="1435"/>
  </w:num>
  <w:num w:numId="1225">
    <w:abstractNumId w:val="1911"/>
  </w:num>
  <w:num w:numId="1226">
    <w:abstractNumId w:val="1633"/>
  </w:num>
  <w:num w:numId="1227">
    <w:abstractNumId w:val="1523"/>
  </w:num>
  <w:num w:numId="1228">
    <w:abstractNumId w:val="632"/>
  </w:num>
  <w:num w:numId="1229">
    <w:abstractNumId w:val="333"/>
  </w:num>
  <w:num w:numId="1230">
    <w:abstractNumId w:val="1241"/>
  </w:num>
  <w:num w:numId="1231">
    <w:abstractNumId w:val="419"/>
  </w:num>
  <w:num w:numId="1232">
    <w:abstractNumId w:val="1191"/>
  </w:num>
  <w:num w:numId="1233">
    <w:abstractNumId w:val="787"/>
  </w:num>
  <w:num w:numId="1234">
    <w:abstractNumId w:val="174"/>
  </w:num>
  <w:num w:numId="1235">
    <w:abstractNumId w:val="1569"/>
  </w:num>
  <w:num w:numId="1236">
    <w:abstractNumId w:val="1358"/>
  </w:num>
  <w:num w:numId="1237">
    <w:abstractNumId w:val="1807"/>
  </w:num>
  <w:num w:numId="1238">
    <w:abstractNumId w:val="1126"/>
  </w:num>
  <w:num w:numId="1239">
    <w:abstractNumId w:val="237"/>
  </w:num>
  <w:num w:numId="1240">
    <w:abstractNumId w:val="220"/>
  </w:num>
  <w:num w:numId="1241">
    <w:abstractNumId w:val="1053"/>
  </w:num>
  <w:num w:numId="1242">
    <w:abstractNumId w:val="1273"/>
  </w:num>
  <w:num w:numId="1243">
    <w:abstractNumId w:val="1430"/>
  </w:num>
  <w:num w:numId="1244">
    <w:abstractNumId w:val="1190"/>
  </w:num>
  <w:num w:numId="1245">
    <w:abstractNumId w:val="846"/>
  </w:num>
  <w:num w:numId="1246">
    <w:abstractNumId w:val="1169"/>
  </w:num>
  <w:num w:numId="1247">
    <w:abstractNumId w:val="299"/>
  </w:num>
  <w:num w:numId="1248">
    <w:abstractNumId w:val="698"/>
  </w:num>
  <w:num w:numId="1249">
    <w:abstractNumId w:val="553"/>
  </w:num>
  <w:num w:numId="1250">
    <w:abstractNumId w:val="354"/>
  </w:num>
  <w:num w:numId="1251">
    <w:abstractNumId w:val="1717"/>
  </w:num>
  <w:num w:numId="1252">
    <w:abstractNumId w:val="896"/>
  </w:num>
  <w:num w:numId="1253">
    <w:abstractNumId w:val="744"/>
  </w:num>
  <w:num w:numId="1254">
    <w:abstractNumId w:val="1446"/>
  </w:num>
  <w:num w:numId="1255">
    <w:abstractNumId w:val="196"/>
  </w:num>
  <w:num w:numId="1256">
    <w:abstractNumId w:val="699"/>
  </w:num>
  <w:num w:numId="1257">
    <w:abstractNumId w:val="590"/>
  </w:num>
  <w:num w:numId="1258">
    <w:abstractNumId w:val="1170"/>
  </w:num>
  <w:num w:numId="1259">
    <w:abstractNumId w:val="789"/>
  </w:num>
  <w:num w:numId="1260">
    <w:abstractNumId w:val="43"/>
  </w:num>
  <w:num w:numId="1261">
    <w:abstractNumId w:val="1833"/>
  </w:num>
  <w:num w:numId="1262">
    <w:abstractNumId w:val="633"/>
  </w:num>
  <w:num w:numId="1263">
    <w:abstractNumId w:val="830"/>
  </w:num>
  <w:num w:numId="1264">
    <w:abstractNumId w:val="1831"/>
  </w:num>
  <w:num w:numId="1265">
    <w:abstractNumId w:val="832"/>
  </w:num>
  <w:num w:numId="1266">
    <w:abstractNumId w:val="1013"/>
  </w:num>
  <w:num w:numId="1267">
    <w:abstractNumId w:val="782"/>
  </w:num>
  <w:num w:numId="1268">
    <w:abstractNumId w:val="502"/>
  </w:num>
  <w:num w:numId="1269">
    <w:abstractNumId w:val="318"/>
  </w:num>
  <w:num w:numId="1270">
    <w:abstractNumId w:val="626"/>
  </w:num>
  <w:num w:numId="1271">
    <w:abstractNumId w:val="13"/>
  </w:num>
  <w:num w:numId="1272">
    <w:abstractNumId w:val="1186"/>
  </w:num>
  <w:num w:numId="1273">
    <w:abstractNumId w:val="1912"/>
  </w:num>
  <w:num w:numId="1274">
    <w:abstractNumId w:val="1486"/>
  </w:num>
  <w:num w:numId="1275">
    <w:abstractNumId w:val="1670"/>
  </w:num>
  <w:num w:numId="1276">
    <w:abstractNumId w:val="276"/>
  </w:num>
  <w:num w:numId="1277">
    <w:abstractNumId w:val="20"/>
  </w:num>
  <w:num w:numId="1278">
    <w:abstractNumId w:val="317"/>
  </w:num>
  <w:num w:numId="1279">
    <w:abstractNumId w:val="1441"/>
  </w:num>
  <w:num w:numId="1280">
    <w:abstractNumId w:val="761"/>
  </w:num>
  <w:num w:numId="1281">
    <w:abstractNumId w:val="216"/>
  </w:num>
  <w:num w:numId="1282">
    <w:abstractNumId w:val="1761"/>
  </w:num>
  <w:num w:numId="1283">
    <w:abstractNumId w:val="1826"/>
  </w:num>
  <w:num w:numId="1284">
    <w:abstractNumId w:val="485"/>
  </w:num>
  <w:num w:numId="1285">
    <w:abstractNumId w:val="1570"/>
  </w:num>
  <w:num w:numId="1286">
    <w:abstractNumId w:val="1656"/>
  </w:num>
  <w:num w:numId="1287">
    <w:abstractNumId w:val="878"/>
  </w:num>
  <w:num w:numId="1288">
    <w:abstractNumId w:val="1638"/>
  </w:num>
  <w:num w:numId="1289">
    <w:abstractNumId w:val="415"/>
  </w:num>
  <w:num w:numId="1290">
    <w:abstractNumId w:val="630"/>
  </w:num>
  <w:num w:numId="1291">
    <w:abstractNumId w:val="946"/>
  </w:num>
  <w:num w:numId="1292">
    <w:abstractNumId w:val="1045"/>
  </w:num>
  <w:num w:numId="1293">
    <w:abstractNumId w:val="61"/>
  </w:num>
  <w:num w:numId="1294">
    <w:abstractNumId w:val="1560"/>
  </w:num>
  <w:num w:numId="1295">
    <w:abstractNumId w:val="109"/>
  </w:num>
  <w:num w:numId="1296">
    <w:abstractNumId w:val="551"/>
  </w:num>
  <w:num w:numId="1297">
    <w:abstractNumId w:val="1429"/>
  </w:num>
  <w:num w:numId="1298">
    <w:abstractNumId w:val="1338"/>
  </w:num>
  <w:num w:numId="1299">
    <w:abstractNumId w:val="565"/>
  </w:num>
  <w:num w:numId="1300">
    <w:abstractNumId w:val="1149"/>
  </w:num>
  <w:num w:numId="1301">
    <w:abstractNumId w:val="1336"/>
  </w:num>
  <w:num w:numId="1302">
    <w:abstractNumId w:val="51"/>
  </w:num>
  <w:num w:numId="1303">
    <w:abstractNumId w:val="1564"/>
  </w:num>
  <w:num w:numId="1307">
    <w:abstractNumId w:val="1791"/>
  </w:num>
  <w:num w:numId="1308">
    <w:abstractNumId w:val="130"/>
  </w:num>
  <w:num w:numId="1309">
    <w:abstractNumId w:val="487"/>
  </w:num>
  <w:num w:numId="1310">
    <w:abstractNumId w:val="412"/>
  </w:num>
  <w:num w:numId="1311">
    <w:abstractNumId w:val="527"/>
  </w:num>
  <w:num w:numId="1312">
    <w:abstractNumId w:val="879"/>
  </w:num>
  <w:num w:numId="1313">
    <w:abstractNumId w:val="1388"/>
  </w:num>
  <w:num w:numId="1314">
    <w:abstractNumId w:val="499"/>
  </w:num>
  <w:num w:numId="1315">
    <w:abstractNumId w:val="1460"/>
  </w:num>
  <w:num w:numId="1316">
    <w:abstractNumId w:val="1304"/>
  </w:num>
  <w:num w:numId="1317">
    <w:abstractNumId w:val="1293"/>
  </w:num>
  <w:num w:numId="1318">
    <w:abstractNumId w:val="562"/>
  </w:num>
  <w:num w:numId="1319">
    <w:abstractNumId w:val="1192"/>
  </w:num>
  <w:num w:numId="1320">
    <w:abstractNumId w:val="1469"/>
  </w:num>
  <w:num w:numId="1321">
    <w:abstractNumId w:val="111"/>
  </w:num>
  <w:num w:numId="1322">
    <w:abstractNumId w:val="984"/>
  </w:num>
  <w:num w:numId="1323">
    <w:abstractNumId w:val="9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4">
    <w:abstractNumId w:val="675"/>
  </w:num>
  <w:num w:numId="1325">
    <w:abstractNumId w:val="6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6">
    <w:abstractNumId w:val="1198"/>
  </w:num>
  <w:num w:numId="1327">
    <w:abstractNumId w:val="1199"/>
  </w:num>
  <w:num w:numId="1328">
    <w:abstractNumId w:val="1663"/>
  </w:num>
  <w:num w:numId="1329">
    <w:abstractNumId w:val="774"/>
  </w:num>
  <w:num w:numId="1330">
    <w:abstractNumId w:val="158"/>
  </w:num>
  <w:num w:numId="1331">
    <w:abstractNumId w:val="1237"/>
  </w:num>
  <w:num w:numId="1332">
    <w:abstractNumId w:val="1213"/>
  </w:num>
  <w:num w:numId="1333">
    <w:abstractNumId w:val="1580"/>
  </w:num>
  <w:num w:numId="1334">
    <w:abstractNumId w:val="83"/>
  </w:num>
  <w:num w:numId="1335">
    <w:abstractNumId w:val="1087"/>
  </w:num>
  <w:num w:numId="1336">
    <w:abstractNumId w:val="1721"/>
  </w:num>
  <w:num w:numId="1337">
    <w:abstractNumId w:val="1595"/>
  </w:num>
  <w:num w:numId="1338">
    <w:abstractNumId w:val="17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9">
    <w:abstractNumId w:val="1834"/>
  </w:num>
  <w:num w:numId="1340">
    <w:abstractNumId w:val="826"/>
  </w:num>
  <w:num w:numId="1341">
    <w:abstractNumId w:val="1320"/>
  </w:num>
  <w:num w:numId="1342">
    <w:abstractNumId w:val="1869"/>
  </w:num>
  <w:num w:numId="1343">
    <w:abstractNumId w:val="112"/>
  </w:num>
  <w:num w:numId="1344">
    <w:abstractNumId w:val="532"/>
  </w:num>
  <w:num w:numId="1345">
    <w:abstractNumId w:val="533"/>
  </w:num>
  <w:num w:numId="1346">
    <w:abstractNumId w:val="851"/>
  </w:num>
  <w:num w:numId="1347">
    <w:abstractNumId w:val="1487"/>
  </w:num>
  <w:num w:numId="1348">
    <w:abstractNumId w:val="1009"/>
  </w:num>
  <w:num w:numId="1349">
    <w:abstractNumId w:val="60"/>
  </w:num>
  <w:num w:numId="1350">
    <w:abstractNumId w:val="1183"/>
  </w:num>
  <w:num w:numId="1351">
    <w:abstractNumId w:val="421"/>
  </w:num>
  <w:num w:numId="1352">
    <w:abstractNumId w:val="688"/>
  </w:num>
  <w:num w:numId="1353">
    <w:abstractNumId w:val="1231"/>
  </w:num>
  <w:num w:numId="1354">
    <w:abstractNumId w:val="1710"/>
  </w:num>
  <w:num w:numId="1355">
    <w:abstractNumId w:val="1574"/>
  </w:num>
  <w:num w:numId="1356">
    <w:abstractNumId w:val="760"/>
  </w:num>
  <w:num w:numId="1357">
    <w:abstractNumId w:val="1766"/>
  </w:num>
  <w:num w:numId="1358">
    <w:abstractNumId w:val="798"/>
  </w:num>
  <w:num w:numId="1359">
    <w:abstractNumId w:val="478"/>
  </w:num>
  <w:num w:numId="1360">
    <w:abstractNumId w:val="823"/>
  </w:num>
  <w:num w:numId="1361">
    <w:abstractNumId w:val="1155"/>
  </w:num>
  <w:num w:numId="1362">
    <w:abstractNumId w:val="995"/>
  </w:num>
  <w:num w:numId="1363">
    <w:abstractNumId w:val="993"/>
  </w:num>
  <w:num w:numId="1364">
    <w:abstractNumId w:val="538"/>
  </w:num>
  <w:num w:numId="1365">
    <w:abstractNumId w:val="1299"/>
  </w:num>
  <w:num w:numId="1366">
    <w:abstractNumId w:val="150"/>
  </w:num>
  <w:num w:numId="1367">
    <w:abstractNumId w:val="261"/>
  </w:num>
  <w:num w:numId="1368">
    <w:abstractNumId w:val="1399"/>
  </w:num>
  <w:num w:numId="1369">
    <w:abstractNumId w:val="1687"/>
  </w:num>
  <w:num w:numId="1370">
    <w:abstractNumId w:val="320"/>
  </w:num>
  <w:num w:numId="1371">
    <w:abstractNumId w:val="1637"/>
  </w:num>
  <w:num w:numId="1372">
    <w:abstractNumId w:val="1403"/>
  </w:num>
  <w:num w:numId="1373">
    <w:abstractNumId w:val="1245"/>
  </w:num>
  <w:num w:numId="1374">
    <w:abstractNumId w:val="544"/>
  </w:num>
  <w:num w:numId="1375">
    <w:abstractNumId w:val="564"/>
  </w:num>
  <w:num w:numId="1376">
    <w:abstractNumId w:val="381"/>
  </w:num>
  <w:num w:numId="1377">
    <w:abstractNumId w:val="1856"/>
  </w:num>
  <w:num w:numId="1378">
    <w:abstractNumId w:val="206"/>
  </w:num>
  <w:num w:numId="1379">
    <w:abstractNumId w:val="1235"/>
  </w:num>
  <w:num w:numId="1380">
    <w:abstractNumId w:val="1857"/>
  </w:num>
  <w:num w:numId="1381">
    <w:abstractNumId w:val="32"/>
  </w:num>
  <w:num w:numId="1382">
    <w:abstractNumId w:val="1109"/>
  </w:num>
  <w:num w:numId="1383">
    <w:abstractNumId w:val="1084"/>
  </w:num>
  <w:num w:numId="1384">
    <w:abstractNumId w:val="31"/>
  </w:num>
  <w:num w:numId="1385">
    <w:abstractNumId w:val="296"/>
  </w:num>
  <w:num w:numId="1386">
    <w:abstractNumId w:val="183"/>
  </w:num>
  <w:num w:numId="1387">
    <w:abstractNumId w:val="1449"/>
  </w:num>
  <w:num w:numId="1388">
    <w:abstractNumId w:val="910"/>
  </w:num>
  <w:num w:numId="1389">
    <w:abstractNumId w:val="87"/>
  </w:num>
  <w:num w:numId="1390">
    <w:abstractNumId w:val="1722"/>
  </w:num>
  <w:num w:numId="1391">
    <w:abstractNumId w:val="1722"/>
    <w:lvlOverride w:ilvl="0">
      <w:startOverride w:val="1"/>
    </w:lvlOverride>
  </w:num>
  <w:num w:numId="1392">
    <w:abstractNumId w:val="128"/>
  </w:num>
  <w:num w:numId="1393">
    <w:abstractNumId w:val="128"/>
    <w:lvlOverride w:ilvl="0">
      <w:startOverride w:val="1"/>
    </w:lvlOverride>
  </w:num>
  <w:num w:numId="1394">
    <w:abstractNumId w:val="667"/>
  </w:num>
  <w:num w:numId="1395">
    <w:abstractNumId w:val="667"/>
    <w:lvlOverride w:ilvl="0">
      <w:startOverride w:val="1"/>
    </w:lvlOverride>
  </w:num>
  <w:num w:numId="1396">
    <w:abstractNumId w:val="1116"/>
  </w:num>
  <w:num w:numId="1397">
    <w:abstractNumId w:val="1116"/>
    <w:lvlOverride w:ilvl="0">
      <w:startOverride w:val="1"/>
    </w:lvlOverride>
  </w:num>
  <w:num w:numId="1398">
    <w:abstractNumId w:val="1555"/>
  </w:num>
  <w:num w:numId="1399">
    <w:abstractNumId w:val="1555"/>
    <w:lvlOverride w:ilvl="0">
      <w:startOverride w:val="1"/>
    </w:lvlOverride>
  </w:num>
  <w:num w:numId="1400">
    <w:abstractNumId w:val="497"/>
  </w:num>
  <w:num w:numId="1401">
    <w:abstractNumId w:val="497"/>
    <w:lvlOverride w:ilvl="0">
      <w:startOverride w:val="1"/>
    </w:lvlOverride>
  </w:num>
  <w:num w:numId="1402">
    <w:abstractNumId w:val="642"/>
  </w:num>
  <w:num w:numId="1403">
    <w:abstractNumId w:val="642"/>
    <w:lvlOverride w:ilvl="0">
      <w:startOverride w:val="1"/>
    </w:lvlOverride>
  </w:num>
  <w:num w:numId="1404">
    <w:abstractNumId w:val="95"/>
  </w:num>
  <w:num w:numId="1405">
    <w:abstractNumId w:val="95"/>
    <w:lvlOverride w:ilvl="0">
      <w:startOverride w:val="1"/>
    </w:lvlOverride>
  </w:num>
  <w:num w:numId="1406">
    <w:abstractNumId w:val="1666"/>
  </w:num>
  <w:num w:numId="1407">
    <w:abstractNumId w:val="1666"/>
    <w:lvlOverride w:ilvl="0">
      <w:startOverride w:val="1"/>
    </w:lvlOverride>
  </w:num>
  <w:num w:numId="1408">
    <w:abstractNumId w:val="1432"/>
  </w:num>
  <w:num w:numId="1409">
    <w:abstractNumId w:val="1333"/>
  </w:num>
  <w:num w:numId="1410">
    <w:abstractNumId w:val="288"/>
  </w:num>
  <w:num w:numId="1411">
    <w:abstractNumId w:val="1290"/>
  </w:num>
  <w:num w:numId="1412">
    <w:abstractNumId w:val="1318"/>
  </w:num>
  <w:num w:numId="1413">
    <w:abstractNumId w:val="1200"/>
  </w:num>
  <w:num w:numId="1414">
    <w:abstractNumId w:val="1193"/>
  </w:num>
  <w:num w:numId="1415">
    <w:abstractNumId w:val="1786"/>
  </w:num>
  <w:num w:numId="1416">
    <w:abstractNumId w:val="1773"/>
  </w:num>
  <w:num w:numId="1417">
    <w:abstractNumId w:val="308"/>
  </w:num>
  <w:num w:numId="1418">
    <w:abstractNumId w:val="57"/>
  </w:num>
  <w:num w:numId="1419">
    <w:abstractNumId w:val="50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0">
    <w:abstractNumId w:val="133"/>
  </w:num>
  <w:num w:numId="1421">
    <w:abstractNumId w:val="1207"/>
  </w:num>
  <w:num w:numId="1422">
    <w:abstractNumId w:val="1329"/>
  </w:num>
  <w:num w:numId="1423">
    <w:abstractNumId w:val="1650"/>
  </w:num>
  <w:num w:numId="1424">
    <w:abstractNumId w:val="214"/>
  </w:num>
  <w:num w:numId="1425">
    <w:abstractNumId w:val="1796"/>
  </w:num>
  <w:num w:numId="1426">
    <w:abstractNumId w:val="443"/>
  </w:num>
  <w:num w:numId="1427">
    <w:abstractNumId w:val="1755"/>
  </w:num>
  <w:num w:numId="1428">
    <w:abstractNumId w:val="223"/>
  </w:num>
  <w:num w:numId="1429">
    <w:abstractNumId w:val="144"/>
  </w:num>
  <w:num w:numId="1430">
    <w:abstractNumId w:val="874"/>
  </w:num>
  <w:num w:numId="1431">
    <w:abstractNumId w:val="635"/>
  </w:num>
  <w:num w:numId="1432">
    <w:abstractNumId w:val="507"/>
  </w:num>
  <w:num w:numId="1433">
    <w:abstractNumId w:val="1264"/>
  </w:num>
  <w:num w:numId="1434">
    <w:abstractNumId w:val="1829"/>
  </w:num>
  <w:num w:numId="1435">
    <w:abstractNumId w:val="309"/>
  </w:num>
  <w:num w:numId="1436">
    <w:abstractNumId w:val="1256"/>
  </w:num>
  <w:num w:numId="1437">
    <w:abstractNumId w:val="1364"/>
  </w:num>
  <w:num w:numId="1438">
    <w:abstractNumId w:val="80"/>
  </w:num>
  <w:num w:numId="1439">
    <w:abstractNumId w:val="872"/>
  </w:num>
  <w:num w:numId="1440">
    <w:abstractNumId w:val="1537"/>
  </w:num>
  <w:num w:numId="1441">
    <w:abstractNumId w:val="213"/>
  </w:num>
  <w:num w:numId="1442">
    <w:abstractNumId w:val="113"/>
  </w:num>
  <w:num w:numId="1443">
    <w:abstractNumId w:val="1751"/>
  </w:num>
  <w:num w:numId="1444">
    <w:abstractNumId w:val="1713"/>
  </w:num>
  <w:num w:numId="1445">
    <w:abstractNumId w:val="876"/>
  </w:num>
  <w:num w:numId="1446">
    <w:abstractNumId w:val="1280"/>
  </w:num>
  <w:num w:numId="1447">
    <w:abstractNumId w:val="653"/>
  </w:num>
  <w:num w:numId="1448">
    <w:abstractNumId w:val="1179"/>
  </w:num>
  <w:num w:numId="1449">
    <w:abstractNumId w:val="339"/>
  </w:num>
  <w:num w:numId="1450">
    <w:abstractNumId w:val="1040"/>
  </w:num>
  <w:num w:numId="1451">
    <w:abstractNumId w:val="1162"/>
  </w:num>
  <w:num w:numId="1452">
    <w:abstractNumId w:val="1314"/>
  </w:num>
  <w:num w:numId="1453">
    <w:abstractNumId w:val="1322"/>
  </w:num>
  <w:num w:numId="1454">
    <w:abstractNumId w:val="857"/>
  </w:num>
  <w:num w:numId="1455">
    <w:abstractNumId w:val="588"/>
  </w:num>
  <w:num w:numId="1456">
    <w:abstractNumId w:val="1647"/>
  </w:num>
  <w:num w:numId="1457">
    <w:abstractNumId w:val="1360"/>
  </w:num>
  <w:num w:numId="1458">
    <w:abstractNumId w:val="1056"/>
  </w:num>
  <w:num w:numId="1459">
    <w:abstractNumId w:val="889"/>
  </w:num>
  <w:num w:numId="1460">
    <w:abstractNumId w:val="1623"/>
  </w:num>
  <w:num w:numId="1461">
    <w:abstractNumId w:val="727"/>
  </w:num>
  <w:num w:numId="1462">
    <w:abstractNumId w:val="1465"/>
  </w:num>
  <w:num w:numId="1463">
    <w:abstractNumId w:val="882"/>
  </w:num>
  <w:num w:numId="1464">
    <w:abstractNumId w:val="152"/>
  </w:num>
  <w:num w:numId="1465">
    <w:abstractNumId w:val="1203"/>
  </w:num>
  <w:num w:numId="1466">
    <w:abstractNumId w:val="1510"/>
  </w:num>
  <w:num w:numId="1467">
    <w:abstractNumId w:val="115"/>
  </w:num>
  <w:num w:numId="1468">
    <w:abstractNumId w:val="82"/>
  </w:num>
  <w:num w:numId="1469">
    <w:abstractNumId w:val="347"/>
  </w:num>
  <w:num w:numId="1470">
    <w:abstractNumId w:val="1383"/>
  </w:num>
  <w:num w:numId="1471">
    <w:abstractNumId w:val="913"/>
  </w:num>
  <w:num w:numId="1472">
    <w:abstractNumId w:val="892"/>
  </w:num>
  <w:num w:numId="1473">
    <w:abstractNumId w:val="423"/>
  </w:num>
  <w:num w:numId="1474">
    <w:abstractNumId w:val="1900"/>
  </w:num>
  <w:num w:numId="1475">
    <w:abstractNumId w:val="1215"/>
  </w:num>
  <w:num w:numId="1476">
    <w:abstractNumId w:val="766"/>
  </w:num>
  <w:num w:numId="1477">
    <w:abstractNumId w:val="714"/>
  </w:num>
  <w:num w:numId="1478">
    <w:abstractNumId w:val="1202"/>
  </w:num>
  <w:num w:numId="1479">
    <w:abstractNumId w:val="997"/>
  </w:num>
  <w:num w:numId="1480">
    <w:abstractNumId w:val="251"/>
  </w:num>
  <w:num w:numId="1481">
    <w:abstractNumId w:val="1418"/>
  </w:num>
  <w:num w:numId="1482">
    <w:abstractNumId w:val="959"/>
  </w:num>
  <w:num w:numId="1483">
    <w:abstractNumId w:val="1904"/>
  </w:num>
  <w:num w:numId="1484">
    <w:abstractNumId w:val="212"/>
  </w:num>
  <w:num w:numId="1485">
    <w:abstractNumId w:val="1494"/>
  </w:num>
  <w:num w:numId="1486">
    <w:abstractNumId w:val="210"/>
  </w:num>
  <w:num w:numId="1487">
    <w:abstractNumId w:val="716"/>
  </w:num>
  <w:num w:numId="1488">
    <w:abstractNumId w:val="1646"/>
  </w:num>
  <w:num w:numId="1489">
    <w:abstractNumId w:val="1178"/>
  </w:num>
  <w:num w:numId="1490">
    <w:abstractNumId w:val="908"/>
  </w:num>
  <w:num w:numId="1491">
    <w:abstractNumId w:val="202"/>
  </w:num>
  <w:num w:numId="1492">
    <w:abstractNumId w:val="829"/>
  </w:num>
  <w:num w:numId="1493">
    <w:abstractNumId w:val="1134"/>
  </w:num>
  <w:num w:numId="1494">
    <w:abstractNumId w:val="332"/>
  </w:num>
  <w:num w:numId="1495">
    <w:abstractNumId w:val="477"/>
  </w:num>
  <w:num w:numId="1496">
    <w:abstractNumId w:val="108"/>
  </w:num>
  <w:num w:numId="1497">
    <w:abstractNumId w:val="1688"/>
  </w:num>
  <w:num w:numId="1498">
    <w:abstractNumId w:val="1010"/>
  </w:num>
  <w:num w:numId="1499">
    <w:abstractNumId w:val="637"/>
  </w:num>
  <w:num w:numId="1500">
    <w:abstractNumId w:val="1557"/>
  </w:num>
  <w:num w:numId="1501">
    <w:abstractNumId w:val="1368"/>
  </w:num>
  <w:num w:numId="1502">
    <w:abstractNumId w:val="594"/>
  </w:num>
  <w:num w:numId="1503">
    <w:abstractNumId w:val="1708"/>
  </w:num>
  <w:num w:numId="1504">
    <w:abstractNumId w:val="67"/>
  </w:num>
  <w:num w:numId="1505">
    <w:abstractNumId w:val="1232"/>
  </w:num>
  <w:num w:numId="1506">
    <w:abstractNumId w:val="345"/>
  </w:num>
  <w:num w:numId="1507">
    <w:abstractNumId w:val="1627"/>
  </w:num>
  <w:num w:numId="1508">
    <w:abstractNumId w:val="114"/>
  </w:num>
  <w:num w:numId="1509">
    <w:abstractNumId w:val="307"/>
  </w:num>
  <w:num w:numId="1510">
    <w:abstractNumId w:val="786"/>
  </w:num>
  <w:num w:numId="1511">
    <w:abstractNumId w:val="531"/>
  </w:num>
  <w:num w:numId="1512">
    <w:abstractNumId w:val="1693"/>
  </w:num>
  <w:num w:numId="1513">
    <w:abstractNumId w:val="1673"/>
  </w:num>
  <w:num w:numId="1514">
    <w:abstractNumId w:val="92"/>
  </w:num>
  <w:num w:numId="1515">
    <w:abstractNumId w:val="702"/>
  </w:num>
  <w:num w:numId="1516">
    <w:abstractNumId w:val="1306"/>
  </w:num>
  <w:num w:numId="1517">
    <w:abstractNumId w:val="1153"/>
  </w:num>
  <w:num w:numId="1518">
    <w:abstractNumId w:val="729"/>
  </w:num>
  <w:num w:numId="1519">
    <w:abstractNumId w:val="1474"/>
  </w:num>
  <w:num w:numId="1520">
    <w:abstractNumId w:val="1049"/>
  </w:num>
  <w:num w:numId="1521">
    <w:abstractNumId w:val="1114"/>
  </w:num>
  <w:num w:numId="1522">
    <w:abstractNumId w:val="1108"/>
  </w:num>
  <w:num w:numId="1523">
    <w:abstractNumId w:val="550"/>
  </w:num>
  <w:num w:numId="1524">
    <w:abstractNumId w:val="1363"/>
  </w:num>
  <w:num w:numId="1525">
    <w:abstractNumId w:val="1052"/>
  </w:num>
  <w:num w:numId="1526">
    <w:abstractNumId w:val="1210"/>
  </w:num>
  <w:num w:numId="1527">
    <w:abstractNumId w:val="1775"/>
  </w:num>
  <w:num w:numId="1528">
    <w:abstractNumId w:val="1838"/>
  </w:num>
  <w:num w:numId="1529">
    <w:abstractNumId w:val="560"/>
  </w:num>
  <w:num w:numId="1530">
    <w:abstractNumId w:val="101"/>
  </w:num>
  <w:num w:numId="1531">
    <w:abstractNumId w:val="1636"/>
  </w:num>
  <w:num w:numId="1532">
    <w:abstractNumId w:val="52"/>
  </w:num>
  <w:num w:numId="1533">
    <w:abstractNumId w:val="1020"/>
  </w:num>
  <w:num w:numId="1534">
    <w:abstractNumId w:val="1254"/>
  </w:num>
  <w:num w:numId="1535">
    <w:abstractNumId w:val="1337"/>
  </w:num>
  <w:num w:numId="1536">
    <w:abstractNumId w:val="1863"/>
  </w:num>
  <w:num w:numId="1537">
    <w:abstractNumId w:val="1004"/>
  </w:num>
  <w:num w:numId="1538">
    <w:abstractNumId w:val="512"/>
  </w:num>
  <w:num w:numId="1539">
    <w:abstractNumId w:val="1806"/>
  </w:num>
  <w:num w:numId="1540">
    <w:abstractNumId w:val="1840"/>
  </w:num>
  <w:num w:numId="1541">
    <w:abstractNumId w:val="1064"/>
  </w:num>
  <w:num w:numId="1542">
    <w:abstractNumId w:val="905"/>
  </w:num>
  <w:num w:numId="1543">
    <w:abstractNumId w:val="1706"/>
  </w:num>
  <w:num w:numId="1544">
    <w:abstractNumId w:val="120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5">
    <w:abstractNumId w:val="5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6">
    <w:abstractNumId w:val="1696"/>
  </w:num>
  <w:num w:numId="1547">
    <w:abstractNumId w:val="16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8">
    <w:abstractNumId w:val="11"/>
  </w:num>
  <w:num w:numId="1549">
    <w:abstractNumId w:val="11"/>
    <w:lvlOverride w:ilvl="0">
      <w:lvl w:ilvl="0">
        <w:numFmt w:val="bullet"/>
        <w:lvlText w:val=""/>
        <w:legacy w:legacy="1" w:legacySpace="120" w:legacyIndent="340"/>
        <w:lvlJc w:val="left"/>
        <w:pPr>
          <w:ind w:left="340" w:hanging="340"/>
        </w:pPr>
        <w:rPr>
          <w:rFonts w:ascii="Symbol" w:hAnsi="Symbol" w:hint="default"/>
        </w:rPr>
      </w:lvl>
    </w:lvlOverride>
  </w:num>
  <w:num w:numId="1550">
    <w:abstractNumId w:val="11"/>
    <w:lvlOverride w:ilvl="0">
      <w:lvl w:ilvl="0">
        <w:numFmt w:val="bullet"/>
        <w:lvlText w:val="-"/>
        <w:legacy w:legacy="1" w:legacySpace="120" w:legacyIndent="360"/>
        <w:lvlJc w:val="left"/>
        <w:pPr>
          <w:ind w:left="360" w:hanging="360"/>
        </w:pPr>
      </w:lvl>
    </w:lvlOverride>
  </w:num>
  <w:num w:numId="1551">
    <w:abstractNumId w:val="775"/>
  </w:num>
  <w:num w:numId="1552">
    <w:abstractNumId w:val="1860"/>
  </w:num>
  <w:num w:numId="1553">
    <w:abstractNumId w:val="171"/>
  </w:num>
  <w:num w:numId="1554">
    <w:abstractNumId w:val="450"/>
  </w:num>
  <w:num w:numId="1555">
    <w:abstractNumId w:val="4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6">
    <w:abstractNumId w:val="850"/>
  </w:num>
  <w:num w:numId="1557">
    <w:abstractNumId w:val="8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8">
    <w:abstractNumId w:val="429"/>
  </w:num>
  <w:num w:numId="1559">
    <w:abstractNumId w:val="4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0">
    <w:abstractNumId w:val="928"/>
  </w:num>
  <w:num w:numId="1561">
    <w:abstractNumId w:val="9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2">
    <w:abstractNumId w:val="819"/>
  </w:num>
  <w:num w:numId="1563">
    <w:abstractNumId w:val="819"/>
    <w:lvlOverride w:ilvl="0"/>
  </w:num>
  <w:num w:numId="1564">
    <w:abstractNumId w:val="232"/>
  </w:num>
  <w:num w:numId="1565">
    <w:abstractNumId w:val="232"/>
    <w:lvlOverride w:ilvl="0"/>
  </w:num>
  <w:num w:numId="1566">
    <w:abstractNumId w:val="104"/>
  </w:num>
  <w:num w:numId="1567">
    <w:abstractNumId w:val="104"/>
    <w:lvlOverride w:ilvl="0"/>
  </w:num>
  <w:num w:numId="1568">
    <w:abstractNumId w:val="84"/>
  </w:num>
  <w:num w:numId="1569">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0">
    <w:abstractNumId w:val="1184"/>
  </w:num>
  <w:num w:numId="1571">
    <w:abstractNumId w:val="11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2">
    <w:abstractNumId w:val="185"/>
  </w:num>
  <w:num w:numId="1573">
    <w:abstractNumId w:val="185"/>
    <w:lvlOverride w:ilvl="0">
      <w:startOverride w:val="1"/>
    </w:lvlOverride>
  </w:num>
  <w:num w:numId="1574">
    <w:abstractNumId w:val="552"/>
  </w:num>
  <w:num w:numId="1575">
    <w:abstractNumId w:val="5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6">
    <w:abstractNumId w:val="937"/>
  </w:num>
  <w:num w:numId="1577">
    <w:abstractNumId w:val="9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8">
    <w:abstractNumId w:val="636"/>
  </w:num>
  <w:num w:numId="1579">
    <w:abstractNumId w:val="636"/>
    <w:lvlOverride w:ilvl="0">
      <w:startOverride w:val="1"/>
    </w:lvlOverride>
  </w:num>
  <w:num w:numId="1580">
    <w:abstractNumId w:val="231"/>
  </w:num>
  <w:num w:numId="1581">
    <w:abstractNumId w:val="231"/>
    <w:lvlOverride w:ilvl="0">
      <w:startOverride w:val="1"/>
    </w:lvlOverride>
  </w:num>
  <w:num w:numId="1582">
    <w:abstractNumId w:val="655"/>
  </w:num>
  <w:num w:numId="1583">
    <w:abstractNumId w:val="655"/>
    <w:lvlOverride w:ilvl="0">
      <w:startOverride w:val="1"/>
    </w:lvlOverride>
  </w:num>
  <w:num w:numId="1584">
    <w:abstractNumId w:val="1133"/>
  </w:num>
  <w:num w:numId="1585">
    <w:abstractNumId w:val="1133"/>
    <w:lvlOverride w:ilvl="0">
      <w:startOverride w:val="1"/>
    </w:lvlOverride>
  </w:num>
  <w:num w:numId="1586">
    <w:abstractNumId w:val="1302"/>
  </w:num>
  <w:num w:numId="1587">
    <w:abstractNumId w:val="1805"/>
  </w:num>
  <w:num w:numId="1588">
    <w:abstractNumId w:val="877"/>
  </w:num>
  <w:num w:numId="1589">
    <w:abstractNumId w:val="266"/>
  </w:num>
  <w:num w:numId="1590">
    <w:abstractNumId w:val="165"/>
  </w:num>
  <w:num w:numId="1591">
    <w:abstractNumId w:val="1873"/>
  </w:num>
  <w:num w:numId="1592">
    <w:abstractNumId w:val="290"/>
  </w:num>
  <w:num w:numId="1593">
    <w:abstractNumId w:val="135"/>
  </w:num>
  <w:num w:numId="1594">
    <w:abstractNumId w:val="764"/>
  </w:num>
  <w:num w:numId="1595">
    <w:abstractNumId w:val="1493"/>
  </w:num>
  <w:num w:numId="1596">
    <w:abstractNumId w:val="11"/>
    <w:lvlOverride w:ilvl="0">
      <w:lvl w:ilvl="0">
        <w:start w:val="1"/>
        <w:numFmt w:val="bullet"/>
        <w:lvlText w:val="S"/>
        <w:legacy w:legacy="1" w:legacySpace="0" w:legacyIndent="1"/>
        <w:lvlJc w:val="left"/>
        <w:pPr>
          <w:ind w:left="1" w:hanging="1"/>
        </w:pPr>
        <w:rPr>
          <w:rFonts w:ascii="WP TypographicSymbols" w:hAnsi="WP TypographicSymbols" w:hint="default"/>
        </w:rPr>
      </w:lvl>
    </w:lvlOverride>
  </w:num>
  <w:num w:numId="1597">
    <w:abstractNumId w:val="1288"/>
  </w:num>
  <w:num w:numId="1598">
    <w:abstractNumId w:val="673"/>
  </w:num>
  <w:num w:numId="1599">
    <w:abstractNumId w:val="763"/>
  </w:num>
  <w:num w:numId="1600">
    <w:abstractNumId w:val="750"/>
  </w:num>
  <w:num w:numId="1601">
    <w:abstractNumId w:val="888"/>
  </w:num>
  <w:num w:numId="1602">
    <w:abstractNumId w:val="1614"/>
  </w:num>
  <w:num w:numId="1603">
    <w:abstractNumId w:val="1559"/>
  </w:num>
  <w:num w:numId="1604">
    <w:abstractNumId w:val="1421"/>
  </w:num>
  <w:num w:numId="1605">
    <w:abstractNumId w:val="1382"/>
  </w:num>
  <w:num w:numId="1606">
    <w:abstractNumId w:val="379"/>
  </w:num>
  <w:num w:numId="1607">
    <w:abstractNumId w:val="627"/>
  </w:num>
  <w:num w:numId="1608">
    <w:abstractNumId w:val="965"/>
  </w:num>
  <w:num w:numId="1609">
    <w:abstractNumId w:val="717"/>
  </w:num>
  <w:num w:numId="1610">
    <w:abstractNumId w:val="1504"/>
  </w:num>
  <w:num w:numId="1611">
    <w:abstractNumId w:val="1772"/>
  </w:num>
  <w:num w:numId="1612">
    <w:abstractNumId w:val="1703"/>
  </w:num>
  <w:num w:numId="1613">
    <w:abstractNumId w:val="1051"/>
  </w:num>
  <w:num w:numId="1614">
    <w:abstractNumId w:val="1521"/>
  </w:num>
  <w:num w:numId="1615">
    <w:abstractNumId w:val="1568"/>
  </w:num>
  <w:num w:numId="1616">
    <w:abstractNumId w:val="1107"/>
  </w:num>
  <w:num w:numId="1617">
    <w:abstractNumId w:val="804"/>
  </w:num>
  <w:num w:numId="1618">
    <w:abstractNumId w:val="1530"/>
  </w:num>
  <w:num w:numId="1619">
    <w:abstractNumId w:val="106"/>
  </w:num>
  <w:num w:numId="1620">
    <w:abstractNumId w:val="748"/>
  </w:num>
  <w:num w:numId="1621">
    <w:abstractNumId w:val="820"/>
  </w:num>
  <w:num w:numId="1622">
    <w:abstractNumId w:val="1187"/>
  </w:num>
  <w:num w:numId="1623">
    <w:abstractNumId w:val="1689"/>
  </w:num>
  <w:num w:numId="1624">
    <w:abstractNumId w:val="1495"/>
  </w:num>
  <w:num w:numId="1625">
    <w:abstractNumId w:val="1804"/>
  </w:num>
  <w:num w:numId="1626">
    <w:abstractNumId w:val="1034"/>
  </w:num>
  <w:num w:numId="1627">
    <w:abstractNumId w:val="1315"/>
  </w:num>
  <w:num w:numId="1628">
    <w:abstractNumId w:val="951"/>
  </w:num>
  <w:num w:numId="1629">
    <w:abstractNumId w:val="284"/>
  </w:num>
  <w:num w:numId="1630">
    <w:abstractNumId w:val="1821"/>
  </w:num>
  <w:num w:numId="1631">
    <w:abstractNumId w:val="1854"/>
  </w:num>
  <w:num w:numId="1632">
    <w:abstractNumId w:val="1907"/>
  </w:num>
  <w:num w:numId="1633">
    <w:abstractNumId w:val="301"/>
  </w:num>
  <w:num w:numId="1634">
    <w:abstractNumId w:val="1028"/>
  </w:num>
  <w:num w:numId="1635">
    <w:abstractNumId w:val="1396"/>
  </w:num>
  <w:num w:numId="1636">
    <w:abstractNumId w:val="916"/>
  </w:num>
  <w:num w:numId="1637">
    <w:abstractNumId w:val="1764"/>
  </w:num>
  <w:num w:numId="1638">
    <w:abstractNumId w:val="856"/>
  </w:num>
  <w:num w:numId="1639">
    <w:abstractNumId w:val="1438"/>
  </w:num>
  <w:num w:numId="1640">
    <w:abstractNumId w:val="1472"/>
  </w:num>
  <w:num w:numId="1641">
    <w:abstractNumId w:val="1303"/>
  </w:num>
  <w:num w:numId="1642">
    <w:abstractNumId w:val="1225"/>
  </w:num>
  <w:num w:numId="1643">
    <w:abstractNumId w:val="1865"/>
  </w:num>
  <w:num w:numId="1644">
    <w:abstractNumId w:val="181"/>
  </w:num>
  <w:num w:numId="1645">
    <w:abstractNumId w:val="289"/>
  </w:num>
  <w:num w:numId="1646">
    <w:abstractNumId w:val="1161"/>
  </w:num>
  <w:num w:numId="1647">
    <w:abstractNumId w:val="44"/>
  </w:num>
  <w:num w:numId="1648">
    <w:abstractNumId w:val="1008"/>
  </w:num>
  <w:num w:numId="1649">
    <w:abstractNumId w:val="1463"/>
  </w:num>
  <w:num w:numId="1650">
    <w:abstractNumId w:val="96"/>
  </w:num>
  <w:num w:numId="1651">
    <w:abstractNumId w:val="1727"/>
  </w:num>
  <w:num w:numId="1652">
    <w:abstractNumId w:val="1589"/>
  </w:num>
  <w:num w:numId="1653">
    <w:abstractNumId w:val="517"/>
  </w:num>
  <w:num w:numId="1654">
    <w:abstractNumId w:val="1130"/>
  </w:num>
  <w:num w:numId="1655">
    <w:abstractNumId w:val="1297"/>
  </w:num>
  <w:num w:numId="1656">
    <w:abstractNumId w:val="601"/>
  </w:num>
  <w:num w:numId="1657">
    <w:abstractNumId w:val="1220"/>
  </w:num>
  <w:num w:numId="1658">
    <w:abstractNumId w:val="863"/>
  </w:num>
  <w:num w:numId="1659">
    <w:abstractNumId w:val="1668"/>
  </w:num>
  <w:num w:numId="1660">
    <w:abstractNumId w:val="1704"/>
  </w:num>
  <w:num w:numId="1661">
    <w:abstractNumId w:val="1381"/>
  </w:num>
  <w:num w:numId="1662">
    <w:abstractNumId w:val="1018"/>
  </w:num>
  <w:num w:numId="1663">
    <w:abstractNumId w:val="292"/>
  </w:num>
  <w:num w:numId="1664">
    <w:abstractNumId w:val="1479"/>
  </w:num>
  <w:num w:numId="1665">
    <w:abstractNumId w:val="824"/>
  </w:num>
  <w:num w:numId="1666">
    <w:abstractNumId w:val="853"/>
  </w:num>
  <w:num w:numId="1667">
    <w:abstractNumId w:val="1558"/>
  </w:num>
  <w:num w:numId="1668">
    <w:abstractNumId w:val="1091"/>
  </w:num>
  <w:num w:numId="1669">
    <w:abstractNumId w:val="668"/>
  </w:num>
  <w:num w:numId="1670">
    <w:abstractNumId w:val="743"/>
  </w:num>
  <w:num w:numId="1671">
    <w:abstractNumId w:val="1848"/>
  </w:num>
  <w:num w:numId="1672">
    <w:abstractNumId w:val="1443"/>
  </w:num>
  <w:num w:numId="1673">
    <w:abstractNumId w:val="30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4">
    <w:abstractNumId w:val="1482"/>
  </w:num>
  <w:num w:numId="1675">
    <w:abstractNumId w:val="313"/>
  </w:num>
  <w:num w:numId="1676">
    <w:abstractNumId w:val="1481"/>
  </w:num>
  <w:num w:numId="1677">
    <w:abstractNumId w:val="1305"/>
  </w:num>
  <w:num w:numId="1678">
    <w:abstractNumId w:val="1902"/>
  </w:num>
  <w:num w:numId="1679">
    <w:abstractNumId w:val="257"/>
  </w:num>
  <w:num w:numId="1680">
    <w:abstractNumId w:val="383"/>
  </w:num>
  <w:num w:numId="1681">
    <w:abstractNumId w:val="1578"/>
  </w:num>
  <w:num w:numId="1682">
    <w:abstractNumId w:val="68"/>
  </w:num>
  <w:num w:numId="1683">
    <w:abstractNumId w:val="989"/>
  </w:num>
  <w:num w:numId="1684">
    <w:abstractNumId w:val="162"/>
  </w:num>
  <w:num w:numId="1685">
    <w:abstractNumId w:val="28"/>
  </w:num>
  <w:num w:numId="1686">
    <w:abstractNumId w:val="942"/>
  </w:num>
  <w:num w:numId="1687">
    <w:abstractNumId w:val="1892"/>
  </w:num>
  <w:num w:numId="1688">
    <w:abstractNumId w:val="168"/>
  </w:num>
  <w:num w:numId="1689">
    <w:abstractNumId w:val="440"/>
  </w:num>
  <w:num w:numId="1690">
    <w:abstractNumId w:val="1853"/>
  </w:num>
  <w:num w:numId="1691">
    <w:abstractNumId w:val="1174"/>
  </w:num>
  <w:num w:numId="1692">
    <w:abstractNumId w:val="678"/>
  </w:num>
  <w:num w:numId="1693">
    <w:abstractNumId w:val="1353"/>
  </w:num>
  <w:num w:numId="1694">
    <w:abstractNumId w:val="1506"/>
  </w:num>
  <w:num w:numId="1695">
    <w:abstractNumId w:val="1240"/>
  </w:num>
  <w:num w:numId="1696">
    <w:abstractNumId w:val="469"/>
  </w:num>
  <w:num w:numId="1697">
    <w:abstractNumId w:val="1908"/>
  </w:num>
  <w:num w:numId="1698">
    <w:abstractNumId w:val="172"/>
  </w:num>
  <w:num w:numId="1699">
    <w:abstractNumId w:val="488"/>
  </w:num>
  <w:num w:numId="1700">
    <w:abstractNumId w:val="184"/>
  </w:num>
  <w:num w:numId="1701">
    <w:abstractNumId w:val="1263"/>
  </w:num>
  <w:num w:numId="1702">
    <w:abstractNumId w:val="122"/>
  </w:num>
  <w:num w:numId="1703">
    <w:abstractNumId w:val="1171"/>
  </w:num>
  <w:num w:numId="1704">
    <w:abstractNumId w:val="73"/>
  </w:num>
  <w:num w:numId="1705">
    <w:abstractNumId w:val="752"/>
  </w:num>
  <w:num w:numId="1706">
    <w:abstractNumId w:val="1419"/>
  </w:num>
  <w:num w:numId="1707">
    <w:abstractNumId w:val="1139"/>
  </w:num>
  <w:num w:numId="1708">
    <w:abstractNumId w:val="813"/>
  </w:num>
  <w:num w:numId="1709">
    <w:abstractNumId w:val="645"/>
  </w:num>
  <w:num w:numId="1710">
    <w:abstractNumId w:val="978"/>
  </w:num>
  <w:num w:numId="1711">
    <w:abstractNumId w:val="1259"/>
  </w:num>
  <w:num w:numId="1712">
    <w:abstractNumId w:val="282"/>
  </w:num>
  <w:num w:numId="1713">
    <w:abstractNumId w:val="1794"/>
  </w:num>
  <w:num w:numId="1714">
    <w:abstractNumId w:val="1624"/>
  </w:num>
  <w:num w:numId="1715">
    <w:abstractNumId w:val="1801"/>
  </w:num>
  <w:num w:numId="1716">
    <w:abstractNumId w:val="1182"/>
  </w:num>
  <w:num w:numId="1717">
    <w:abstractNumId w:val="1665"/>
  </w:num>
  <w:num w:numId="1718">
    <w:abstractNumId w:val="1503"/>
  </w:num>
  <w:num w:numId="1719">
    <w:abstractNumId w:val="1740"/>
  </w:num>
  <w:num w:numId="1720">
    <w:abstractNumId w:val="486"/>
  </w:num>
  <w:num w:numId="1721">
    <w:abstractNumId w:val="950"/>
  </w:num>
  <w:num w:numId="1722">
    <w:abstractNumId w:val="1030"/>
  </w:num>
  <w:num w:numId="1723">
    <w:abstractNumId w:val="267"/>
  </w:num>
  <w:num w:numId="1724">
    <w:abstractNumId w:val="182"/>
  </w:num>
  <w:num w:numId="1725">
    <w:abstractNumId w:val="713"/>
  </w:num>
  <w:num w:numId="1726">
    <w:abstractNumId w:val="1397"/>
  </w:num>
  <w:num w:numId="1727">
    <w:abstractNumId w:val="607"/>
  </w:num>
  <w:num w:numId="1728">
    <w:abstractNumId w:val="1572"/>
  </w:num>
  <w:num w:numId="1729">
    <w:abstractNumId w:val="1742"/>
  </w:num>
  <w:num w:numId="1730">
    <w:abstractNumId w:val="1621"/>
  </w:num>
  <w:num w:numId="1731">
    <w:abstractNumId w:val="803"/>
  </w:num>
  <w:num w:numId="1732">
    <w:abstractNumId w:val="1855"/>
  </w:num>
  <w:num w:numId="1733">
    <w:abstractNumId w:val="1063"/>
  </w:num>
  <w:num w:numId="1734">
    <w:abstractNumId w:val="924"/>
  </w:num>
  <w:num w:numId="1735">
    <w:abstractNumId w:val="479"/>
  </w:num>
  <w:num w:numId="1736">
    <w:abstractNumId w:val="346"/>
  </w:num>
  <w:num w:numId="1737">
    <w:abstractNumId w:val="1846"/>
  </w:num>
  <w:num w:numId="1738">
    <w:abstractNumId w:val="302"/>
  </w:num>
  <w:num w:numId="1739">
    <w:abstractNumId w:val="1698"/>
  </w:num>
  <w:num w:numId="1740">
    <w:abstractNumId w:val="780"/>
  </w:num>
  <w:num w:numId="1741">
    <w:abstractNumId w:val="577"/>
  </w:num>
  <w:num w:numId="1742">
    <w:abstractNumId w:val="492"/>
  </w:num>
  <w:num w:numId="1743">
    <w:abstractNumId w:val="1041"/>
  </w:num>
  <w:num w:numId="1744">
    <w:abstractNumId w:val="510"/>
  </w:num>
  <w:num w:numId="1745">
    <w:abstractNumId w:val="404"/>
  </w:num>
  <w:num w:numId="1746">
    <w:abstractNumId w:val="719"/>
  </w:num>
  <w:num w:numId="1747">
    <w:abstractNumId w:val="859"/>
  </w:num>
  <w:num w:numId="1748">
    <w:abstractNumId w:val="914"/>
  </w:num>
  <w:num w:numId="1749">
    <w:abstractNumId w:val="281"/>
  </w:num>
  <w:num w:numId="1750">
    <w:abstractNumId w:val="849"/>
  </w:num>
  <w:num w:numId="1751">
    <w:abstractNumId w:val="1032"/>
  </w:num>
  <w:num w:numId="1752">
    <w:abstractNumId w:val="1334"/>
  </w:num>
  <w:num w:numId="1753">
    <w:abstractNumId w:val="1730"/>
  </w:num>
  <w:num w:numId="1754">
    <w:abstractNumId w:val="557"/>
  </w:num>
  <w:num w:numId="1755">
    <w:abstractNumId w:val="256"/>
  </w:num>
  <w:num w:numId="1756">
    <w:abstractNumId w:val="55"/>
  </w:num>
  <w:num w:numId="1757">
    <w:abstractNumId w:val="1563"/>
  </w:num>
  <w:num w:numId="1758">
    <w:abstractNumId w:val="839"/>
  </w:num>
  <w:num w:numId="1759">
    <w:abstractNumId w:val="1278"/>
  </w:num>
  <w:num w:numId="1760">
    <w:abstractNumId w:val="1657"/>
  </w:num>
  <w:num w:numId="1761">
    <w:abstractNumId w:val="1702"/>
  </w:num>
  <w:num w:numId="1762">
    <w:abstractNumId w:val="1502"/>
  </w:num>
  <w:num w:numId="1763">
    <w:abstractNumId w:val="418"/>
  </w:num>
  <w:num w:numId="1764">
    <w:abstractNumId w:val="1175"/>
  </w:num>
  <w:num w:numId="1765">
    <w:abstractNumId w:val="751"/>
  </w:num>
  <w:num w:numId="1766">
    <w:abstractNumId w:val="1094"/>
  </w:num>
  <w:num w:numId="1767">
    <w:abstractNumId w:val="1321"/>
  </w:num>
  <w:num w:numId="1768">
    <w:abstractNumId w:val="581"/>
  </w:num>
  <w:num w:numId="1769">
    <w:abstractNumId w:val="1248"/>
  </w:num>
  <w:num w:numId="1770">
    <w:abstractNumId w:val="93"/>
  </w:num>
  <w:num w:numId="1771">
    <w:abstractNumId w:val="1682"/>
  </w:num>
  <w:num w:numId="1772">
    <w:abstractNumId w:val="1442"/>
  </w:num>
  <w:num w:numId="1773">
    <w:abstractNumId w:val="1038"/>
  </w:num>
  <w:num w:numId="1774">
    <w:abstractNumId w:val="753"/>
  </w:num>
  <w:num w:numId="1775">
    <w:abstractNumId w:val="1221"/>
  </w:num>
  <w:num w:numId="1776">
    <w:abstractNumId w:val="434"/>
  </w:num>
  <w:num w:numId="1777">
    <w:abstractNumId w:val="1575"/>
  </w:num>
  <w:num w:numId="1778">
    <w:abstractNumId w:val="1545"/>
  </w:num>
  <w:num w:numId="1779">
    <w:abstractNumId w:val="1257"/>
  </w:num>
  <w:num w:numId="1780">
    <w:abstractNumId w:val="828"/>
  </w:num>
  <w:num w:numId="1781">
    <w:abstractNumId w:val="166"/>
  </w:num>
  <w:num w:numId="1782">
    <w:abstractNumId w:val="1185"/>
  </w:num>
  <w:num w:numId="1783">
    <w:abstractNumId w:val="936"/>
  </w:num>
  <w:num w:numId="1784">
    <w:abstractNumId w:val="432"/>
  </w:num>
  <w:num w:numId="1785">
    <w:abstractNumId w:val="954"/>
  </w:num>
  <w:num w:numId="1786">
    <w:abstractNumId w:val="1641"/>
  </w:num>
  <w:num w:numId="1787">
    <w:abstractNumId w:val="245"/>
  </w:num>
  <w:num w:numId="1788">
    <w:abstractNumId w:val="1540"/>
  </w:num>
  <w:num w:numId="1789">
    <w:abstractNumId w:val="756"/>
  </w:num>
  <w:num w:numId="1790">
    <w:abstractNumId w:val="545"/>
  </w:num>
  <w:num w:numId="1791">
    <w:abstractNumId w:val="1867"/>
  </w:num>
  <w:num w:numId="1792">
    <w:abstractNumId w:val="674"/>
  </w:num>
  <w:num w:numId="1793">
    <w:abstractNumId w:val="145"/>
  </w:num>
  <w:num w:numId="1794">
    <w:abstractNumId w:val="811"/>
  </w:num>
  <w:num w:numId="1795">
    <w:abstractNumId w:val="970"/>
  </w:num>
  <w:num w:numId="1796">
    <w:abstractNumId w:val="1836"/>
  </w:num>
  <w:num w:numId="1797">
    <w:abstractNumId w:val="1204"/>
  </w:num>
  <w:num w:numId="1798">
    <w:abstractNumId w:val="1880"/>
  </w:num>
  <w:num w:numId="1799">
    <w:abstractNumId w:val="1106"/>
  </w:num>
  <w:num w:numId="1800">
    <w:abstractNumId w:val="1515"/>
  </w:num>
  <w:num w:numId="1801">
    <w:abstractNumId w:val="920"/>
  </w:num>
  <w:num w:numId="1802">
    <w:abstractNumId w:val="738"/>
  </w:num>
  <w:num w:numId="1803">
    <w:abstractNumId w:val="45"/>
  </w:num>
  <w:num w:numId="1804">
    <w:abstractNumId w:val="378"/>
  </w:num>
  <w:num w:numId="1805">
    <w:abstractNumId w:val="176"/>
  </w:num>
  <w:num w:numId="1806">
    <w:abstractNumId w:val="1058"/>
  </w:num>
  <w:num w:numId="1807">
    <w:abstractNumId w:val="1365"/>
  </w:num>
  <w:num w:numId="1808">
    <w:abstractNumId w:val="1238"/>
  </w:num>
  <w:num w:numId="1809">
    <w:abstractNumId w:val="972"/>
  </w:num>
  <w:num w:numId="1810">
    <w:abstractNumId w:val="340"/>
  </w:num>
  <w:num w:numId="1811">
    <w:abstractNumId w:val="1093"/>
  </w:num>
  <w:num w:numId="1812">
    <w:abstractNumId w:val="1244"/>
  </w:num>
  <w:num w:numId="1813">
    <w:abstractNumId w:val="1164"/>
  </w:num>
  <w:num w:numId="1814">
    <w:abstractNumId w:val="103"/>
  </w:num>
  <w:num w:numId="1815">
    <w:abstractNumId w:val="1795"/>
  </w:num>
  <w:num w:numId="1816">
    <w:abstractNumId w:val="1763"/>
  </w:num>
  <w:num w:numId="1817">
    <w:abstractNumId w:val="1598"/>
  </w:num>
  <w:num w:numId="1818">
    <w:abstractNumId w:val="1386"/>
  </w:num>
  <w:num w:numId="1819">
    <w:abstractNumId w:val="11"/>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1820">
    <w:abstractNumId w:val="911"/>
  </w:num>
  <w:num w:numId="1821">
    <w:abstractNumId w:val="855"/>
  </w:num>
  <w:num w:numId="1822">
    <w:abstractNumId w:val="650"/>
  </w:num>
  <w:num w:numId="1823">
    <w:abstractNumId w:val="329"/>
  </w:num>
  <w:num w:numId="1824">
    <w:abstractNumId w:val="396"/>
  </w:num>
  <w:num w:numId="1825">
    <w:abstractNumId w:val="188"/>
  </w:num>
  <w:num w:numId="1826">
    <w:abstractNumId w:val="1658"/>
  </w:num>
  <w:num w:numId="1827">
    <w:abstractNumId w:val="1132"/>
  </w:num>
  <w:num w:numId="1828">
    <w:abstractNumId w:val="430"/>
  </w:num>
  <w:num w:numId="1829">
    <w:abstractNumId w:val="236"/>
  </w:num>
  <w:num w:numId="1830">
    <w:abstractNumId w:val="392"/>
  </w:num>
  <w:num w:numId="1831">
    <w:abstractNumId w:val="1289"/>
  </w:num>
  <w:num w:numId="1832">
    <w:abstractNumId w:val="11"/>
    <w:lvlOverride w:ilvl="0">
      <w:lvl w:ilvl="0">
        <w:start w:val="1"/>
        <w:numFmt w:val="bullet"/>
        <w:lvlText w:val=""/>
        <w:legacy w:legacy="1" w:legacySpace="0" w:legacyIndent="510"/>
        <w:lvlJc w:val="left"/>
        <w:pPr>
          <w:ind w:left="1548" w:hanging="510"/>
        </w:pPr>
        <w:rPr>
          <w:rFonts w:ascii="Symbol" w:hAnsi="Symbol" w:hint="default"/>
        </w:rPr>
      </w:lvl>
    </w:lvlOverride>
  </w:num>
  <w:num w:numId="1833">
    <w:abstractNumId w:val="776"/>
  </w:num>
  <w:num w:numId="1834">
    <w:abstractNumId w:val="326"/>
  </w:num>
  <w:num w:numId="1835">
    <w:abstractNumId w:val="1483"/>
  </w:num>
  <w:num w:numId="1836">
    <w:abstractNumId w:val="1392"/>
  </w:num>
  <w:num w:numId="1837">
    <w:abstractNumId w:val="401"/>
  </w:num>
  <w:num w:numId="1838">
    <w:abstractNumId w:val="520"/>
  </w:num>
  <w:num w:numId="1839">
    <w:abstractNumId w:val="1890"/>
  </w:num>
  <w:num w:numId="1840">
    <w:abstractNumId w:val="1157"/>
  </w:num>
  <w:num w:numId="1841">
    <w:abstractNumId w:val="311"/>
  </w:num>
  <w:num w:numId="1842">
    <w:abstractNumId w:val="1651"/>
  </w:num>
  <w:num w:numId="1843">
    <w:abstractNumId w:val="456"/>
  </w:num>
  <w:num w:numId="1844">
    <w:abstractNumId w:val="1448"/>
  </w:num>
  <w:num w:numId="1845">
    <w:abstractNumId w:val="285"/>
  </w:num>
  <w:num w:numId="1846">
    <w:abstractNumId w:val="137"/>
  </w:num>
  <w:num w:numId="1847">
    <w:abstractNumId w:val="1671"/>
  </w:num>
  <w:num w:numId="1848">
    <w:abstractNumId w:val="963"/>
  </w:num>
  <w:num w:numId="1849">
    <w:abstractNumId w:val="790"/>
  </w:num>
  <w:num w:numId="1850">
    <w:abstractNumId w:val="444"/>
  </w:num>
  <w:num w:numId="1851">
    <w:abstractNumId w:val="1576"/>
  </w:num>
  <w:num w:numId="1852">
    <w:abstractNumId w:val="1667"/>
  </w:num>
  <w:num w:numId="1853">
    <w:abstractNumId w:val="1554"/>
  </w:num>
  <w:num w:numId="1854">
    <w:abstractNumId w:val="1344"/>
  </w:num>
  <w:num w:numId="1855">
    <w:abstractNumId w:val="755"/>
  </w:num>
  <w:num w:numId="1856">
    <w:abstractNumId w:val="1577"/>
  </w:num>
  <w:num w:numId="1857">
    <w:abstractNumId w:val="1068"/>
  </w:num>
  <w:num w:numId="1858">
    <w:abstractNumId w:val="1655"/>
  </w:num>
  <w:num w:numId="1859">
    <w:abstractNumId w:val="1301"/>
  </w:num>
  <w:num w:numId="1860">
    <w:abstractNumId w:val="947"/>
  </w:num>
  <w:num w:numId="1861">
    <w:abstractNumId w:val="1379"/>
  </w:num>
  <w:num w:numId="1862">
    <w:abstractNumId w:val="1367"/>
  </w:num>
  <w:num w:numId="1863">
    <w:abstractNumId w:val="1491"/>
  </w:num>
  <w:num w:numId="1864">
    <w:abstractNumId w:val="842"/>
  </w:num>
  <w:num w:numId="1865">
    <w:abstractNumId w:val="306"/>
  </w:num>
  <w:num w:numId="1866">
    <w:abstractNumId w:val="663"/>
  </w:num>
  <w:num w:numId="1867">
    <w:abstractNumId w:val="542"/>
  </w:num>
  <w:num w:numId="1868">
    <w:abstractNumId w:val="1261"/>
  </w:num>
  <w:num w:numId="1869">
    <w:abstractNumId w:val="1309"/>
  </w:num>
  <w:num w:numId="1870">
    <w:abstractNumId w:val="1295"/>
  </w:num>
  <w:num w:numId="1871">
    <w:abstractNumId w:val="1450"/>
  </w:num>
  <w:num w:numId="1872">
    <w:abstractNumId w:val="583"/>
  </w:num>
  <w:num w:numId="1873">
    <w:abstractNumId w:val="949"/>
  </w:num>
  <w:num w:numId="1874">
    <w:abstractNumId w:val="1026"/>
  </w:num>
  <w:num w:numId="1875">
    <w:abstractNumId w:val="403"/>
  </w:num>
  <w:num w:numId="1876">
    <w:abstractNumId w:val="1048"/>
  </w:num>
  <w:num w:numId="1877">
    <w:abstractNumId w:val="110"/>
  </w:num>
  <w:num w:numId="1878">
    <w:abstractNumId w:val="1544"/>
  </w:num>
  <w:num w:numId="1879">
    <w:abstractNumId w:val="1533"/>
  </w:num>
  <w:num w:numId="1880">
    <w:abstractNumId w:val="1769"/>
  </w:num>
  <w:num w:numId="1881">
    <w:abstractNumId w:val="124"/>
  </w:num>
  <w:num w:numId="1882">
    <w:abstractNumId w:val="1407"/>
  </w:num>
  <w:num w:numId="1883">
    <w:abstractNumId w:val="1845"/>
  </w:num>
  <w:num w:numId="1884">
    <w:abstractNumId w:val="597"/>
  </w:num>
  <w:num w:numId="1885">
    <w:abstractNumId w:val="1160"/>
  </w:num>
  <w:num w:numId="1886">
    <w:abstractNumId w:val="1516"/>
  </w:num>
  <w:num w:numId="1887">
    <w:abstractNumId w:val="785"/>
  </w:num>
  <w:num w:numId="1888">
    <w:abstractNumId w:val="89"/>
  </w:num>
  <w:num w:numId="1889">
    <w:abstractNumId w:val="707"/>
  </w:num>
  <w:num w:numId="1890">
    <w:abstractNumId w:val="1664"/>
  </w:num>
  <w:num w:numId="1891">
    <w:abstractNumId w:val="1224"/>
  </w:num>
  <w:num w:numId="1892">
    <w:abstractNumId w:val="493"/>
  </w:num>
  <w:num w:numId="1893">
    <w:abstractNumId w:val="578"/>
  </w:num>
  <w:num w:numId="1894">
    <w:abstractNumId w:val="1206"/>
  </w:num>
  <w:num w:numId="1895">
    <w:abstractNumId w:val="777"/>
  </w:num>
  <w:num w:numId="1896">
    <w:abstractNumId w:val="745"/>
  </w:num>
  <w:num w:numId="1897">
    <w:abstractNumId w:val="208"/>
  </w:num>
  <w:num w:numId="1898">
    <w:abstractNumId w:val="962"/>
  </w:num>
  <w:num w:numId="1899">
    <w:abstractNumId w:val="42"/>
  </w:num>
  <w:num w:numId="1900">
    <w:abstractNumId w:val="1339"/>
  </w:num>
  <w:num w:numId="1901">
    <w:abstractNumId w:val="1144"/>
  </w:num>
  <w:num w:numId="1902">
    <w:abstractNumId w:val="1349"/>
  </w:num>
  <w:num w:numId="1903">
    <w:abstractNumId w:val="467"/>
  </w:num>
  <w:num w:numId="1904">
    <w:abstractNumId w:val="1507"/>
  </w:num>
  <w:num w:numId="1905">
    <w:abstractNumId w:val="1712"/>
  </w:num>
  <w:num w:numId="1906">
    <w:abstractNumId w:val="897"/>
  </w:num>
  <w:num w:numId="1907">
    <w:abstractNumId w:val="676"/>
  </w:num>
  <w:num w:numId="1908">
    <w:abstractNumId w:val="927"/>
  </w:num>
  <w:num w:numId="1909">
    <w:abstractNumId w:val="1390"/>
  </w:num>
  <w:num w:numId="1910">
    <w:abstractNumId w:val="1842"/>
  </w:num>
  <w:num w:numId="1911">
    <w:abstractNumId w:val="800"/>
  </w:num>
  <w:num w:numId="1912">
    <w:abstractNumId w:val="1639"/>
  </w:num>
  <w:num w:numId="1913">
    <w:abstractNumId w:val="1081"/>
  </w:num>
  <w:num w:numId="1914">
    <w:abstractNumId w:val="426"/>
  </w:num>
  <w:num w:numId="1915">
    <w:abstractNumId w:val="406"/>
  </w:num>
  <w:num w:numId="1916">
    <w:abstractNumId w:val="1813"/>
  </w:num>
  <w:num w:numId="1917">
    <w:abstractNumId w:val="858"/>
  </w:num>
  <w:num w:numId="1918">
    <w:abstractNumId w:val="1720"/>
  </w:num>
  <w:num w:numId="1919">
    <w:abstractNumId w:val="1828"/>
  </w:num>
  <w:num w:numId="1920">
    <w:abstractNumId w:val="1822"/>
  </w:num>
  <w:num w:numId="1921">
    <w:abstractNumId w:val="1083"/>
  </w:num>
  <w:num w:numId="1922">
    <w:abstractNumId w:val="127"/>
  </w:num>
  <w:num w:numId="1923">
    <w:abstractNumId w:val="634"/>
  </w:num>
  <w:num w:numId="1924">
    <w:abstractNumId w:val="1323"/>
  </w:num>
  <w:num w:numId="1925">
    <w:abstractNumId w:val="1408"/>
  </w:num>
  <w:num w:numId="1926">
    <w:abstractNumId w:val="870"/>
  </w:num>
  <w:num w:numId="1927">
    <w:abstractNumId w:val="431"/>
  </w:num>
  <w:num w:numId="1928">
    <w:abstractNumId w:val="547"/>
  </w:num>
  <w:num w:numId="1929">
    <w:abstractNumId w:val="1401"/>
  </w:num>
  <w:num w:numId="1930">
    <w:abstractNumId w:val="652"/>
  </w:num>
  <w:num w:numId="1931">
    <w:abstractNumId w:val="186"/>
  </w:num>
  <w:num w:numId="1932">
    <w:abstractNumId w:val="516"/>
  </w:num>
  <w:num w:numId="1933">
    <w:abstractNumId w:val="219"/>
  </w:num>
  <w:num w:numId="1934">
    <w:abstractNumId w:val="1606"/>
  </w:num>
  <w:num w:numId="1935">
    <w:abstractNumId w:val="323"/>
  </w:num>
  <w:num w:numId="1936">
    <w:abstractNumId w:val="526"/>
  </w:num>
  <w:num w:numId="1937">
    <w:abstractNumId w:val="1436"/>
  </w:num>
  <w:num w:numId="1938">
    <w:abstractNumId w:val="1036"/>
  </w:num>
  <w:num w:numId="1939">
    <w:abstractNumId w:val="1566"/>
  </w:num>
  <w:num w:numId="1940">
    <w:abstractNumId w:val="799"/>
  </w:num>
  <w:num w:numId="1941">
    <w:abstractNumId w:val="1141"/>
  </w:num>
  <w:num w:numId="1942">
    <w:abstractNumId w:val="596"/>
  </w:num>
  <w:num w:numId="1943">
    <w:abstractNumId w:val="595"/>
  </w:num>
  <w:num w:numId="1944">
    <w:abstractNumId w:val="539"/>
  </w:num>
  <w:num w:numId="1945">
    <w:abstractNumId w:val="575"/>
  </w:num>
  <w:num w:numId="1946">
    <w:abstractNumId w:val="639"/>
  </w:num>
  <w:num w:numId="1947">
    <w:abstractNumId w:val="409"/>
  </w:num>
  <w:num w:numId="1948">
    <w:abstractNumId w:val="779"/>
  </w:num>
  <w:num w:numId="1949">
    <w:abstractNumId w:val="1082"/>
  </w:num>
  <w:num w:numId="1950">
    <w:abstractNumId w:val="1476"/>
  </w:num>
  <w:num w:numId="1951">
    <w:abstractNumId w:val="1035"/>
  </w:num>
  <w:num w:numId="1952">
    <w:abstractNumId w:val="1265"/>
  </w:num>
  <w:num w:numId="1953">
    <w:abstractNumId w:val="1044"/>
  </w:num>
  <w:num w:numId="1954">
    <w:abstractNumId w:val="395"/>
  </w:num>
  <w:num w:numId="1955">
    <w:abstractNumId w:val="71"/>
  </w:num>
  <w:num w:numId="1956">
    <w:abstractNumId w:val="894"/>
  </w:num>
  <w:num w:numId="1957">
    <w:abstractNumId w:val="1043"/>
  </w:num>
  <w:num w:numId="1958">
    <w:abstractNumId w:val="1906"/>
  </w:num>
  <w:num w:numId="1959">
    <w:abstractNumId w:val="372"/>
  </w:num>
  <w:num w:numId="1960">
    <w:abstractNumId w:val="593"/>
  </w:num>
  <w:num w:numId="1961">
    <w:abstractNumId w:val="617"/>
  </w:num>
  <w:num w:numId="1962">
    <w:abstractNumId w:val="677"/>
  </w:num>
  <w:num w:numId="1963">
    <w:abstractNumId w:val="1603"/>
  </w:num>
  <w:num w:numId="1964">
    <w:abstractNumId w:val="470"/>
  </w:num>
  <w:num w:numId="1965">
    <w:abstractNumId w:val="973"/>
  </w:num>
  <w:num w:numId="1966">
    <w:abstractNumId w:val="1770"/>
  </w:num>
  <w:num w:numId="1967">
    <w:abstractNumId w:val="343"/>
  </w:num>
  <w:num w:numId="1968">
    <w:abstractNumId w:val="1522"/>
  </w:num>
  <w:num w:numId="1969">
    <w:abstractNumId w:val="1480"/>
  </w:num>
  <w:num w:numId="1970">
    <w:abstractNumId w:val="1529"/>
  </w:num>
  <w:num w:numId="1971">
    <w:abstractNumId w:val="293"/>
  </w:num>
  <w:num w:numId="1972">
    <w:abstractNumId w:val="640"/>
  </w:num>
  <w:num w:numId="1973">
    <w:abstractNumId w:val="6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colormru v:ext="edit" colors="#ddd"/>
    </o:shapedefaults>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7650"/>
    <w:rsid w:val="004576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dd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33"/>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1082"/>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1082"/>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1082"/>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1082"/>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H2">
    <w:name w:val="_H_2"/>
    <w:basedOn w:val="Normal"/>
    <w:pPr>
      <w:spacing w:after="120" w:line="340" w:lineRule="exact"/>
    </w:pPr>
    <w:rPr>
      <w:rFonts w:ascii="SimHei" w:eastAsia="SimHei"/>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paragraph" w:customStyle="1" w:styleId="H23">
    <w:name w:val="_ H_2/3"/>
    <w:basedOn w:val="H1"/>
    <w:next w:val="Normal"/>
    <w:pPr>
      <w:spacing w:beforeLines="0" w:before="0" w:after="0" w:line="240" w:lineRule="exact"/>
      <w:outlineLvl w:val="1"/>
    </w:pPr>
    <w:rPr>
      <w:rFonts w:ascii="Times New Roman" w:eastAsia="SimSun"/>
      <w:b/>
      <w:bCs/>
      <w:spacing w:val="2"/>
      <w:w w:val="103"/>
      <w:sz w:val="20"/>
      <w:lang w:val="en-GB" w:eastAsia="en-US"/>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a4">
    <w:name w:val="批注框文本"/>
    <w:basedOn w:val="Normal"/>
    <w:semiHidden/>
    <w:pPr>
      <w:widowControl/>
      <w:suppressAutoHyphens/>
      <w:adjustRightInd/>
      <w:spacing w:line="240" w:lineRule="exact"/>
      <w:jc w:val="left"/>
      <w:textAlignment w:val="auto"/>
    </w:pPr>
    <w:rPr>
      <w:spacing w:val="4"/>
      <w:w w:val="103"/>
      <w:kern w:val="14"/>
      <w:sz w:val="18"/>
      <w:szCs w:val="18"/>
      <w:lang w:val="en-GB" w:eastAsia="en-US"/>
    </w:rPr>
  </w:style>
  <w:style w:type="paragraph" w:customStyle="1" w:styleId="SL">
    <w:name w:val="__S_L"/>
    <w:basedOn w:val="Normal"/>
    <w:next w:val="Normal"/>
    <w:pPr>
      <w:keepNext/>
      <w:keepLines/>
      <w:widowControl/>
      <w:tabs>
        <w:tab w:val="right" w:leader="dot" w:pos="360"/>
      </w:tabs>
      <w:suppressAutoHyphens/>
      <w:adjustRightInd/>
      <w:spacing w:line="540" w:lineRule="exact"/>
      <w:ind w:left="1267" w:right="1267"/>
      <w:jc w:val="left"/>
      <w:textAlignment w:val="auto"/>
      <w:outlineLvl w:val="0"/>
    </w:pPr>
    <w:rPr>
      <w:b/>
      <w:bCs/>
      <w:spacing w:val="-8"/>
      <w:w w:val="96"/>
      <w:kern w:val="14"/>
      <w:sz w:val="57"/>
      <w:szCs w:val="57"/>
      <w:lang w:val="en-GB" w:eastAsia="en-US"/>
    </w:rPr>
  </w:style>
  <w:style w:type="paragraph" w:customStyle="1" w:styleId="Rom1">
    <w:name w:val="Rom1"/>
    <w:basedOn w:val="Normal"/>
    <w:pPr>
      <w:widowControl/>
      <w:numPr>
        <w:numId w:val="1791"/>
      </w:numPr>
      <w:adjustRightInd/>
      <w:spacing w:after="240" w:line="240" w:lineRule="auto"/>
      <w:jc w:val="left"/>
      <w:textAlignment w:val="auto"/>
    </w:pPr>
    <w:rPr>
      <w:sz w:val="24"/>
      <w:lang w:val="en-GB" w:eastAsia="en-US"/>
    </w:rPr>
  </w:style>
  <w:style w:type="paragraph" w:customStyle="1" w:styleId="Rom2">
    <w:name w:val="Rom2"/>
    <w:basedOn w:val="Normal"/>
    <w:pPr>
      <w:widowControl/>
      <w:numPr>
        <w:numId w:val="1792"/>
      </w:numPr>
      <w:adjustRightInd/>
      <w:spacing w:after="240" w:line="240" w:lineRule="auto"/>
      <w:jc w:val="left"/>
      <w:textAlignment w:val="auto"/>
    </w:pPr>
    <w:rPr>
      <w:sz w:val="24"/>
      <w:lang w:val="en-GB" w:eastAsia="en-US"/>
    </w:rPr>
  </w:style>
  <w:style w:type="paragraph" w:customStyle="1" w:styleId="ParaNo">
    <w:name w:val="ParaNo."/>
    <w:basedOn w:val="Normal"/>
    <w:pPr>
      <w:widowControl/>
      <w:numPr>
        <w:numId w:val="1801"/>
      </w:numPr>
      <w:tabs>
        <w:tab w:val="left" w:pos="737"/>
      </w:tabs>
      <w:adjustRightInd/>
      <w:spacing w:after="240" w:line="240" w:lineRule="auto"/>
      <w:jc w:val="left"/>
      <w:textAlignment w:val="auto"/>
    </w:pPr>
    <w:rPr>
      <w:sz w:val="24"/>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Microsoft_Excel_Chart4.xls"/><Relationship Id="rId117" Type="http://schemas.openxmlformats.org/officeDocument/2006/relationships/hyperlink" Target="javascript:void(0);" TargetMode="External"/><Relationship Id="rId21" Type="http://schemas.openxmlformats.org/officeDocument/2006/relationships/image" Target="media/image8.wmf"/><Relationship Id="rId42" Type="http://schemas.openxmlformats.org/officeDocument/2006/relationships/hyperlink" Target="javascript:void(0);" TargetMode="External"/><Relationship Id="rId47" Type="http://schemas.openxmlformats.org/officeDocument/2006/relationships/hyperlink" Target="javascript:void(0);" TargetMode="External"/><Relationship Id="rId63" Type="http://schemas.openxmlformats.org/officeDocument/2006/relationships/hyperlink" Target="javascript:void(0);" TargetMode="External"/><Relationship Id="rId68" Type="http://schemas.openxmlformats.org/officeDocument/2006/relationships/hyperlink" Target="javascript:void(0);" TargetMode="External"/><Relationship Id="rId84" Type="http://schemas.openxmlformats.org/officeDocument/2006/relationships/hyperlink" Target="javascript:void(0);" TargetMode="External"/><Relationship Id="rId89" Type="http://schemas.openxmlformats.org/officeDocument/2006/relationships/hyperlink" Target="javascript:void(0);" TargetMode="External"/><Relationship Id="rId112" Type="http://schemas.openxmlformats.org/officeDocument/2006/relationships/hyperlink" Target="javascript:void(0);" TargetMode="External"/><Relationship Id="rId133" Type="http://schemas.openxmlformats.org/officeDocument/2006/relationships/hyperlink" Target="javascript:void(0);" TargetMode="External"/><Relationship Id="rId138" Type="http://schemas.openxmlformats.org/officeDocument/2006/relationships/hyperlink" Target="javascript:void(0);" TargetMode="External"/><Relationship Id="rId154" Type="http://schemas.openxmlformats.org/officeDocument/2006/relationships/hyperlink" Target="javascript:void(0);" TargetMode="External"/><Relationship Id="rId159" Type="http://schemas.openxmlformats.org/officeDocument/2006/relationships/hyperlink" Target="javascript:void(0);" TargetMode="External"/><Relationship Id="rId175" Type="http://schemas.openxmlformats.org/officeDocument/2006/relationships/header" Target="header5.xml"/><Relationship Id="rId170" Type="http://schemas.openxmlformats.org/officeDocument/2006/relationships/oleObject" Target="embeddings/Microsoft_Excel_Chart10.xls"/><Relationship Id="rId16" Type="http://schemas.openxmlformats.org/officeDocument/2006/relationships/image" Target="media/image4.png"/><Relationship Id="rId107" Type="http://schemas.openxmlformats.org/officeDocument/2006/relationships/hyperlink" Target="javascript:void(0);" TargetMode="External"/><Relationship Id="rId11" Type="http://schemas.openxmlformats.org/officeDocument/2006/relationships/footer" Target="footer2.xml"/><Relationship Id="rId32" Type="http://schemas.openxmlformats.org/officeDocument/2006/relationships/hyperlink" Target="javascript:void(0);" TargetMode="External"/><Relationship Id="rId37" Type="http://schemas.openxmlformats.org/officeDocument/2006/relationships/hyperlink" Target="javascript:void(0);" TargetMode="External"/><Relationship Id="rId53" Type="http://schemas.openxmlformats.org/officeDocument/2006/relationships/hyperlink" Target="javascript:void(0);" TargetMode="External"/><Relationship Id="rId58" Type="http://schemas.openxmlformats.org/officeDocument/2006/relationships/hyperlink" Target="javascript:void(0);" TargetMode="External"/><Relationship Id="rId74" Type="http://schemas.openxmlformats.org/officeDocument/2006/relationships/hyperlink" Target="javascript:void(0);" TargetMode="External"/><Relationship Id="rId79" Type="http://schemas.openxmlformats.org/officeDocument/2006/relationships/hyperlink" Target="javascript:void(0);" TargetMode="External"/><Relationship Id="rId102" Type="http://schemas.openxmlformats.org/officeDocument/2006/relationships/hyperlink" Target="javascript:void(0);" TargetMode="External"/><Relationship Id="rId123" Type="http://schemas.openxmlformats.org/officeDocument/2006/relationships/hyperlink" Target="javascript:void(0);" TargetMode="External"/><Relationship Id="rId128" Type="http://schemas.openxmlformats.org/officeDocument/2006/relationships/hyperlink" Target="javascript:void(0);" TargetMode="External"/><Relationship Id="rId144" Type="http://schemas.openxmlformats.org/officeDocument/2006/relationships/hyperlink" Target="javascript:void(0);" TargetMode="External"/><Relationship Id="rId149" Type="http://schemas.openxmlformats.org/officeDocument/2006/relationships/hyperlink" Target="javascript:void(0);" TargetMode="External"/><Relationship Id="rId5" Type="http://schemas.openxmlformats.org/officeDocument/2006/relationships/footnotes" Target="footnotes.xml"/><Relationship Id="rId90" Type="http://schemas.openxmlformats.org/officeDocument/2006/relationships/hyperlink" Target="javascript:void(0);" TargetMode="External"/><Relationship Id="rId95" Type="http://schemas.openxmlformats.org/officeDocument/2006/relationships/hyperlink" Target="javascript:void(0);" TargetMode="External"/><Relationship Id="rId160" Type="http://schemas.openxmlformats.org/officeDocument/2006/relationships/hyperlink" Target="javascript:void(0);" TargetMode="External"/><Relationship Id="rId165" Type="http://schemas.openxmlformats.org/officeDocument/2006/relationships/image" Target="media/image15.wmf"/><Relationship Id="rId22" Type="http://schemas.openxmlformats.org/officeDocument/2006/relationships/oleObject" Target="embeddings/Microsoft_Excel_Chart2.xls"/><Relationship Id="rId27" Type="http://schemas.openxmlformats.org/officeDocument/2006/relationships/image" Target="media/image11.wmf"/><Relationship Id="rId43" Type="http://schemas.openxmlformats.org/officeDocument/2006/relationships/hyperlink" Target="javascript:void(0);" TargetMode="External"/><Relationship Id="rId48" Type="http://schemas.openxmlformats.org/officeDocument/2006/relationships/hyperlink" Target="javascript:void(0);" TargetMode="External"/><Relationship Id="rId64" Type="http://schemas.openxmlformats.org/officeDocument/2006/relationships/hyperlink" Target="javascript:void(0);" TargetMode="External"/><Relationship Id="rId69" Type="http://schemas.openxmlformats.org/officeDocument/2006/relationships/hyperlink" Target="javascript:void(0);" TargetMode="External"/><Relationship Id="rId113" Type="http://schemas.openxmlformats.org/officeDocument/2006/relationships/hyperlink" Target="javascript:void(0);" TargetMode="External"/><Relationship Id="rId118" Type="http://schemas.openxmlformats.org/officeDocument/2006/relationships/hyperlink" Target="javascript:void(0);" TargetMode="External"/><Relationship Id="rId134" Type="http://schemas.openxmlformats.org/officeDocument/2006/relationships/hyperlink" Target="javascript:void(0);" TargetMode="External"/><Relationship Id="rId139" Type="http://schemas.openxmlformats.org/officeDocument/2006/relationships/hyperlink" Target="javascript:void(0);" TargetMode="External"/><Relationship Id="rId80" Type="http://schemas.openxmlformats.org/officeDocument/2006/relationships/hyperlink" Target="javascript:void(0);" TargetMode="External"/><Relationship Id="rId85" Type="http://schemas.openxmlformats.org/officeDocument/2006/relationships/hyperlink" Target="javascript:void(0);" TargetMode="External"/><Relationship Id="rId150" Type="http://schemas.openxmlformats.org/officeDocument/2006/relationships/hyperlink" Target="javascript:void(0);" TargetMode="External"/><Relationship Id="rId155" Type="http://schemas.openxmlformats.org/officeDocument/2006/relationships/hyperlink" Target="javascript:void(0);" TargetMode="External"/><Relationship Id="rId171" Type="http://schemas.openxmlformats.org/officeDocument/2006/relationships/image" Target="media/image18.png"/><Relationship Id="rId176" Type="http://schemas.openxmlformats.org/officeDocument/2006/relationships/footer" Target="footer4.xml"/><Relationship Id="rId12" Type="http://schemas.openxmlformats.org/officeDocument/2006/relationships/header" Target="header3.xml"/><Relationship Id="rId17" Type="http://schemas.openxmlformats.org/officeDocument/2006/relationships/image" Target="media/image5.png"/><Relationship Id="rId33" Type="http://schemas.openxmlformats.org/officeDocument/2006/relationships/hyperlink" Target="javascript:void(0);" TargetMode="External"/><Relationship Id="rId38" Type="http://schemas.openxmlformats.org/officeDocument/2006/relationships/hyperlink" Target="javascript:void(0);" TargetMode="External"/><Relationship Id="rId59" Type="http://schemas.openxmlformats.org/officeDocument/2006/relationships/hyperlink" Target="javascript:void(0);" TargetMode="External"/><Relationship Id="rId103" Type="http://schemas.openxmlformats.org/officeDocument/2006/relationships/hyperlink" Target="javascript:void(0);" TargetMode="External"/><Relationship Id="rId108" Type="http://schemas.openxmlformats.org/officeDocument/2006/relationships/hyperlink" Target="javascript:void(0);" TargetMode="External"/><Relationship Id="rId124" Type="http://schemas.openxmlformats.org/officeDocument/2006/relationships/hyperlink" Target="javascript:void(0);" TargetMode="External"/><Relationship Id="rId129" Type="http://schemas.openxmlformats.org/officeDocument/2006/relationships/hyperlink" Target="javascript:void(0);" TargetMode="External"/><Relationship Id="rId54" Type="http://schemas.openxmlformats.org/officeDocument/2006/relationships/hyperlink" Target="javascript:void(0);" TargetMode="External"/><Relationship Id="rId70" Type="http://schemas.openxmlformats.org/officeDocument/2006/relationships/hyperlink" Target="javascript:void(0);" TargetMode="External"/><Relationship Id="rId75" Type="http://schemas.openxmlformats.org/officeDocument/2006/relationships/hyperlink" Target="javascript:void(0);" TargetMode="External"/><Relationship Id="rId91" Type="http://schemas.openxmlformats.org/officeDocument/2006/relationships/hyperlink" Target="javascript:void(0);" TargetMode="External"/><Relationship Id="rId96" Type="http://schemas.openxmlformats.org/officeDocument/2006/relationships/hyperlink" Target="javascript:void(0);" TargetMode="External"/><Relationship Id="rId140" Type="http://schemas.openxmlformats.org/officeDocument/2006/relationships/hyperlink" Target="javascript:void(0);" TargetMode="External"/><Relationship Id="rId145" Type="http://schemas.openxmlformats.org/officeDocument/2006/relationships/hyperlink" Target="javascript:void(0);" TargetMode="External"/><Relationship Id="rId161" Type="http://schemas.openxmlformats.org/officeDocument/2006/relationships/image" Target="media/image13.wmf"/><Relationship Id="rId166" Type="http://schemas.openxmlformats.org/officeDocument/2006/relationships/oleObject" Target="embeddings/Microsoft_Excel_Chart9.xls"/><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9.wmf"/><Relationship Id="rId28" Type="http://schemas.openxmlformats.org/officeDocument/2006/relationships/oleObject" Target="embeddings/Microsoft_Excel_Chart5.xls"/><Relationship Id="rId49" Type="http://schemas.openxmlformats.org/officeDocument/2006/relationships/hyperlink" Target="javascript:void(0);" TargetMode="External"/><Relationship Id="rId114" Type="http://schemas.openxmlformats.org/officeDocument/2006/relationships/hyperlink" Target="javascript:void(0);" TargetMode="External"/><Relationship Id="rId119" Type="http://schemas.openxmlformats.org/officeDocument/2006/relationships/hyperlink" Target="javascript:void(0);" TargetMode="External"/><Relationship Id="rId10" Type="http://schemas.openxmlformats.org/officeDocument/2006/relationships/footer" Target="footer1.xml"/><Relationship Id="rId31" Type="http://schemas.openxmlformats.org/officeDocument/2006/relationships/hyperlink" Target="javascript:void(0);" TargetMode="External"/><Relationship Id="rId44" Type="http://schemas.openxmlformats.org/officeDocument/2006/relationships/hyperlink" Target="javascript:void(0);" TargetMode="External"/><Relationship Id="rId52" Type="http://schemas.openxmlformats.org/officeDocument/2006/relationships/hyperlink" Target="javascript:void(0);" TargetMode="External"/><Relationship Id="rId60" Type="http://schemas.openxmlformats.org/officeDocument/2006/relationships/hyperlink" Target="javascript:void(0);" TargetMode="External"/><Relationship Id="rId65" Type="http://schemas.openxmlformats.org/officeDocument/2006/relationships/hyperlink" Target="javascript:void(0);" TargetMode="External"/><Relationship Id="rId73" Type="http://schemas.openxmlformats.org/officeDocument/2006/relationships/hyperlink" Target="javascript:void(0);" TargetMode="External"/><Relationship Id="rId78" Type="http://schemas.openxmlformats.org/officeDocument/2006/relationships/hyperlink" Target="javascript:void(0);" TargetMode="External"/><Relationship Id="rId81" Type="http://schemas.openxmlformats.org/officeDocument/2006/relationships/hyperlink" Target="javascript:void(0);" TargetMode="External"/><Relationship Id="rId86" Type="http://schemas.openxmlformats.org/officeDocument/2006/relationships/hyperlink" Target="javascript:void(0);" TargetMode="External"/><Relationship Id="rId94" Type="http://schemas.openxmlformats.org/officeDocument/2006/relationships/hyperlink" Target="javascript:void(0);" TargetMode="External"/><Relationship Id="rId99" Type="http://schemas.openxmlformats.org/officeDocument/2006/relationships/hyperlink" Target="javascript:void(0);" TargetMode="External"/><Relationship Id="rId101" Type="http://schemas.openxmlformats.org/officeDocument/2006/relationships/hyperlink" Target="javascript:void(0);" TargetMode="External"/><Relationship Id="rId122" Type="http://schemas.openxmlformats.org/officeDocument/2006/relationships/hyperlink" Target="javascript:void(0);" TargetMode="External"/><Relationship Id="rId130" Type="http://schemas.openxmlformats.org/officeDocument/2006/relationships/hyperlink" Target="javascript:void(0);" TargetMode="External"/><Relationship Id="rId135" Type="http://schemas.openxmlformats.org/officeDocument/2006/relationships/hyperlink" Target="javascript:void(0);" TargetMode="External"/><Relationship Id="rId143" Type="http://schemas.openxmlformats.org/officeDocument/2006/relationships/hyperlink" Target="javascript:void(0);" TargetMode="External"/><Relationship Id="rId148" Type="http://schemas.openxmlformats.org/officeDocument/2006/relationships/hyperlink" Target="javascript:void(0);" TargetMode="External"/><Relationship Id="rId151" Type="http://schemas.openxmlformats.org/officeDocument/2006/relationships/hyperlink" Target="javascript:void(0);" TargetMode="External"/><Relationship Id="rId156" Type="http://schemas.openxmlformats.org/officeDocument/2006/relationships/hyperlink" Target="javascript:void(0);" TargetMode="External"/><Relationship Id="rId164" Type="http://schemas.openxmlformats.org/officeDocument/2006/relationships/oleObject" Target="embeddings/Microsoft_Excel_Chart8.xls"/><Relationship Id="rId169" Type="http://schemas.openxmlformats.org/officeDocument/2006/relationships/image" Target="media/image17.wmf"/><Relationship Id="rId177"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72" Type="http://schemas.openxmlformats.org/officeDocument/2006/relationships/image" Target="media/image19.wmf"/><Relationship Id="rId13" Type="http://schemas.openxmlformats.org/officeDocument/2006/relationships/footer" Target="footer3.xml"/><Relationship Id="rId18" Type="http://schemas.openxmlformats.org/officeDocument/2006/relationships/image" Target="media/image6.png"/><Relationship Id="rId39" Type="http://schemas.openxmlformats.org/officeDocument/2006/relationships/hyperlink" Target="javascript:void(0);" TargetMode="External"/><Relationship Id="rId109" Type="http://schemas.openxmlformats.org/officeDocument/2006/relationships/hyperlink" Target="javascript:void(0);" TargetMode="External"/><Relationship Id="rId34" Type="http://schemas.openxmlformats.org/officeDocument/2006/relationships/hyperlink" Target="javascript:void(0);" TargetMode="External"/><Relationship Id="rId50" Type="http://schemas.openxmlformats.org/officeDocument/2006/relationships/hyperlink" Target="javascript:void(0);" TargetMode="External"/><Relationship Id="rId55" Type="http://schemas.openxmlformats.org/officeDocument/2006/relationships/hyperlink" Target="javascript:void(0);" TargetMode="External"/><Relationship Id="rId76" Type="http://schemas.openxmlformats.org/officeDocument/2006/relationships/hyperlink" Target="javascript:void(0);" TargetMode="External"/><Relationship Id="rId97" Type="http://schemas.openxmlformats.org/officeDocument/2006/relationships/hyperlink" Target="javascript:void(0);" TargetMode="External"/><Relationship Id="rId104" Type="http://schemas.openxmlformats.org/officeDocument/2006/relationships/hyperlink" Target="javascript:void(0);" TargetMode="External"/><Relationship Id="rId120" Type="http://schemas.openxmlformats.org/officeDocument/2006/relationships/hyperlink" Target="javascript:void(0);" TargetMode="External"/><Relationship Id="rId125" Type="http://schemas.openxmlformats.org/officeDocument/2006/relationships/hyperlink" Target="javascript:void(0);" TargetMode="External"/><Relationship Id="rId141" Type="http://schemas.openxmlformats.org/officeDocument/2006/relationships/hyperlink" Target="javascript:void(0);" TargetMode="External"/><Relationship Id="rId146" Type="http://schemas.openxmlformats.org/officeDocument/2006/relationships/hyperlink" Target="javascript:void(0);" TargetMode="External"/><Relationship Id="rId167" Type="http://schemas.openxmlformats.org/officeDocument/2006/relationships/image" Target="media/image16.png"/><Relationship Id="rId7" Type="http://schemas.openxmlformats.org/officeDocument/2006/relationships/comments" Target="comments.xml"/><Relationship Id="rId71" Type="http://schemas.openxmlformats.org/officeDocument/2006/relationships/hyperlink" Target="javascript:void(0);" TargetMode="External"/><Relationship Id="rId92" Type="http://schemas.openxmlformats.org/officeDocument/2006/relationships/hyperlink" Target="javascript:void(0);" TargetMode="External"/><Relationship Id="rId162" Type="http://schemas.openxmlformats.org/officeDocument/2006/relationships/oleObject" Target="embeddings/Microsoft_Excel_Chart7.xls"/><Relationship Id="rId2" Type="http://schemas.openxmlformats.org/officeDocument/2006/relationships/styles" Target="styles.xml"/><Relationship Id="rId29" Type="http://schemas.openxmlformats.org/officeDocument/2006/relationships/image" Target="media/image12.wmf"/><Relationship Id="rId24" Type="http://schemas.openxmlformats.org/officeDocument/2006/relationships/oleObject" Target="embeddings/Microsoft_Excel_Chart3.xls"/><Relationship Id="rId40" Type="http://schemas.openxmlformats.org/officeDocument/2006/relationships/hyperlink" Target="javascript:void(0);" TargetMode="External"/><Relationship Id="rId45" Type="http://schemas.openxmlformats.org/officeDocument/2006/relationships/hyperlink" Target="javascript:void(0);" TargetMode="External"/><Relationship Id="rId66" Type="http://schemas.openxmlformats.org/officeDocument/2006/relationships/hyperlink" Target="javascript:void(0);" TargetMode="External"/><Relationship Id="rId87" Type="http://schemas.openxmlformats.org/officeDocument/2006/relationships/hyperlink" Target="javascript:void(0);" TargetMode="External"/><Relationship Id="rId110" Type="http://schemas.openxmlformats.org/officeDocument/2006/relationships/hyperlink" Target="javascript:void(0);" TargetMode="External"/><Relationship Id="rId115" Type="http://schemas.openxmlformats.org/officeDocument/2006/relationships/hyperlink" Target="javascript:void(0);" TargetMode="External"/><Relationship Id="rId131" Type="http://schemas.openxmlformats.org/officeDocument/2006/relationships/hyperlink" Target="javascript:void(0);" TargetMode="External"/><Relationship Id="rId136" Type="http://schemas.openxmlformats.org/officeDocument/2006/relationships/hyperlink" Target="javascript:void(0);" TargetMode="External"/><Relationship Id="rId157" Type="http://schemas.openxmlformats.org/officeDocument/2006/relationships/hyperlink" Target="javascript:void(0);" TargetMode="External"/><Relationship Id="rId178" Type="http://schemas.openxmlformats.org/officeDocument/2006/relationships/fontTable" Target="fontTable.xml"/><Relationship Id="rId61" Type="http://schemas.openxmlformats.org/officeDocument/2006/relationships/hyperlink" Target="javascript:void(0);" TargetMode="External"/><Relationship Id="rId82" Type="http://schemas.openxmlformats.org/officeDocument/2006/relationships/hyperlink" Target="javascript:void(0);" TargetMode="External"/><Relationship Id="rId152" Type="http://schemas.openxmlformats.org/officeDocument/2006/relationships/hyperlink" Target="javascript:void(0);" TargetMode="External"/><Relationship Id="rId173" Type="http://schemas.openxmlformats.org/officeDocument/2006/relationships/oleObject" Target="embeddings/Microsoft_Excel_Chart11.xls"/><Relationship Id="rId19" Type="http://schemas.openxmlformats.org/officeDocument/2006/relationships/image" Target="media/image7.wmf"/><Relationship Id="rId14" Type="http://schemas.openxmlformats.org/officeDocument/2006/relationships/image" Target="media/image2.png"/><Relationship Id="rId30" Type="http://schemas.openxmlformats.org/officeDocument/2006/relationships/oleObject" Target="embeddings/Microsoft_Excel_Chart6.xls"/><Relationship Id="rId35" Type="http://schemas.openxmlformats.org/officeDocument/2006/relationships/hyperlink" Target="javascript:void(0);" TargetMode="External"/><Relationship Id="rId56" Type="http://schemas.openxmlformats.org/officeDocument/2006/relationships/hyperlink" Target="javascript:void(0);" TargetMode="External"/><Relationship Id="rId77" Type="http://schemas.openxmlformats.org/officeDocument/2006/relationships/hyperlink" Target="javascript:void(0);" TargetMode="External"/><Relationship Id="rId100" Type="http://schemas.openxmlformats.org/officeDocument/2006/relationships/hyperlink" Target="javascript:void(0);" TargetMode="External"/><Relationship Id="rId105" Type="http://schemas.openxmlformats.org/officeDocument/2006/relationships/hyperlink" Target="javascript:void(0);" TargetMode="External"/><Relationship Id="rId126" Type="http://schemas.openxmlformats.org/officeDocument/2006/relationships/hyperlink" Target="javascript:void(0);" TargetMode="External"/><Relationship Id="rId147" Type="http://schemas.openxmlformats.org/officeDocument/2006/relationships/hyperlink" Target="javascript:void(0);" TargetMode="External"/><Relationship Id="rId168" Type="http://schemas.openxmlformats.org/officeDocument/2006/relationships/hyperlink" Target="http://www.amc.unam.mx" TargetMode="External"/><Relationship Id="rId8" Type="http://schemas.openxmlformats.org/officeDocument/2006/relationships/header" Target="header1.xml"/><Relationship Id="rId51" Type="http://schemas.openxmlformats.org/officeDocument/2006/relationships/hyperlink" Target="javascript:void(0);" TargetMode="External"/><Relationship Id="rId72" Type="http://schemas.openxmlformats.org/officeDocument/2006/relationships/hyperlink" Target="javascript:void(0);" TargetMode="External"/><Relationship Id="rId93" Type="http://schemas.openxmlformats.org/officeDocument/2006/relationships/hyperlink" Target="javascript:void(0);" TargetMode="External"/><Relationship Id="rId98" Type="http://schemas.openxmlformats.org/officeDocument/2006/relationships/hyperlink" Target="javascript:void(0);" TargetMode="External"/><Relationship Id="rId121" Type="http://schemas.openxmlformats.org/officeDocument/2006/relationships/hyperlink" Target="javascript:void(0);" TargetMode="External"/><Relationship Id="rId142" Type="http://schemas.openxmlformats.org/officeDocument/2006/relationships/hyperlink" Target="javascript:void(0);" TargetMode="External"/><Relationship Id="rId163" Type="http://schemas.openxmlformats.org/officeDocument/2006/relationships/image" Target="media/image14.wmf"/><Relationship Id="rId3" Type="http://schemas.openxmlformats.org/officeDocument/2006/relationships/settings" Target="settings.xml"/><Relationship Id="rId25" Type="http://schemas.openxmlformats.org/officeDocument/2006/relationships/image" Target="media/image10.wmf"/><Relationship Id="rId46" Type="http://schemas.openxmlformats.org/officeDocument/2006/relationships/hyperlink" Target="javascript:void(0);" TargetMode="External"/><Relationship Id="rId67" Type="http://schemas.openxmlformats.org/officeDocument/2006/relationships/hyperlink" Target="javascript:void(0);" TargetMode="External"/><Relationship Id="rId116" Type="http://schemas.openxmlformats.org/officeDocument/2006/relationships/hyperlink" Target="javascript:void(0);" TargetMode="External"/><Relationship Id="rId137" Type="http://schemas.openxmlformats.org/officeDocument/2006/relationships/hyperlink" Target="javascript:void(0);" TargetMode="External"/><Relationship Id="rId158" Type="http://schemas.openxmlformats.org/officeDocument/2006/relationships/hyperlink" Target="javascript:void(0);" TargetMode="External"/><Relationship Id="rId20" Type="http://schemas.openxmlformats.org/officeDocument/2006/relationships/oleObject" Target="embeddings/Microsoft_Excel_Chart1.xls"/><Relationship Id="rId41" Type="http://schemas.openxmlformats.org/officeDocument/2006/relationships/hyperlink" Target="javascript:void(0);" TargetMode="External"/><Relationship Id="rId62" Type="http://schemas.openxmlformats.org/officeDocument/2006/relationships/hyperlink" Target="javascript:void(0);" TargetMode="External"/><Relationship Id="rId83" Type="http://schemas.openxmlformats.org/officeDocument/2006/relationships/hyperlink" Target="javascript:void(0);" TargetMode="External"/><Relationship Id="rId88" Type="http://schemas.openxmlformats.org/officeDocument/2006/relationships/hyperlink" Target="javascript:void(0);" TargetMode="External"/><Relationship Id="rId111" Type="http://schemas.openxmlformats.org/officeDocument/2006/relationships/hyperlink" Target="javascript:void(0);" TargetMode="External"/><Relationship Id="rId132" Type="http://schemas.openxmlformats.org/officeDocument/2006/relationships/hyperlink" Target="javascript:void(0);" TargetMode="External"/><Relationship Id="rId153" Type="http://schemas.openxmlformats.org/officeDocument/2006/relationships/hyperlink" Target="javascript:void(0);" TargetMode="External"/><Relationship Id="rId174" Type="http://schemas.openxmlformats.org/officeDocument/2006/relationships/header" Target="header4.xml"/><Relationship Id="rId179" Type="http://schemas.openxmlformats.org/officeDocument/2006/relationships/theme" Target="theme/theme1.xml"/><Relationship Id="rId15" Type="http://schemas.openxmlformats.org/officeDocument/2006/relationships/image" Target="media/image3.png"/><Relationship Id="rId36" Type="http://schemas.openxmlformats.org/officeDocument/2006/relationships/hyperlink" Target="javascript:void(0);" TargetMode="External"/><Relationship Id="rId57" Type="http://schemas.openxmlformats.org/officeDocument/2006/relationships/hyperlink" Target="javascript:void(0);" TargetMode="External"/><Relationship Id="rId106" Type="http://schemas.openxmlformats.org/officeDocument/2006/relationships/hyperlink" Target="javascript:void(0);" TargetMode="External"/><Relationship Id="rId127" Type="http://schemas.openxmlformats.org/officeDocument/2006/relationships/hyperlink" Target="javascript:void(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453</TotalTime>
  <Pages>1</Pages>
  <Words>28958</Words>
  <Characters>165066</Characters>
  <Application>Microsoft Office Word</Application>
  <DocSecurity>4</DocSecurity>
  <Lines>1375</Lines>
  <Paragraphs>330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202712</CharactersWithSpaces>
  <SharedDoc>false</SharedDoc>
  <HLinks>
    <vt:vector size="810" baseType="variant">
      <vt:variant>
        <vt:i4>7012477</vt:i4>
      </vt:variant>
      <vt:variant>
        <vt:i4>411</vt:i4>
      </vt:variant>
      <vt:variant>
        <vt:i4>0</vt:i4>
      </vt:variant>
      <vt:variant>
        <vt:i4>5</vt:i4>
      </vt:variant>
      <vt:variant>
        <vt:lpwstr>http://www.amc.unam.mx/</vt:lpwstr>
      </vt:variant>
      <vt:variant>
        <vt:lpwstr/>
      </vt:variant>
      <vt:variant>
        <vt:i4>6291564</vt:i4>
      </vt:variant>
      <vt:variant>
        <vt:i4>405</vt:i4>
      </vt:variant>
      <vt:variant>
        <vt:i4>0</vt:i4>
      </vt:variant>
      <vt:variant>
        <vt:i4>5</vt:i4>
      </vt:variant>
      <vt:variant>
        <vt:lpwstr>javascript:void(0);</vt:lpwstr>
      </vt:variant>
      <vt:variant>
        <vt:lpwstr/>
      </vt:variant>
      <vt:variant>
        <vt:i4>6291564</vt:i4>
      </vt:variant>
      <vt:variant>
        <vt:i4>402</vt:i4>
      </vt:variant>
      <vt:variant>
        <vt:i4>0</vt:i4>
      </vt:variant>
      <vt:variant>
        <vt:i4>5</vt:i4>
      </vt:variant>
      <vt:variant>
        <vt:lpwstr>javascript:void(0);</vt:lpwstr>
      </vt:variant>
      <vt:variant>
        <vt:lpwstr/>
      </vt:variant>
      <vt:variant>
        <vt:i4>6291564</vt:i4>
      </vt:variant>
      <vt:variant>
        <vt:i4>399</vt:i4>
      </vt:variant>
      <vt:variant>
        <vt:i4>0</vt:i4>
      </vt:variant>
      <vt:variant>
        <vt:i4>5</vt:i4>
      </vt:variant>
      <vt:variant>
        <vt:lpwstr>javascript:void(0);</vt:lpwstr>
      </vt:variant>
      <vt:variant>
        <vt:lpwstr/>
      </vt:variant>
      <vt:variant>
        <vt:i4>6291564</vt:i4>
      </vt:variant>
      <vt:variant>
        <vt:i4>396</vt:i4>
      </vt:variant>
      <vt:variant>
        <vt:i4>0</vt:i4>
      </vt:variant>
      <vt:variant>
        <vt:i4>5</vt:i4>
      </vt:variant>
      <vt:variant>
        <vt:lpwstr>javascript:void(0);</vt:lpwstr>
      </vt:variant>
      <vt:variant>
        <vt:lpwstr/>
      </vt:variant>
      <vt:variant>
        <vt:i4>6291564</vt:i4>
      </vt:variant>
      <vt:variant>
        <vt:i4>393</vt:i4>
      </vt:variant>
      <vt:variant>
        <vt:i4>0</vt:i4>
      </vt:variant>
      <vt:variant>
        <vt:i4>5</vt:i4>
      </vt:variant>
      <vt:variant>
        <vt:lpwstr>javascript:void(0);</vt:lpwstr>
      </vt:variant>
      <vt:variant>
        <vt:lpwstr/>
      </vt:variant>
      <vt:variant>
        <vt:i4>6291564</vt:i4>
      </vt:variant>
      <vt:variant>
        <vt:i4>390</vt:i4>
      </vt:variant>
      <vt:variant>
        <vt:i4>0</vt:i4>
      </vt:variant>
      <vt:variant>
        <vt:i4>5</vt:i4>
      </vt:variant>
      <vt:variant>
        <vt:lpwstr>javascript:void(0);</vt:lpwstr>
      </vt:variant>
      <vt:variant>
        <vt:lpwstr/>
      </vt:variant>
      <vt:variant>
        <vt:i4>6291564</vt:i4>
      </vt:variant>
      <vt:variant>
        <vt:i4>387</vt:i4>
      </vt:variant>
      <vt:variant>
        <vt:i4>0</vt:i4>
      </vt:variant>
      <vt:variant>
        <vt:i4>5</vt:i4>
      </vt:variant>
      <vt:variant>
        <vt:lpwstr>javascript:void(0);</vt:lpwstr>
      </vt:variant>
      <vt:variant>
        <vt:lpwstr/>
      </vt:variant>
      <vt:variant>
        <vt:i4>6291564</vt:i4>
      </vt:variant>
      <vt:variant>
        <vt:i4>384</vt:i4>
      </vt:variant>
      <vt:variant>
        <vt:i4>0</vt:i4>
      </vt:variant>
      <vt:variant>
        <vt:i4>5</vt:i4>
      </vt:variant>
      <vt:variant>
        <vt:lpwstr>javascript:void(0);</vt:lpwstr>
      </vt:variant>
      <vt:variant>
        <vt:lpwstr/>
      </vt:variant>
      <vt:variant>
        <vt:i4>6291564</vt:i4>
      </vt:variant>
      <vt:variant>
        <vt:i4>381</vt:i4>
      </vt:variant>
      <vt:variant>
        <vt:i4>0</vt:i4>
      </vt:variant>
      <vt:variant>
        <vt:i4>5</vt:i4>
      </vt:variant>
      <vt:variant>
        <vt:lpwstr>javascript:void(0);</vt:lpwstr>
      </vt:variant>
      <vt:variant>
        <vt:lpwstr/>
      </vt:variant>
      <vt:variant>
        <vt:i4>6291564</vt:i4>
      </vt:variant>
      <vt:variant>
        <vt:i4>378</vt:i4>
      </vt:variant>
      <vt:variant>
        <vt:i4>0</vt:i4>
      </vt:variant>
      <vt:variant>
        <vt:i4>5</vt:i4>
      </vt:variant>
      <vt:variant>
        <vt:lpwstr>javascript:void(0);</vt:lpwstr>
      </vt:variant>
      <vt:variant>
        <vt:lpwstr/>
      </vt:variant>
      <vt:variant>
        <vt:i4>6291564</vt:i4>
      </vt:variant>
      <vt:variant>
        <vt:i4>375</vt:i4>
      </vt:variant>
      <vt:variant>
        <vt:i4>0</vt:i4>
      </vt:variant>
      <vt:variant>
        <vt:i4>5</vt:i4>
      </vt:variant>
      <vt:variant>
        <vt:lpwstr>javascript:void(0);</vt:lpwstr>
      </vt:variant>
      <vt:variant>
        <vt:lpwstr/>
      </vt:variant>
      <vt:variant>
        <vt:i4>6291564</vt:i4>
      </vt:variant>
      <vt:variant>
        <vt:i4>372</vt:i4>
      </vt:variant>
      <vt:variant>
        <vt:i4>0</vt:i4>
      </vt:variant>
      <vt:variant>
        <vt:i4>5</vt:i4>
      </vt:variant>
      <vt:variant>
        <vt:lpwstr>javascript:void(0);</vt:lpwstr>
      </vt:variant>
      <vt:variant>
        <vt:lpwstr/>
      </vt:variant>
      <vt:variant>
        <vt:i4>6291564</vt:i4>
      </vt:variant>
      <vt:variant>
        <vt:i4>369</vt:i4>
      </vt:variant>
      <vt:variant>
        <vt:i4>0</vt:i4>
      </vt:variant>
      <vt:variant>
        <vt:i4>5</vt:i4>
      </vt:variant>
      <vt:variant>
        <vt:lpwstr>javascript:void(0);</vt:lpwstr>
      </vt:variant>
      <vt:variant>
        <vt:lpwstr/>
      </vt:variant>
      <vt:variant>
        <vt:i4>6291564</vt:i4>
      </vt:variant>
      <vt:variant>
        <vt:i4>366</vt:i4>
      </vt:variant>
      <vt:variant>
        <vt:i4>0</vt:i4>
      </vt:variant>
      <vt:variant>
        <vt:i4>5</vt:i4>
      </vt:variant>
      <vt:variant>
        <vt:lpwstr>javascript:void(0);</vt:lpwstr>
      </vt:variant>
      <vt:variant>
        <vt:lpwstr/>
      </vt:variant>
      <vt:variant>
        <vt:i4>6291564</vt:i4>
      </vt:variant>
      <vt:variant>
        <vt:i4>363</vt:i4>
      </vt:variant>
      <vt:variant>
        <vt:i4>0</vt:i4>
      </vt:variant>
      <vt:variant>
        <vt:i4>5</vt:i4>
      </vt:variant>
      <vt:variant>
        <vt:lpwstr>javascript:void(0);</vt:lpwstr>
      </vt:variant>
      <vt:variant>
        <vt:lpwstr/>
      </vt:variant>
      <vt:variant>
        <vt:i4>6291564</vt:i4>
      </vt:variant>
      <vt:variant>
        <vt:i4>360</vt:i4>
      </vt:variant>
      <vt:variant>
        <vt:i4>0</vt:i4>
      </vt:variant>
      <vt:variant>
        <vt:i4>5</vt:i4>
      </vt:variant>
      <vt:variant>
        <vt:lpwstr>javascript:void(0);</vt:lpwstr>
      </vt:variant>
      <vt:variant>
        <vt:lpwstr/>
      </vt:variant>
      <vt:variant>
        <vt:i4>6291564</vt:i4>
      </vt:variant>
      <vt:variant>
        <vt:i4>357</vt:i4>
      </vt:variant>
      <vt:variant>
        <vt:i4>0</vt:i4>
      </vt:variant>
      <vt:variant>
        <vt:i4>5</vt:i4>
      </vt:variant>
      <vt:variant>
        <vt:lpwstr>javascript:void(0);</vt:lpwstr>
      </vt:variant>
      <vt:variant>
        <vt:lpwstr/>
      </vt:variant>
      <vt:variant>
        <vt:i4>6291564</vt:i4>
      </vt:variant>
      <vt:variant>
        <vt:i4>354</vt:i4>
      </vt:variant>
      <vt:variant>
        <vt:i4>0</vt:i4>
      </vt:variant>
      <vt:variant>
        <vt:i4>5</vt:i4>
      </vt:variant>
      <vt:variant>
        <vt:lpwstr>javascript:void(0);</vt:lpwstr>
      </vt:variant>
      <vt:variant>
        <vt:lpwstr/>
      </vt:variant>
      <vt:variant>
        <vt:i4>6291564</vt:i4>
      </vt:variant>
      <vt:variant>
        <vt:i4>351</vt:i4>
      </vt:variant>
      <vt:variant>
        <vt:i4>0</vt:i4>
      </vt:variant>
      <vt:variant>
        <vt:i4>5</vt:i4>
      </vt:variant>
      <vt:variant>
        <vt:lpwstr>javascript:void(0);</vt:lpwstr>
      </vt:variant>
      <vt:variant>
        <vt:lpwstr/>
      </vt:variant>
      <vt:variant>
        <vt:i4>6291564</vt:i4>
      </vt:variant>
      <vt:variant>
        <vt:i4>348</vt:i4>
      </vt:variant>
      <vt:variant>
        <vt:i4>0</vt:i4>
      </vt:variant>
      <vt:variant>
        <vt:i4>5</vt:i4>
      </vt:variant>
      <vt:variant>
        <vt:lpwstr>javascript:void(0);</vt:lpwstr>
      </vt:variant>
      <vt:variant>
        <vt:lpwstr/>
      </vt:variant>
      <vt:variant>
        <vt:i4>6291564</vt:i4>
      </vt:variant>
      <vt:variant>
        <vt:i4>345</vt:i4>
      </vt:variant>
      <vt:variant>
        <vt:i4>0</vt:i4>
      </vt:variant>
      <vt:variant>
        <vt:i4>5</vt:i4>
      </vt:variant>
      <vt:variant>
        <vt:lpwstr>javascript:void(0);</vt:lpwstr>
      </vt:variant>
      <vt:variant>
        <vt:lpwstr/>
      </vt:variant>
      <vt:variant>
        <vt:i4>6291564</vt:i4>
      </vt:variant>
      <vt:variant>
        <vt:i4>342</vt:i4>
      </vt:variant>
      <vt:variant>
        <vt:i4>0</vt:i4>
      </vt:variant>
      <vt:variant>
        <vt:i4>5</vt:i4>
      </vt:variant>
      <vt:variant>
        <vt:lpwstr>javascript:void(0);</vt:lpwstr>
      </vt:variant>
      <vt:variant>
        <vt:lpwstr/>
      </vt:variant>
      <vt:variant>
        <vt:i4>6291564</vt:i4>
      </vt:variant>
      <vt:variant>
        <vt:i4>339</vt:i4>
      </vt:variant>
      <vt:variant>
        <vt:i4>0</vt:i4>
      </vt:variant>
      <vt:variant>
        <vt:i4>5</vt:i4>
      </vt:variant>
      <vt:variant>
        <vt:lpwstr>javascript:void(0);</vt:lpwstr>
      </vt:variant>
      <vt:variant>
        <vt:lpwstr/>
      </vt:variant>
      <vt:variant>
        <vt:i4>6291564</vt:i4>
      </vt:variant>
      <vt:variant>
        <vt:i4>336</vt:i4>
      </vt:variant>
      <vt:variant>
        <vt:i4>0</vt:i4>
      </vt:variant>
      <vt:variant>
        <vt:i4>5</vt:i4>
      </vt:variant>
      <vt:variant>
        <vt:lpwstr>javascript:void(0);</vt:lpwstr>
      </vt:variant>
      <vt:variant>
        <vt:lpwstr/>
      </vt:variant>
      <vt:variant>
        <vt:i4>6291564</vt:i4>
      </vt:variant>
      <vt:variant>
        <vt:i4>333</vt:i4>
      </vt:variant>
      <vt:variant>
        <vt:i4>0</vt:i4>
      </vt:variant>
      <vt:variant>
        <vt:i4>5</vt:i4>
      </vt:variant>
      <vt:variant>
        <vt:lpwstr>javascript:void(0);</vt:lpwstr>
      </vt:variant>
      <vt:variant>
        <vt:lpwstr/>
      </vt:variant>
      <vt:variant>
        <vt:i4>6291564</vt:i4>
      </vt:variant>
      <vt:variant>
        <vt:i4>330</vt:i4>
      </vt:variant>
      <vt:variant>
        <vt:i4>0</vt:i4>
      </vt:variant>
      <vt:variant>
        <vt:i4>5</vt:i4>
      </vt:variant>
      <vt:variant>
        <vt:lpwstr>javascript:void(0);</vt:lpwstr>
      </vt:variant>
      <vt:variant>
        <vt:lpwstr/>
      </vt:variant>
      <vt:variant>
        <vt:i4>6291564</vt:i4>
      </vt:variant>
      <vt:variant>
        <vt:i4>327</vt:i4>
      </vt:variant>
      <vt:variant>
        <vt:i4>0</vt:i4>
      </vt:variant>
      <vt:variant>
        <vt:i4>5</vt:i4>
      </vt:variant>
      <vt:variant>
        <vt:lpwstr>javascript:void(0);</vt:lpwstr>
      </vt:variant>
      <vt:variant>
        <vt:lpwstr/>
      </vt:variant>
      <vt:variant>
        <vt:i4>6291564</vt:i4>
      </vt:variant>
      <vt:variant>
        <vt:i4>324</vt:i4>
      </vt:variant>
      <vt:variant>
        <vt:i4>0</vt:i4>
      </vt:variant>
      <vt:variant>
        <vt:i4>5</vt:i4>
      </vt:variant>
      <vt:variant>
        <vt:lpwstr>javascript:void(0);</vt:lpwstr>
      </vt:variant>
      <vt:variant>
        <vt:lpwstr/>
      </vt:variant>
      <vt:variant>
        <vt:i4>6291564</vt:i4>
      </vt:variant>
      <vt:variant>
        <vt:i4>321</vt:i4>
      </vt:variant>
      <vt:variant>
        <vt:i4>0</vt:i4>
      </vt:variant>
      <vt:variant>
        <vt:i4>5</vt:i4>
      </vt:variant>
      <vt:variant>
        <vt:lpwstr>javascript:void(0);</vt:lpwstr>
      </vt:variant>
      <vt:variant>
        <vt:lpwstr/>
      </vt:variant>
      <vt:variant>
        <vt:i4>6291564</vt:i4>
      </vt:variant>
      <vt:variant>
        <vt:i4>318</vt:i4>
      </vt:variant>
      <vt:variant>
        <vt:i4>0</vt:i4>
      </vt:variant>
      <vt:variant>
        <vt:i4>5</vt:i4>
      </vt:variant>
      <vt:variant>
        <vt:lpwstr>javascript:void(0);</vt:lpwstr>
      </vt:variant>
      <vt:variant>
        <vt:lpwstr/>
      </vt:variant>
      <vt:variant>
        <vt:i4>6291564</vt:i4>
      </vt:variant>
      <vt:variant>
        <vt:i4>315</vt:i4>
      </vt:variant>
      <vt:variant>
        <vt:i4>0</vt:i4>
      </vt:variant>
      <vt:variant>
        <vt:i4>5</vt:i4>
      </vt:variant>
      <vt:variant>
        <vt:lpwstr>javascript:void(0);</vt:lpwstr>
      </vt:variant>
      <vt:variant>
        <vt:lpwstr/>
      </vt:variant>
      <vt:variant>
        <vt:i4>6291564</vt:i4>
      </vt:variant>
      <vt:variant>
        <vt:i4>312</vt:i4>
      </vt:variant>
      <vt:variant>
        <vt:i4>0</vt:i4>
      </vt:variant>
      <vt:variant>
        <vt:i4>5</vt:i4>
      </vt:variant>
      <vt:variant>
        <vt:lpwstr>javascript:void(0);</vt:lpwstr>
      </vt:variant>
      <vt:variant>
        <vt:lpwstr/>
      </vt:variant>
      <vt:variant>
        <vt:i4>6291564</vt:i4>
      </vt:variant>
      <vt:variant>
        <vt:i4>309</vt:i4>
      </vt:variant>
      <vt:variant>
        <vt:i4>0</vt:i4>
      </vt:variant>
      <vt:variant>
        <vt:i4>5</vt:i4>
      </vt:variant>
      <vt:variant>
        <vt:lpwstr>javascript:void(0);</vt:lpwstr>
      </vt:variant>
      <vt:variant>
        <vt:lpwstr/>
      </vt:variant>
      <vt:variant>
        <vt:i4>6291564</vt:i4>
      </vt:variant>
      <vt:variant>
        <vt:i4>306</vt:i4>
      </vt:variant>
      <vt:variant>
        <vt:i4>0</vt:i4>
      </vt:variant>
      <vt:variant>
        <vt:i4>5</vt:i4>
      </vt:variant>
      <vt:variant>
        <vt:lpwstr>javascript:void(0);</vt:lpwstr>
      </vt:variant>
      <vt:variant>
        <vt:lpwstr/>
      </vt:variant>
      <vt:variant>
        <vt:i4>6291564</vt:i4>
      </vt:variant>
      <vt:variant>
        <vt:i4>303</vt:i4>
      </vt:variant>
      <vt:variant>
        <vt:i4>0</vt:i4>
      </vt:variant>
      <vt:variant>
        <vt:i4>5</vt:i4>
      </vt:variant>
      <vt:variant>
        <vt:lpwstr>javascript:void(0);</vt:lpwstr>
      </vt:variant>
      <vt:variant>
        <vt:lpwstr/>
      </vt:variant>
      <vt:variant>
        <vt:i4>6291564</vt:i4>
      </vt:variant>
      <vt:variant>
        <vt:i4>300</vt:i4>
      </vt:variant>
      <vt:variant>
        <vt:i4>0</vt:i4>
      </vt:variant>
      <vt:variant>
        <vt:i4>5</vt:i4>
      </vt:variant>
      <vt:variant>
        <vt:lpwstr>javascript:void(0);</vt:lpwstr>
      </vt:variant>
      <vt:variant>
        <vt:lpwstr/>
      </vt:variant>
      <vt:variant>
        <vt:i4>6291564</vt:i4>
      </vt:variant>
      <vt:variant>
        <vt:i4>297</vt:i4>
      </vt:variant>
      <vt:variant>
        <vt:i4>0</vt:i4>
      </vt:variant>
      <vt:variant>
        <vt:i4>5</vt:i4>
      </vt:variant>
      <vt:variant>
        <vt:lpwstr>javascript:void(0);</vt:lpwstr>
      </vt:variant>
      <vt:variant>
        <vt:lpwstr/>
      </vt:variant>
      <vt:variant>
        <vt:i4>6291564</vt:i4>
      </vt:variant>
      <vt:variant>
        <vt:i4>294</vt:i4>
      </vt:variant>
      <vt:variant>
        <vt:i4>0</vt:i4>
      </vt:variant>
      <vt:variant>
        <vt:i4>5</vt:i4>
      </vt:variant>
      <vt:variant>
        <vt:lpwstr>javascript:void(0);</vt:lpwstr>
      </vt:variant>
      <vt:variant>
        <vt:lpwstr/>
      </vt:variant>
      <vt:variant>
        <vt:i4>6291564</vt:i4>
      </vt:variant>
      <vt:variant>
        <vt:i4>291</vt:i4>
      </vt:variant>
      <vt:variant>
        <vt:i4>0</vt:i4>
      </vt:variant>
      <vt:variant>
        <vt:i4>5</vt:i4>
      </vt:variant>
      <vt:variant>
        <vt:lpwstr>javascript:void(0);</vt:lpwstr>
      </vt:variant>
      <vt:variant>
        <vt:lpwstr/>
      </vt:variant>
      <vt:variant>
        <vt:i4>6291564</vt:i4>
      </vt:variant>
      <vt:variant>
        <vt:i4>288</vt:i4>
      </vt:variant>
      <vt:variant>
        <vt:i4>0</vt:i4>
      </vt:variant>
      <vt:variant>
        <vt:i4>5</vt:i4>
      </vt:variant>
      <vt:variant>
        <vt:lpwstr>javascript:void(0);</vt:lpwstr>
      </vt:variant>
      <vt:variant>
        <vt:lpwstr/>
      </vt:variant>
      <vt:variant>
        <vt:i4>6291564</vt:i4>
      </vt:variant>
      <vt:variant>
        <vt:i4>285</vt:i4>
      </vt:variant>
      <vt:variant>
        <vt:i4>0</vt:i4>
      </vt:variant>
      <vt:variant>
        <vt:i4>5</vt:i4>
      </vt:variant>
      <vt:variant>
        <vt:lpwstr>javascript:void(0);</vt:lpwstr>
      </vt:variant>
      <vt:variant>
        <vt:lpwstr/>
      </vt:variant>
      <vt:variant>
        <vt:i4>6291564</vt:i4>
      </vt:variant>
      <vt:variant>
        <vt:i4>282</vt:i4>
      </vt:variant>
      <vt:variant>
        <vt:i4>0</vt:i4>
      </vt:variant>
      <vt:variant>
        <vt:i4>5</vt:i4>
      </vt:variant>
      <vt:variant>
        <vt:lpwstr>javascript:void(0);</vt:lpwstr>
      </vt:variant>
      <vt:variant>
        <vt:lpwstr/>
      </vt:variant>
      <vt:variant>
        <vt:i4>6291564</vt:i4>
      </vt:variant>
      <vt:variant>
        <vt:i4>279</vt:i4>
      </vt:variant>
      <vt:variant>
        <vt:i4>0</vt:i4>
      </vt:variant>
      <vt:variant>
        <vt:i4>5</vt:i4>
      </vt:variant>
      <vt:variant>
        <vt:lpwstr>javascript:void(0);</vt:lpwstr>
      </vt:variant>
      <vt:variant>
        <vt:lpwstr/>
      </vt:variant>
      <vt:variant>
        <vt:i4>6291564</vt:i4>
      </vt:variant>
      <vt:variant>
        <vt:i4>276</vt:i4>
      </vt:variant>
      <vt:variant>
        <vt:i4>0</vt:i4>
      </vt:variant>
      <vt:variant>
        <vt:i4>5</vt:i4>
      </vt:variant>
      <vt:variant>
        <vt:lpwstr>javascript:void(0);</vt:lpwstr>
      </vt:variant>
      <vt:variant>
        <vt:lpwstr/>
      </vt:variant>
      <vt:variant>
        <vt:i4>6291564</vt:i4>
      </vt:variant>
      <vt:variant>
        <vt:i4>273</vt:i4>
      </vt:variant>
      <vt:variant>
        <vt:i4>0</vt:i4>
      </vt:variant>
      <vt:variant>
        <vt:i4>5</vt:i4>
      </vt:variant>
      <vt:variant>
        <vt:lpwstr>javascript:void(0);</vt:lpwstr>
      </vt:variant>
      <vt:variant>
        <vt:lpwstr/>
      </vt:variant>
      <vt:variant>
        <vt:i4>6291564</vt:i4>
      </vt:variant>
      <vt:variant>
        <vt:i4>270</vt:i4>
      </vt:variant>
      <vt:variant>
        <vt:i4>0</vt:i4>
      </vt:variant>
      <vt:variant>
        <vt:i4>5</vt:i4>
      </vt:variant>
      <vt:variant>
        <vt:lpwstr>javascript:void(0);</vt:lpwstr>
      </vt:variant>
      <vt:variant>
        <vt:lpwstr/>
      </vt:variant>
      <vt:variant>
        <vt:i4>6291564</vt:i4>
      </vt:variant>
      <vt:variant>
        <vt:i4>267</vt:i4>
      </vt:variant>
      <vt:variant>
        <vt:i4>0</vt:i4>
      </vt:variant>
      <vt:variant>
        <vt:i4>5</vt:i4>
      </vt:variant>
      <vt:variant>
        <vt:lpwstr>javascript:void(0);</vt:lpwstr>
      </vt:variant>
      <vt:variant>
        <vt:lpwstr/>
      </vt:variant>
      <vt:variant>
        <vt:i4>6291564</vt:i4>
      </vt:variant>
      <vt:variant>
        <vt:i4>264</vt:i4>
      </vt:variant>
      <vt:variant>
        <vt:i4>0</vt:i4>
      </vt:variant>
      <vt:variant>
        <vt:i4>5</vt:i4>
      </vt:variant>
      <vt:variant>
        <vt:lpwstr>javascript:void(0);</vt:lpwstr>
      </vt:variant>
      <vt:variant>
        <vt:lpwstr/>
      </vt:variant>
      <vt:variant>
        <vt:i4>6291564</vt:i4>
      </vt:variant>
      <vt:variant>
        <vt:i4>261</vt:i4>
      </vt:variant>
      <vt:variant>
        <vt:i4>0</vt:i4>
      </vt:variant>
      <vt:variant>
        <vt:i4>5</vt:i4>
      </vt:variant>
      <vt:variant>
        <vt:lpwstr>javascript:void(0);</vt:lpwstr>
      </vt:variant>
      <vt:variant>
        <vt:lpwstr/>
      </vt:variant>
      <vt:variant>
        <vt:i4>6291564</vt:i4>
      </vt:variant>
      <vt:variant>
        <vt:i4>258</vt:i4>
      </vt:variant>
      <vt:variant>
        <vt:i4>0</vt:i4>
      </vt:variant>
      <vt:variant>
        <vt:i4>5</vt:i4>
      </vt:variant>
      <vt:variant>
        <vt:lpwstr>javascript:void(0);</vt:lpwstr>
      </vt:variant>
      <vt:variant>
        <vt:lpwstr/>
      </vt:variant>
      <vt:variant>
        <vt:i4>6291564</vt:i4>
      </vt:variant>
      <vt:variant>
        <vt:i4>255</vt:i4>
      </vt:variant>
      <vt:variant>
        <vt:i4>0</vt:i4>
      </vt:variant>
      <vt:variant>
        <vt:i4>5</vt:i4>
      </vt:variant>
      <vt:variant>
        <vt:lpwstr>javascript:void(0);</vt:lpwstr>
      </vt:variant>
      <vt:variant>
        <vt:lpwstr/>
      </vt:variant>
      <vt:variant>
        <vt:i4>6291564</vt:i4>
      </vt:variant>
      <vt:variant>
        <vt:i4>252</vt:i4>
      </vt:variant>
      <vt:variant>
        <vt:i4>0</vt:i4>
      </vt:variant>
      <vt:variant>
        <vt:i4>5</vt:i4>
      </vt:variant>
      <vt:variant>
        <vt:lpwstr>javascript:void(0);</vt:lpwstr>
      </vt:variant>
      <vt:variant>
        <vt:lpwstr/>
      </vt:variant>
      <vt:variant>
        <vt:i4>6291564</vt:i4>
      </vt:variant>
      <vt:variant>
        <vt:i4>249</vt:i4>
      </vt:variant>
      <vt:variant>
        <vt:i4>0</vt:i4>
      </vt:variant>
      <vt:variant>
        <vt:i4>5</vt:i4>
      </vt:variant>
      <vt:variant>
        <vt:lpwstr>javascript:void(0);</vt:lpwstr>
      </vt:variant>
      <vt:variant>
        <vt:lpwstr/>
      </vt:variant>
      <vt:variant>
        <vt:i4>6291564</vt:i4>
      </vt:variant>
      <vt:variant>
        <vt:i4>246</vt:i4>
      </vt:variant>
      <vt:variant>
        <vt:i4>0</vt:i4>
      </vt:variant>
      <vt:variant>
        <vt:i4>5</vt:i4>
      </vt:variant>
      <vt:variant>
        <vt:lpwstr>javascript:void(0);</vt:lpwstr>
      </vt:variant>
      <vt:variant>
        <vt:lpwstr/>
      </vt:variant>
      <vt:variant>
        <vt:i4>6291564</vt:i4>
      </vt:variant>
      <vt:variant>
        <vt:i4>243</vt:i4>
      </vt:variant>
      <vt:variant>
        <vt:i4>0</vt:i4>
      </vt:variant>
      <vt:variant>
        <vt:i4>5</vt:i4>
      </vt:variant>
      <vt:variant>
        <vt:lpwstr>javascript:void(0);</vt:lpwstr>
      </vt:variant>
      <vt:variant>
        <vt:lpwstr/>
      </vt:variant>
      <vt:variant>
        <vt:i4>6291564</vt:i4>
      </vt:variant>
      <vt:variant>
        <vt:i4>240</vt:i4>
      </vt:variant>
      <vt:variant>
        <vt:i4>0</vt:i4>
      </vt:variant>
      <vt:variant>
        <vt:i4>5</vt:i4>
      </vt:variant>
      <vt:variant>
        <vt:lpwstr>javascript:void(0);</vt:lpwstr>
      </vt:variant>
      <vt:variant>
        <vt:lpwstr/>
      </vt:variant>
      <vt:variant>
        <vt:i4>6291564</vt:i4>
      </vt:variant>
      <vt:variant>
        <vt:i4>237</vt:i4>
      </vt:variant>
      <vt:variant>
        <vt:i4>0</vt:i4>
      </vt:variant>
      <vt:variant>
        <vt:i4>5</vt:i4>
      </vt:variant>
      <vt:variant>
        <vt:lpwstr>javascript:void(0);</vt:lpwstr>
      </vt:variant>
      <vt:variant>
        <vt:lpwstr/>
      </vt:variant>
      <vt:variant>
        <vt:i4>6291564</vt:i4>
      </vt:variant>
      <vt:variant>
        <vt:i4>234</vt:i4>
      </vt:variant>
      <vt:variant>
        <vt:i4>0</vt:i4>
      </vt:variant>
      <vt:variant>
        <vt:i4>5</vt:i4>
      </vt:variant>
      <vt:variant>
        <vt:lpwstr>javascript:void(0);</vt:lpwstr>
      </vt:variant>
      <vt:variant>
        <vt:lpwstr/>
      </vt:variant>
      <vt:variant>
        <vt:i4>6291564</vt:i4>
      </vt:variant>
      <vt:variant>
        <vt:i4>231</vt:i4>
      </vt:variant>
      <vt:variant>
        <vt:i4>0</vt:i4>
      </vt:variant>
      <vt:variant>
        <vt:i4>5</vt:i4>
      </vt:variant>
      <vt:variant>
        <vt:lpwstr>javascript:void(0);</vt:lpwstr>
      </vt:variant>
      <vt:variant>
        <vt:lpwstr/>
      </vt:variant>
      <vt:variant>
        <vt:i4>6291564</vt:i4>
      </vt:variant>
      <vt:variant>
        <vt:i4>228</vt:i4>
      </vt:variant>
      <vt:variant>
        <vt:i4>0</vt:i4>
      </vt:variant>
      <vt:variant>
        <vt:i4>5</vt:i4>
      </vt:variant>
      <vt:variant>
        <vt:lpwstr>javascript:void(0);</vt:lpwstr>
      </vt:variant>
      <vt:variant>
        <vt:lpwstr/>
      </vt:variant>
      <vt:variant>
        <vt:i4>6291564</vt:i4>
      </vt:variant>
      <vt:variant>
        <vt:i4>225</vt:i4>
      </vt:variant>
      <vt:variant>
        <vt:i4>0</vt:i4>
      </vt:variant>
      <vt:variant>
        <vt:i4>5</vt:i4>
      </vt:variant>
      <vt:variant>
        <vt:lpwstr>javascript:void(0);</vt:lpwstr>
      </vt:variant>
      <vt:variant>
        <vt:lpwstr/>
      </vt:variant>
      <vt:variant>
        <vt:i4>6291564</vt:i4>
      </vt:variant>
      <vt:variant>
        <vt:i4>222</vt:i4>
      </vt:variant>
      <vt:variant>
        <vt:i4>0</vt:i4>
      </vt:variant>
      <vt:variant>
        <vt:i4>5</vt:i4>
      </vt:variant>
      <vt:variant>
        <vt:lpwstr>javascript:void(0);</vt:lpwstr>
      </vt:variant>
      <vt:variant>
        <vt:lpwstr/>
      </vt:variant>
      <vt:variant>
        <vt:i4>6291564</vt:i4>
      </vt:variant>
      <vt:variant>
        <vt:i4>219</vt:i4>
      </vt:variant>
      <vt:variant>
        <vt:i4>0</vt:i4>
      </vt:variant>
      <vt:variant>
        <vt:i4>5</vt:i4>
      </vt:variant>
      <vt:variant>
        <vt:lpwstr>javascript:void(0);</vt:lpwstr>
      </vt:variant>
      <vt:variant>
        <vt:lpwstr/>
      </vt:variant>
      <vt:variant>
        <vt:i4>6291564</vt:i4>
      </vt:variant>
      <vt:variant>
        <vt:i4>216</vt:i4>
      </vt:variant>
      <vt:variant>
        <vt:i4>0</vt:i4>
      </vt:variant>
      <vt:variant>
        <vt:i4>5</vt:i4>
      </vt:variant>
      <vt:variant>
        <vt:lpwstr>javascript:void(0);</vt:lpwstr>
      </vt:variant>
      <vt:variant>
        <vt:lpwstr/>
      </vt:variant>
      <vt:variant>
        <vt:i4>6291564</vt:i4>
      </vt:variant>
      <vt:variant>
        <vt:i4>213</vt:i4>
      </vt:variant>
      <vt:variant>
        <vt:i4>0</vt:i4>
      </vt:variant>
      <vt:variant>
        <vt:i4>5</vt:i4>
      </vt:variant>
      <vt:variant>
        <vt:lpwstr>javascript:void(0);</vt:lpwstr>
      </vt:variant>
      <vt:variant>
        <vt:lpwstr/>
      </vt:variant>
      <vt:variant>
        <vt:i4>6291564</vt:i4>
      </vt:variant>
      <vt:variant>
        <vt:i4>210</vt:i4>
      </vt:variant>
      <vt:variant>
        <vt:i4>0</vt:i4>
      </vt:variant>
      <vt:variant>
        <vt:i4>5</vt:i4>
      </vt:variant>
      <vt:variant>
        <vt:lpwstr>javascript:void(0);</vt:lpwstr>
      </vt:variant>
      <vt:variant>
        <vt:lpwstr/>
      </vt:variant>
      <vt:variant>
        <vt:i4>6291564</vt:i4>
      </vt:variant>
      <vt:variant>
        <vt:i4>207</vt:i4>
      </vt:variant>
      <vt:variant>
        <vt:i4>0</vt:i4>
      </vt:variant>
      <vt:variant>
        <vt:i4>5</vt:i4>
      </vt:variant>
      <vt:variant>
        <vt:lpwstr>javascript:void(0);</vt:lpwstr>
      </vt:variant>
      <vt:variant>
        <vt:lpwstr/>
      </vt:variant>
      <vt:variant>
        <vt:i4>6291564</vt:i4>
      </vt:variant>
      <vt:variant>
        <vt:i4>204</vt:i4>
      </vt:variant>
      <vt:variant>
        <vt:i4>0</vt:i4>
      </vt:variant>
      <vt:variant>
        <vt:i4>5</vt:i4>
      </vt:variant>
      <vt:variant>
        <vt:lpwstr>javascript:void(0);</vt:lpwstr>
      </vt:variant>
      <vt:variant>
        <vt:lpwstr/>
      </vt:variant>
      <vt:variant>
        <vt:i4>6291564</vt:i4>
      </vt:variant>
      <vt:variant>
        <vt:i4>201</vt:i4>
      </vt:variant>
      <vt:variant>
        <vt:i4>0</vt:i4>
      </vt:variant>
      <vt:variant>
        <vt:i4>5</vt:i4>
      </vt:variant>
      <vt:variant>
        <vt:lpwstr>javascript:void(0);</vt:lpwstr>
      </vt:variant>
      <vt:variant>
        <vt:lpwstr/>
      </vt:variant>
      <vt:variant>
        <vt:i4>6291564</vt:i4>
      </vt:variant>
      <vt:variant>
        <vt:i4>198</vt:i4>
      </vt:variant>
      <vt:variant>
        <vt:i4>0</vt:i4>
      </vt:variant>
      <vt:variant>
        <vt:i4>5</vt:i4>
      </vt:variant>
      <vt:variant>
        <vt:lpwstr>javascript:void(0);</vt:lpwstr>
      </vt:variant>
      <vt:variant>
        <vt:lpwstr/>
      </vt:variant>
      <vt:variant>
        <vt:i4>6291564</vt:i4>
      </vt:variant>
      <vt:variant>
        <vt:i4>195</vt:i4>
      </vt:variant>
      <vt:variant>
        <vt:i4>0</vt:i4>
      </vt:variant>
      <vt:variant>
        <vt:i4>5</vt:i4>
      </vt:variant>
      <vt:variant>
        <vt:lpwstr>javascript:void(0);</vt:lpwstr>
      </vt:variant>
      <vt:variant>
        <vt:lpwstr/>
      </vt:variant>
      <vt:variant>
        <vt:i4>6291564</vt:i4>
      </vt:variant>
      <vt:variant>
        <vt:i4>192</vt:i4>
      </vt:variant>
      <vt:variant>
        <vt:i4>0</vt:i4>
      </vt:variant>
      <vt:variant>
        <vt:i4>5</vt:i4>
      </vt:variant>
      <vt:variant>
        <vt:lpwstr>javascript:void(0);</vt:lpwstr>
      </vt:variant>
      <vt:variant>
        <vt:lpwstr/>
      </vt:variant>
      <vt:variant>
        <vt:i4>6291564</vt:i4>
      </vt:variant>
      <vt:variant>
        <vt:i4>189</vt:i4>
      </vt:variant>
      <vt:variant>
        <vt:i4>0</vt:i4>
      </vt:variant>
      <vt:variant>
        <vt:i4>5</vt:i4>
      </vt:variant>
      <vt:variant>
        <vt:lpwstr>javascript:void(0);</vt:lpwstr>
      </vt:variant>
      <vt:variant>
        <vt:lpwstr/>
      </vt:variant>
      <vt:variant>
        <vt:i4>6291564</vt:i4>
      </vt:variant>
      <vt:variant>
        <vt:i4>186</vt:i4>
      </vt:variant>
      <vt:variant>
        <vt:i4>0</vt:i4>
      </vt:variant>
      <vt:variant>
        <vt:i4>5</vt:i4>
      </vt:variant>
      <vt:variant>
        <vt:lpwstr>javascript:void(0);</vt:lpwstr>
      </vt:variant>
      <vt:variant>
        <vt:lpwstr/>
      </vt:variant>
      <vt:variant>
        <vt:i4>6291564</vt:i4>
      </vt:variant>
      <vt:variant>
        <vt:i4>183</vt:i4>
      </vt:variant>
      <vt:variant>
        <vt:i4>0</vt:i4>
      </vt:variant>
      <vt:variant>
        <vt:i4>5</vt:i4>
      </vt:variant>
      <vt:variant>
        <vt:lpwstr>javascript:void(0);</vt:lpwstr>
      </vt:variant>
      <vt:variant>
        <vt:lpwstr/>
      </vt:variant>
      <vt:variant>
        <vt:i4>6291564</vt:i4>
      </vt:variant>
      <vt:variant>
        <vt:i4>180</vt:i4>
      </vt:variant>
      <vt:variant>
        <vt:i4>0</vt:i4>
      </vt:variant>
      <vt:variant>
        <vt:i4>5</vt:i4>
      </vt:variant>
      <vt:variant>
        <vt:lpwstr>javascript:void(0);</vt:lpwstr>
      </vt:variant>
      <vt:variant>
        <vt:lpwstr/>
      </vt:variant>
      <vt:variant>
        <vt:i4>6291564</vt:i4>
      </vt:variant>
      <vt:variant>
        <vt:i4>177</vt:i4>
      </vt:variant>
      <vt:variant>
        <vt:i4>0</vt:i4>
      </vt:variant>
      <vt:variant>
        <vt:i4>5</vt:i4>
      </vt:variant>
      <vt:variant>
        <vt:lpwstr>javascript:void(0);</vt:lpwstr>
      </vt:variant>
      <vt:variant>
        <vt:lpwstr/>
      </vt:variant>
      <vt:variant>
        <vt:i4>6291564</vt:i4>
      </vt:variant>
      <vt:variant>
        <vt:i4>174</vt:i4>
      </vt:variant>
      <vt:variant>
        <vt:i4>0</vt:i4>
      </vt:variant>
      <vt:variant>
        <vt:i4>5</vt:i4>
      </vt:variant>
      <vt:variant>
        <vt:lpwstr>javascript:void(0);</vt:lpwstr>
      </vt:variant>
      <vt:variant>
        <vt:lpwstr/>
      </vt:variant>
      <vt:variant>
        <vt:i4>6291564</vt:i4>
      </vt:variant>
      <vt:variant>
        <vt:i4>171</vt:i4>
      </vt:variant>
      <vt:variant>
        <vt:i4>0</vt:i4>
      </vt:variant>
      <vt:variant>
        <vt:i4>5</vt:i4>
      </vt:variant>
      <vt:variant>
        <vt:lpwstr>javascript:void(0);</vt:lpwstr>
      </vt:variant>
      <vt:variant>
        <vt:lpwstr/>
      </vt:variant>
      <vt:variant>
        <vt:i4>6291564</vt:i4>
      </vt:variant>
      <vt:variant>
        <vt:i4>168</vt:i4>
      </vt:variant>
      <vt:variant>
        <vt:i4>0</vt:i4>
      </vt:variant>
      <vt:variant>
        <vt:i4>5</vt:i4>
      </vt:variant>
      <vt:variant>
        <vt:lpwstr>javascript:void(0);</vt:lpwstr>
      </vt:variant>
      <vt:variant>
        <vt:lpwstr/>
      </vt:variant>
      <vt:variant>
        <vt:i4>6291564</vt:i4>
      </vt:variant>
      <vt:variant>
        <vt:i4>165</vt:i4>
      </vt:variant>
      <vt:variant>
        <vt:i4>0</vt:i4>
      </vt:variant>
      <vt:variant>
        <vt:i4>5</vt:i4>
      </vt:variant>
      <vt:variant>
        <vt:lpwstr>javascript:void(0);</vt:lpwstr>
      </vt:variant>
      <vt:variant>
        <vt:lpwstr/>
      </vt:variant>
      <vt:variant>
        <vt:i4>6291564</vt:i4>
      </vt:variant>
      <vt:variant>
        <vt:i4>162</vt:i4>
      </vt:variant>
      <vt:variant>
        <vt:i4>0</vt:i4>
      </vt:variant>
      <vt:variant>
        <vt:i4>5</vt:i4>
      </vt:variant>
      <vt:variant>
        <vt:lpwstr>javascript:void(0);</vt:lpwstr>
      </vt:variant>
      <vt:variant>
        <vt:lpwstr/>
      </vt:variant>
      <vt:variant>
        <vt:i4>6291564</vt:i4>
      </vt:variant>
      <vt:variant>
        <vt:i4>159</vt:i4>
      </vt:variant>
      <vt:variant>
        <vt:i4>0</vt:i4>
      </vt:variant>
      <vt:variant>
        <vt:i4>5</vt:i4>
      </vt:variant>
      <vt:variant>
        <vt:lpwstr>javascript:void(0);</vt:lpwstr>
      </vt:variant>
      <vt:variant>
        <vt:lpwstr/>
      </vt:variant>
      <vt:variant>
        <vt:i4>6291564</vt:i4>
      </vt:variant>
      <vt:variant>
        <vt:i4>156</vt:i4>
      </vt:variant>
      <vt:variant>
        <vt:i4>0</vt:i4>
      </vt:variant>
      <vt:variant>
        <vt:i4>5</vt:i4>
      </vt:variant>
      <vt:variant>
        <vt:lpwstr>javascript:void(0);</vt:lpwstr>
      </vt:variant>
      <vt:variant>
        <vt:lpwstr/>
      </vt:variant>
      <vt:variant>
        <vt:i4>6291564</vt:i4>
      </vt:variant>
      <vt:variant>
        <vt:i4>153</vt:i4>
      </vt:variant>
      <vt:variant>
        <vt:i4>0</vt:i4>
      </vt:variant>
      <vt:variant>
        <vt:i4>5</vt:i4>
      </vt:variant>
      <vt:variant>
        <vt:lpwstr>javascript:void(0);</vt:lpwstr>
      </vt:variant>
      <vt:variant>
        <vt:lpwstr/>
      </vt:variant>
      <vt:variant>
        <vt:i4>6291564</vt:i4>
      </vt:variant>
      <vt:variant>
        <vt:i4>150</vt:i4>
      </vt:variant>
      <vt:variant>
        <vt:i4>0</vt:i4>
      </vt:variant>
      <vt:variant>
        <vt:i4>5</vt:i4>
      </vt:variant>
      <vt:variant>
        <vt:lpwstr>javascript:void(0);</vt:lpwstr>
      </vt:variant>
      <vt:variant>
        <vt:lpwstr/>
      </vt:variant>
      <vt:variant>
        <vt:i4>6291564</vt:i4>
      </vt:variant>
      <vt:variant>
        <vt:i4>147</vt:i4>
      </vt:variant>
      <vt:variant>
        <vt:i4>0</vt:i4>
      </vt:variant>
      <vt:variant>
        <vt:i4>5</vt:i4>
      </vt:variant>
      <vt:variant>
        <vt:lpwstr>javascript:void(0);</vt:lpwstr>
      </vt:variant>
      <vt:variant>
        <vt:lpwstr/>
      </vt:variant>
      <vt:variant>
        <vt:i4>6291564</vt:i4>
      </vt:variant>
      <vt:variant>
        <vt:i4>144</vt:i4>
      </vt:variant>
      <vt:variant>
        <vt:i4>0</vt:i4>
      </vt:variant>
      <vt:variant>
        <vt:i4>5</vt:i4>
      </vt:variant>
      <vt:variant>
        <vt:lpwstr>javascript:void(0);</vt:lpwstr>
      </vt:variant>
      <vt:variant>
        <vt:lpwstr/>
      </vt:variant>
      <vt:variant>
        <vt:i4>6291564</vt:i4>
      </vt:variant>
      <vt:variant>
        <vt:i4>141</vt:i4>
      </vt:variant>
      <vt:variant>
        <vt:i4>0</vt:i4>
      </vt:variant>
      <vt:variant>
        <vt:i4>5</vt:i4>
      </vt:variant>
      <vt:variant>
        <vt:lpwstr>javascript:void(0);</vt:lpwstr>
      </vt:variant>
      <vt:variant>
        <vt:lpwstr/>
      </vt:variant>
      <vt:variant>
        <vt:i4>6291564</vt:i4>
      </vt:variant>
      <vt:variant>
        <vt:i4>138</vt:i4>
      </vt:variant>
      <vt:variant>
        <vt:i4>0</vt:i4>
      </vt:variant>
      <vt:variant>
        <vt:i4>5</vt:i4>
      </vt:variant>
      <vt:variant>
        <vt:lpwstr>javascript:void(0);</vt:lpwstr>
      </vt:variant>
      <vt:variant>
        <vt:lpwstr/>
      </vt:variant>
      <vt:variant>
        <vt:i4>6291564</vt:i4>
      </vt:variant>
      <vt:variant>
        <vt:i4>135</vt:i4>
      </vt:variant>
      <vt:variant>
        <vt:i4>0</vt:i4>
      </vt:variant>
      <vt:variant>
        <vt:i4>5</vt:i4>
      </vt:variant>
      <vt:variant>
        <vt:lpwstr>javascript:void(0);</vt:lpwstr>
      </vt:variant>
      <vt:variant>
        <vt:lpwstr/>
      </vt:variant>
      <vt:variant>
        <vt:i4>6291564</vt:i4>
      </vt:variant>
      <vt:variant>
        <vt:i4>132</vt:i4>
      </vt:variant>
      <vt:variant>
        <vt:i4>0</vt:i4>
      </vt:variant>
      <vt:variant>
        <vt:i4>5</vt:i4>
      </vt:variant>
      <vt:variant>
        <vt:lpwstr>javascript:void(0);</vt:lpwstr>
      </vt:variant>
      <vt:variant>
        <vt:lpwstr/>
      </vt:variant>
      <vt:variant>
        <vt:i4>6291564</vt:i4>
      </vt:variant>
      <vt:variant>
        <vt:i4>129</vt:i4>
      </vt:variant>
      <vt:variant>
        <vt:i4>0</vt:i4>
      </vt:variant>
      <vt:variant>
        <vt:i4>5</vt:i4>
      </vt:variant>
      <vt:variant>
        <vt:lpwstr>javascript:void(0);</vt:lpwstr>
      </vt:variant>
      <vt:variant>
        <vt:lpwstr/>
      </vt:variant>
      <vt:variant>
        <vt:i4>6291564</vt:i4>
      </vt:variant>
      <vt:variant>
        <vt:i4>126</vt:i4>
      </vt:variant>
      <vt:variant>
        <vt:i4>0</vt:i4>
      </vt:variant>
      <vt:variant>
        <vt:i4>5</vt:i4>
      </vt:variant>
      <vt:variant>
        <vt:lpwstr>javascript:void(0);</vt:lpwstr>
      </vt:variant>
      <vt:variant>
        <vt:lpwstr/>
      </vt:variant>
      <vt:variant>
        <vt:i4>6291564</vt:i4>
      </vt:variant>
      <vt:variant>
        <vt:i4>123</vt:i4>
      </vt:variant>
      <vt:variant>
        <vt:i4>0</vt:i4>
      </vt:variant>
      <vt:variant>
        <vt:i4>5</vt:i4>
      </vt:variant>
      <vt:variant>
        <vt:lpwstr>javascript:void(0);</vt:lpwstr>
      </vt:variant>
      <vt:variant>
        <vt:lpwstr/>
      </vt:variant>
      <vt:variant>
        <vt:i4>6291564</vt:i4>
      </vt:variant>
      <vt:variant>
        <vt:i4>120</vt:i4>
      </vt:variant>
      <vt:variant>
        <vt:i4>0</vt:i4>
      </vt:variant>
      <vt:variant>
        <vt:i4>5</vt:i4>
      </vt:variant>
      <vt:variant>
        <vt:lpwstr>javascript:void(0);</vt:lpwstr>
      </vt:variant>
      <vt:variant>
        <vt:lpwstr/>
      </vt:variant>
      <vt:variant>
        <vt:i4>6291564</vt:i4>
      </vt:variant>
      <vt:variant>
        <vt:i4>117</vt:i4>
      </vt:variant>
      <vt:variant>
        <vt:i4>0</vt:i4>
      </vt:variant>
      <vt:variant>
        <vt:i4>5</vt:i4>
      </vt:variant>
      <vt:variant>
        <vt:lpwstr>javascript:void(0);</vt:lpwstr>
      </vt:variant>
      <vt:variant>
        <vt:lpwstr/>
      </vt:variant>
      <vt:variant>
        <vt:i4>6291564</vt:i4>
      </vt:variant>
      <vt:variant>
        <vt:i4>114</vt:i4>
      </vt:variant>
      <vt:variant>
        <vt:i4>0</vt:i4>
      </vt:variant>
      <vt:variant>
        <vt:i4>5</vt:i4>
      </vt:variant>
      <vt:variant>
        <vt:lpwstr>javascript:void(0);</vt:lpwstr>
      </vt:variant>
      <vt:variant>
        <vt:lpwstr/>
      </vt:variant>
      <vt:variant>
        <vt:i4>6291564</vt:i4>
      </vt:variant>
      <vt:variant>
        <vt:i4>111</vt:i4>
      </vt:variant>
      <vt:variant>
        <vt:i4>0</vt:i4>
      </vt:variant>
      <vt:variant>
        <vt:i4>5</vt:i4>
      </vt:variant>
      <vt:variant>
        <vt:lpwstr>javascript:void(0);</vt:lpwstr>
      </vt:variant>
      <vt:variant>
        <vt:lpwstr/>
      </vt:variant>
      <vt:variant>
        <vt:i4>6291564</vt:i4>
      </vt:variant>
      <vt:variant>
        <vt:i4>108</vt:i4>
      </vt:variant>
      <vt:variant>
        <vt:i4>0</vt:i4>
      </vt:variant>
      <vt:variant>
        <vt:i4>5</vt:i4>
      </vt:variant>
      <vt:variant>
        <vt:lpwstr>javascript:void(0);</vt:lpwstr>
      </vt:variant>
      <vt:variant>
        <vt:lpwstr/>
      </vt:variant>
      <vt:variant>
        <vt:i4>6291564</vt:i4>
      </vt:variant>
      <vt:variant>
        <vt:i4>105</vt:i4>
      </vt:variant>
      <vt:variant>
        <vt:i4>0</vt:i4>
      </vt:variant>
      <vt:variant>
        <vt:i4>5</vt:i4>
      </vt:variant>
      <vt:variant>
        <vt:lpwstr>javascript:void(0);</vt:lpwstr>
      </vt:variant>
      <vt:variant>
        <vt:lpwstr/>
      </vt:variant>
      <vt:variant>
        <vt:i4>6291564</vt:i4>
      </vt:variant>
      <vt:variant>
        <vt:i4>102</vt:i4>
      </vt:variant>
      <vt:variant>
        <vt:i4>0</vt:i4>
      </vt:variant>
      <vt:variant>
        <vt:i4>5</vt:i4>
      </vt:variant>
      <vt:variant>
        <vt:lpwstr>javascript:void(0);</vt:lpwstr>
      </vt:variant>
      <vt:variant>
        <vt:lpwstr/>
      </vt:variant>
      <vt:variant>
        <vt:i4>6291564</vt:i4>
      </vt:variant>
      <vt:variant>
        <vt:i4>99</vt:i4>
      </vt:variant>
      <vt:variant>
        <vt:i4>0</vt:i4>
      </vt:variant>
      <vt:variant>
        <vt:i4>5</vt:i4>
      </vt:variant>
      <vt:variant>
        <vt:lpwstr>javascript:void(0);</vt:lpwstr>
      </vt:variant>
      <vt:variant>
        <vt:lpwstr/>
      </vt:variant>
      <vt:variant>
        <vt:i4>6291564</vt:i4>
      </vt:variant>
      <vt:variant>
        <vt:i4>96</vt:i4>
      </vt:variant>
      <vt:variant>
        <vt:i4>0</vt:i4>
      </vt:variant>
      <vt:variant>
        <vt:i4>5</vt:i4>
      </vt:variant>
      <vt:variant>
        <vt:lpwstr>javascript:void(0);</vt:lpwstr>
      </vt:variant>
      <vt:variant>
        <vt:lpwstr/>
      </vt:variant>
      <vt:variant>
        <vt:i4>6291564</vt:i4>
      </vt:variant>
      <vt:variant>
        <vt:i4>93</vt:i4>
      </vt:variant>
      <vt:variant>
        <vt:i4>0</vt:i4>
      </vt:variant>
      <vt:variant>
        <vt:i4>5</vt:i4>
      </vt:variant>
      <vt:variant>
        <vt:lpwstr>javascript:void(0);</vt:lpwstr>
      </vt:variant>
      <vt:variant>
        <vt:lpwstr/>
      </vt:variant>
      <vt:variant>
        <vt:i4>6291564</vt:i4>
      </vt:variant>
      <vt:variant>
        <vt:i4>90</vt:i4>
      </vt:variant>
      <vt:variant>
        <vt:i4>0</vt:i4>
      </vt:variant>
      <vt:variant>
        <vt:i4>5</vt:i4>
      </vt:variant>
      <vt:variant>
        <vt:lpwstr>javascript:void(0);</vt:lpwstr>
      </vt:variant>
      <vt:variant>
        <vt:lpwstr/>
      </vt:variant>
      <vt:variant>
        <vt:i4>6291564</vt:i4>
      </vt:variant>
      <vt:variant>
        <vt:i4>87</vt:i4>
      </vt:variant>
      <vt:variant>
        <vt:i4>0</vt:i4>
      </vt:variant>
      <vt:variant>
        <vt:i4>5</vt:i4>
      </vt:variant>
      <vt:variant>
        <vt:lpwstr>javascript:void(0);</vt:lpwstr>
      </vt:variant>
      <vt:variant>
        <vt:lpwstr/>
      </vt:variant>
      <vt:variant>
        <vt:i4>6291564</vt:i4>
      </vt:variant>
      <vt:variant>
        <vt:i4>84</vt:i4>
      </vt:variant>
      <vt:variant>
        <vt:i4>0</vt:i4>
      </vt:variant>
      <vt:variant>
        <vt:i4>5</vt:i4>
      </vt:variant>
      <vt:variant>
        <vt:lpwstr>javascript:void(0);</vt:lpwstr>
      </vt:variant>
      <vt:variant>
        <vt:lpwstr/>
      </vt:variant>
      <vt:variant>
        <vt:i4>6291564</vt:i4>
      </vt:variant>
      <vt:variant>
        <vt:i4>81</vt:i4>
      </vt:variant>
      <vt:variant>
        <vt:i4>0</vt:i4>
      </vt:variant>
      <vt:variant>
        <vt:i4>5</vt:i4>
      </vt:variant>
      <vt:variant>
        <vt:lpwstr>javascript:void(0);</vt:lpwstr>
      </vt:variant>
      <vt:variant>
        <vt:lpwstr/>
      </vt:variant>
      <vt:variant>
        <vt:i4>6291564</vt:i4>
      </vt:variant>
      <vt:variant>
        <vt:i4>78</vt:i4>
      </vt:variant>
      <vt:variant>
        <vt:i4>0</vt:i4>
      </vt:variant>
      <vt:variant>
        <vt:i4>5</vt:i4>
      </vt:variant>
      <vt:variant>
        <vt:lpwstr>javascript:void(0);</vt:lpwstr>
      </vt:variant>
      <vt:variant>
        <vt:lpwstr/>
      </vt:variant>
      <vt:variant>
        <vt:i4>6291564</vt:i4>
      </vt:variant>
      <vt:variant>
        <vt:i4>75</vt:i4>
      </vt:variant>
      <vt:variant>
        <vt:i4>0</vt:i4>
      </vt:variant>
      <vt:variant>
        <vt:i4>5</vt:i4>
      </vt:variant>
      <vt:variant>
        <vt:lpwstr>javascript:void(0);</vt:lpwstr>
      </vt:variant>
      <vt:variant>
        <vt:lpwstr/>
      </vt:variant>
      <vt:variant>
        <vt:i4>6291564</vt:i4>
      </vt:variant>
      <vt:variant>
        <vt:i4>72</vt:i4>
      </vt:variant>
      <vt:variant>
        <vt:i4>0</vt:i4>
      </vt:variant>
      <vt:variant>
        <vt:i4>5</vt:i4>
      </vt:variant>
      <vt:variant>
        <vt:lpwstr>javascript:void(0);</vt:lpwstr>
      </vt:variant>
      <vt:variant>
        <vt:lpwstr/>
      </vt:variant>
      <vt:variant>
        <vt:i4>6291564</vt:i4>
      </vt:variant>
      <vt:variant>
        <vt:i4>69</vt:i4>
      </vt:variant>
      <vt:variant>
        <vt:i4>0</vt:i4>
      </vt:variant>
      <vt:variant>
        <vt:i4>5</vt:i4>
      </vt:variant>
      <vt:variant>
        <vt:lpwstr>javascript:void(0);</vt:lpwstr>
      </vt:variant>
      <vt:variant>
        <vt:lpwstr/>
      </vt:variant>
      <vt:variant>
        <vt:i4>6291564</vt:i4>
      </vt:variant>
      <vt:variant>
        <vt:i4>66</vt:i4>
      </vt:variant>
      <vt:variant>
        <vt:i4>0</vt:i4>
      </vt:variant>
      <vt:variant>
        <vt:i4>5</vt:i4>
      </vt:variant>
      <vt:variant>
        <vt:lpwstr>javascript:void(0);</vt:lpwstr>
      </vt:variant>
      <vt:variant>
        <vt:lpwstr/>
      </vt:variant>
      <vt:variant>
        <vt:i4>6291564</vt:i4>
      </vt:variant>
      <vt:variant>
        <vt:i4>63</vt:i4>
      </vt:variant>
      <vt:variant>
        <vt:i4>0</vt:i4>
      </vt:variant>
      <vt:variant>
        <vt:i4>5</vt:i4>
      </vt:variant>
      <vt:variant>
        <vt:lpwstr>javascript:void(0);</vt:lpwstr>
      </vt:variant>
      <vt:variant>
        <vt:lpwstr/>
      </vt:variant>
      <vt:variant>
        <vt:i4>6291564</vt:i4>
      </vt:variant>
      <vt:variant>
        <vt:i4>60</vt:i4>
      </vt:variant>
      <vt:variant>
        <vt:i4>0</vt:i4>
      </vt:variant>
      <vt:variant>
        <vt:i4>5</vt:i4>
      </vt:variant>
      <vt:variant>
        <vt:lpwstr>javascript:void(0);</vt:lpwstr>
      </vt:variant>
      <vt:variant>
        <vt:lpwstr/>
      </vt:variant>
      <vt:variant>
        <vt:i4>6291564</vt:i4>
      </vt:variant>
      <vt:variant>
        <vt:i4>57</vt:i4>
      </vt:variant>
      <vt:variant>
        <vt:i4>0</vt:i4>
      </vt:variant>
      <vt:variant>
        <vt:i4>5</vt:i4>
      </vt:variant>
      <vt:variant>
        <vt:lpwstr>javascript:void(0);</vt:lpwstr>
      </vt:variant>
      <vt:variant>
        <vt:lpwstr/>
      </vt:variant>
      <vt:variant>
        <vt:i4>6291564</vt:i4>
      </vt:variant>
      <vt:variant>
        <vt:i4>54</vt:i4>
      </vt:variant>
      <vt:variant>
        <vt:i4>0</vt:i4>
      </vt:variant>
      <vt:variant>
        <vt:i4>5</vt:i4>
      </vt:variant>
      <vt:variant>
        <vt:lpwstr>javascript:void(0);</vt:lpwstr>
      </vt:variant>
      <vt:variant>
        <vt:lpwstr/>
      </vt:variant>
      <vt:variant>
        <vt:i4>6291564</vt:i4>
      </vt:variant>
      <vt:variant>
        <vt:i4>51</vt:i4>
      </vt:variant>
      <vt:variant>
        <vt:i4>0</vt:i4>
      </vt:variant>
      <vt:variant>
        <vt:i4>5</vt:i4>
      </vt:variant>
      <vt:variant>
        <vt:lpwstr>javascript:void(0);</vt:lpwstr>
      </vt:variant>
      <vt:variant>
        <vt:lpwstr/>
      </vt:variant>
      <vt:variant>
        <vt:i4>6291564</vt:i4>
      </vt:variant>
      <vt:variant>
        <vt:i4>48</vt:i4>
      </vt:variant>
      <vt:variant>
        <vt:i4>0</vt:i4>
      </vt:variant>
      <vt:variant>
        <vt:i4>5</vt:i4>
      </vt:variant>
      <vt:variant>
        <vt:lpwstr>javascript:void(0);</vt:lpwstr>
      </vt:variant>
      <vt:variant>
        <vt:lpwstr/>
      </vt:variant>
      <vt:variant>
        <vt:i4>6291564</vt:i4>
      </vt:variant>
      <vt:variant>
        <vt:i4>45</vt:i4>
      </vt:variant>
      <vt:variant>
        <vt:i4>0</vt:i4>
      </vt:variant>
      <vt:variant>
        <vt:i4>5</vt:i4>
      </vt:variant>
      <vt:variant>
        <vt:lpwstr>javascript:void(0);</vt:lpwstr>
      </vt:variant>
      <vt:variant>
        <vt:lpwstr/>
      </vt:variant>
      <vt:variant>
        <vt:i4>6291564</vt:i4>
      </vt:variant>
      <vt:variant>
        <vt:i4>42</vt:i4>
      </vt:variant>
      <vt:variant>
        <vt:i4>0</vt:i4>
      </vt:variant>
      <vt:variant>
        <vt:i4>5</vt:i4>
      </vt:variant>
      <vt:variant>
        <vt:lpwstr>javascript:void(0);</vt:lpwstr>
      </vt:variant>
      <vt:variant>
        <vt:lpwstr/>
      </vt:variant>
      <vt:variant>
        <vt:i4>6291564</vt:i4>
      </vt:variant>
      <vt:variant>
        <vt:i4>39</vt:i4>
      </vt:variant>
      <vt:variant>
        <vt:i4>0</vt:i4>
      </vt:variant>
      <vt:variant>
        <vt:i4>5</vt:i4>
      </vt:variant>
      <vt:variant>
        <vt:lpwstr>javascript:void(0);</vt:lpwstr>
      </vt:variant>
      <vt:variant>
        <vt:lpwstr/>
      </vt:variant>
      <vt:variant>
        <vt:i4>6291564</vt:i4>
      </vt:variant>
      <vt:variant>
        <vt:i4>36</vt:i4>
      </vt:variant>
      <vt:variant>
        <vt:i4>0</vt:i4>
      </vt:variant>
      <vt:variant>
        <vt:i4>5</vt:i4>
      </vt:variant>
      <vt:variant>
        <vt:lpwstr>javascript:void(0);</vt:lpwstr>
      </vt:variant>
      <vt:variant>
        <vt:lpwstr/>
      </vt:variant>
      <vt:variant>
        <vt:i4>6291564</vt:i4>
      </vt:variant>
      <vt:variant>
        <vt:i4>33</vt:i4>
      </vt:variant>
      <vt:variant>
        <vt:i4>0</vt:i4>
      </vt:variant>
      <vt:variant>
        <vt:i4>5</vt:i4>
      </vt:variant>
      <vt:variant>
        <vt:lpwstr>javascript:void(0);</vt:lpwstr>
      </vt:variant>
      <vt:variant>
        <vt:lpwstr/>
      </vt:variant>
      <vt:variant>
        <vt:i4>6291564</vt:i4>
      </vt:variant>
      <vt:variant>
        <vt:i4>30</vt:i4>
      </vt:variant>
      <vt:variant>
        <vt:i4>0</vt:i4>
      </vt:variant>
      <vt:variant>
        <vt:i4>5</vt:i4>
      </vt:variant>
      <vt:variant>
        <vt:lpwstr>javascript:void(0);</vt:lpwstr>
      </vt:variant>
      <vt:variant>
        <vt:lpwstr/>
      </vt:variant>
      <vt:variant>
        <vt:i4>6291564</vt:i4>
      </vt:variant>
      <vt:variant>
        <vt:i4>27</vt:i4>
      </vt:variant>
      <vt:variant>
        <vt:i4>0</vt:i4>
      </vt:variant>
      <vt:variant>
        <vt:i4>5</vt:i4>
      </vt:variant>
      <vt:variant>
        <vt:lpwstr>javascript:void(0);</vt:lpwstr>
      </vt:variant>
      <vt:variant>
        <vt:lpwstr/>
      </vt:variant>
      <vt:variant>
        <vt:i4>6291564</vt:i4>
      </vt:variant>
      <vt:variant>
        <vt:i4>24</vt:i4>
      </vt:variant>
      <vt:variant>
        <vt:i4>0</vt:i4>
      </vt:variant>
      <vt:variant>
        <vt:i4>5</vt:i4>
      </vt:variant>
      <vt:variant>
        <vt:lpwstr>javascript:void(0);</vt:lpwstr>
      </vt:variant>
      <vt:variant>
        <vt:lpwstr/>
      </vt:variant>
      <vt:variant>
        <vt:i4>6291564</vt:i4>
      </vt:variant>
      <vt:variant>
        <vt:i4>21</vt:i4>
      </vt:variant>
      <vt:variant>
        <vt:i4>0</vt:i4>
      </vt:variant>
      <vt:variant>
        <vt:i4>5</vt:i4>
      </vt:variant>
      <vt:variant>
        <vt:lpwstr>javascript:void(0);</vt:lpwstr>
      </vt:variant>
      <vt:variant>
        <vt:lpwstr/>
      </vt:variant>
      <vt:variant>
        <vt:i4>6291564</vt:i4>
      </vt:variant>
      <vt:variant>
        <vt:i4>18</vt:i4>
      </vt:variant>
      <vt:variant>
        <vt:i4>0</vt:i4>
      </vt:variant>
      <vt:variant>
        <vt:i4>5</vt:i4>
      </vt:variant>
      <vt:variant>
        <vt:lpwstr>javascript:void(0);</vt:lpwstr>
      </vt:variant>
      <vt:variant>
        <vt:lpwstr/>
      </vt:variant>
      <vt:variant>
        <vt:i4>6291564</vt:i4>
      </vt:variant>
      <vt:variant>
        <vt:i4>15</vt:i4>
      </vt:variant>
      <vt:variant>
        <vt:i4>0</vt:i4>
      </vt:variant>
      <vt:variant>
        <vt:i4>5</vt:i4>
      </vt:variant>
      <vt:variant>
        <vt:lpwstr>javascript:void(0);</vt:lpwstr>
      </vt:variant>
      <vt:variant>
        <vt:lpwstr/>
      </vt:variant>
      <vt:variant>
        <vt:i4>6291564</vt:i4>
      </vt:variant>
      <vt:variant>
        <vt:i4>12</vt:i4>
      </vt:variant>
      <vt:variant>
        <vt:i4>0</vt:i4>
      </vt:variant>
      <vt:variant>
        <vt:i4>5</vt:i4>
      </vt:variant>
      <vt:variant>
        <vt:lpwstr>javascript:void(0);</vt:lpwstr>
      </vt:variant>
      <vt:variant>
        <vt:lpwstr/>
      </vt:variant>
      <vt:variant>
        <vt:i4>6291564</vt:i4>
      </vt:variant>
      <vt:variant>
        <vt:i4>9</vt:i4>
      </vt:variant>
      <vt:variant>
        <vt:i4>0</vt:i4>
      </vt:variant>
      <vt:variant>
        <vt:i4>5</vt:i4>
      </vt:variant>
      <vt:variant>
        <vt:lpwstr>javascript:void(0);</vt:lpwstr>
      </vt:variant>
      <vt:variant>
        <vt:lpwstr/>
      </vt:variant>
      <vt:variant>
        <vt:i4>7667821</vt:i4>
      </vt:variant>
      <vt:variant>
        <vt:i4>406154</vt:i4>
      </vt:variant>
      <vt:variant>
        <vt:i4>1030</vt:i4>
      </vt:variant>
      <vt:variant>
        <vt:i4>1</vt:i4>
      </vt:variant>
      <vt:variant>
        <vt:lpwstr>un logo 800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CTPC</dc:creator>
  <cp:keywords/>
  <cp:lastModifiedBy>Maillot</cp:lastModifiedBy>
  <cp:revision>25</cp:revision>
  <cp:lastPrinted>2006-04-04T10:28:00Z</cp:lastPrinted>
  <dcterms:created xsi:type="dcterms:W3CDTF">2006-04-03T09:11:00Z</dcterms:created>
  <dcterms:modified xsi:type="dcterms:W3CDTF">2006-04-04T10:29:00Z</dcterms:modified>
</cp:coreProperties>
</file>