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Spec="center"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DA5C34" w14:paraId="68F901C6" w14:textId="77777777" w:rsidTr="00752196">
        <w:trPr>
          <w:trHeight w:hRule="exact" w:val="851"/>
        </w:trPr>
        <w:tc>
          <w:tcPr>
            <w:tcW w:w="1274" w:type="dxa"/>
            <w:tcBorders>
              <w:bottom w:val="single" w:sz="4" w:space="0" w:color="auto"/>
            </w:tcBorders>
          </w:tcPr>
          <w:p w14:paraId="416BDD96" w14:textId="77777777" w:rsidR="006B3E27" w:rsidRPr="00DA5C34" w:rsidRDefault="006B3E27" w:rsidP="00C430A3">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6220ADAA" w14:textId="77777777" w:rsidR="006B3E27" w:rsidRPr="00DA5C34" w:rsidRDefault="006B3E27" w:rsidP="00803632">
            <w:pPr>
              <w:spacing w:after="80" w:line="480" w:lineRule="exact"/>
              <w:ind w:left="57"/>
              <w:jc w:val="left"/>
              <w:rPr>
                <w:sz w:val="30"/>
                <w:szCs w:val="30"/>
                <w:rtl/>
              </w:rPr>
            </w:pPr>
            <w:r w:rsidRPr="00DA5C34">
              <w:rPr>
                <w:rFonts w:hint="cs"/>
                <w:sz w:val="30"/>
                <w:szCs w:val="30"/>
                <w:rtl/>
              </w:rPr>
              <w:t>الأمم المتحدة</w:t>
            </w:r>
          </w:p>
        </w:tc>
        <w:tc>
          <w:tcPr>
            <w:tcW w:w="4111" w:type="dxa"/>
            <w:tcBorders>
              <w:bottom w:val="single" w:sz="4" w:space="0" w:color="auto"/>
            </w:tcBorders>
            <w:vAlign w:val="bottom"/>
          </w:tcPr>
          <w:p w14:paraId="1AB33B5C" w14:textId="0D695962" w:rsidR="006B3E27" w:rsidRPr="00DA5C34" w:rsidRDefault="00A83E0F" w:rsidP="00A83E0F">
            <w:pPr>
              <w:bidi w:val="0"/>
              <w:jc w:val="left"/>
            </w:pPr>
            <w:r w:rsidRPr="00DA5C34">
              <w:rPr>
                <w:sz w:val="40"/>
              </w:rPr>
              <w:t>CRPD</w:t>
            </w:r>
            <w:r w:rsidRPr="00DA5C34">
              <w:t>/C/30/2</w:t>
            </w:r>
          </w:p>
        </w:tc>
      </w:tr>
      <w:tr w:rsidR="006B3E27" w:rsidRPr="00DA5C34" w14:paraId="09AC1739" w14:textId="77777777" w:rsidTr="00752196">
        <w:trPr>
          <w:trHeight w:hRule="exact" w:val="2835"/>
        </w:trPr>
        <w:tc>
          <w:tcPr>
            <w:tcW w:w="1274" w:type="dxa"/>
            <w:tcBorders>
              <w:top w:val="single" w:sz="4" w:space="0" w:color="auto"/>
              <w:bottom w:val="single" w:sz="12" w:space="0" w:color="auto"/>
            </w:tcBorders>
          </w:tcPr>
          <w:p w14:paraId="33C60277" w14:textId="77777777" w:rsidR="006B3E27" w:rsidRPr="00DA5C34" w:rsidRDefault="0059622A" w:rsidP="00E86F91">
            <w:pPr>
              <w:spacing w:before="120"/>
              <w:jc w:val="center"/>
              <w:rPr>
                <w:sz w:val="56"/>
                <w:szCs w:val="56"/>
                <w:rtl/>
              </w:rPr>
            </w:pPr>
            <w:r w:rsidRPr="00DA5C34">
              <w:rPr>
                <w:noProof/>
                <w:sz w:val="56"/>
                <w:szCs w:val="56"/>
              </w:rPr>
              <w:drawing>
                <wp:inline distT="0" distB="0" distL="0" distR="0" wp14:anchorId="65F61ECE" wp14:editId="2E08BED2">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4E595A88" w14:textId="77777777" w:rsidR="006B3E27" w:rsidRPr="00DA5C34" w:rsidRDefault="00606EDF" w:rsidP="00803632">
            <w:pPr>
              <w:spacing w:before="120" w:after="40" w:line="640" w:lineRule="exact"/>
              <w:ind w:left="57"/>
              <w:jc w:val="left"/>
              <w:rPr>
                <w:rFonts w:hint="cs"/>
                <w:b/>
                <w:bCs/>
                <w:sz w:val="50"/>
                <w:szCs w:val="50"/>
                <w:rtl/>
              </w:rPr>
            </w:pPr>
            <w:r w:rsidRPr="00DA5C34">
              <w:rPr>
                <w:rFonts w:hint="cs"/>
                <w:b/>
                <w:bCs/>
                <w:sz w:val="50"/>
                <w:szCs w:val="50"/>
                <w:rtl/>
              </w:rPr>
              <w:t>اتفاق</w:t>
            </w:r>
            <w:r w:rsidR="007541BA" w:rsidRPr="00DA5C34">
              <w:rPr>
                <w:rFonts w:hint="cs"/>
                <w:b/>
                <w:bCs/>
                <w:sz w:val="50"/>
                <w:szCs w:val="50"/>
                <w:rtl/>
              </w:rPr>
              <w:t>ية</w:t>
            </w:r>
            <w:r w:rsidRPr="00DA5C34">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1399F02F" w14:textId="1C80E9F9" w:rsidR="006B3E27" w:rsidRPr="00DA5C34" w:rsidRDefault="00A83E0F" w:rsidP="00397C83">
            <w:pPr>
              <w:bidi w:val="0"/>
              <w:spacing w:before="240"/>
              <w:jc w:val="left"/>
            </w:pPr>
            <w:r w:rsidRPr="00DA5C34">
              <w:t>Dist</w:t>
            </w:r>
            <w:r w:rsidR="00F12B9F" w:rsidRPr="00DA5C34">
              <w:t>r.:</w:t>
            </w:r>
            <w:r w:rsidRPr="00DA5C34">
              <w:t xml:space="preserve"> General</w:t>
            </w:r>
          </w:p>
          <w:p w14:paraId="7AFF5856" w14:textId="1F61BDF1" w:rsidR="00A83E0F" w:rsidRPr="00DA5C34" w:rsidRDefault="00435732" w:rsidP="00A83E0F">
            <w:pPr>
              <w:bidi w:val="0"/>
              <w:spacing w:line="240" w:lineRule="exact"/>
              <w:jc w:val="left"/>
            </w:pPr>
            <w:r w:rsidRPr="00DA5C34">
              <w:t>30 April 2024</w:t>
            </w:r>
          </w:p>
          <w:p w14:paraId="1F6F59EA" w14:textId="77777777" w:rsidR="00A83E0F" w:rsidRPr="00DA5C34" w:rsidRDefault="00A83E0F" w:rsidP="00A83E0F">
            <w:pPr>
              <w:bidi w:val="0"/>
              <w:spacing w:line="240" w:lineRule="exact"/>
              <w:jc w:val="left"/>
            </w:pPr>
            <w:r w:rsidRPr="00DA5C34">
              <w:t>Arabic</w:t>
            </w:r>
          </w:p>
          <w:p w14:paraId="54F3024D" w14:textId="4277699D" w:rsidR="00435732" w:rsidRPr="00DA5C34" w:rsidRDefault="00A83E0F" w:rsidP="00435732">
            <w:pPr>
              <w:bidi w:val="0"/>
              <w:spacing w:line="240" w:lineRule="exact"/>
              <w:jc w:val="left"/>
            </w:pPr>
            <w:r w:rsidRPr="00DA5C34">
              <w:t>Origina</w:t>
            </w:r>
            <w:r w:rsidR="00F12B9F" w:rsidRPr="00DA5C34">
              <w:t xml:space="preserve">l: </w:t>
            </w:r>
            <w:r w:rsidR="00435732" w:rsidRPr="00DA5C34">
              <w:t>English</w:t>
            </w:r>
          </w:p>
        </w:tc>
      </w:tr>
    </w:tbl>
    <w:p w14:paraId="318CCB16" w14:textId="77777777" w:rsidR="00B03F81" w:rsidRPr="00DA5C34" w:rsidRDefault="00B03F81" w:rsidP="00B03F81">
      <w:pPr>
        <w:spacing w:before="120"/>
        <w:textDirection w:val="tbRlV"/>
        <w:rPr>
          <w:b/>
          <w:bCs/>
          <w:sz w:val="26"/>
          <w:szCs w:val="26"/>
          <w:lang w:eastAsia="zh-TW"/>
        </w:rPr>
      </w:pPr>
      <w:r w:rsidRPr="00DA5C34">
        <w:rPr>
          <w:b/>
          <w:bCs/>
          <w:sz w:val="26"/>
          <w:szCs w:val="26"/>
          <w:rtl/>
        </w:rPr>
        <w:t>اللجنة المعنية بحقوق الأشخاص ذوي الإعاقة</w:t>
      </w:r>
    </w:p>
    <w:p w14:paraId="15475D2B" w14:textId="18E2D061" w:rsidR="00F12B9F" w:rsidRPr="00DA5C34" w:rsidRDefault="00B03F81" w:rsidP="00B03F81">
      <w:pPr>
        <w:pStyle w:val="HChGA"/>
        <w:rPr>
          <w:lang w:val="en-US" w:eastAsia="zh-TW"/>
        </w:rPr>
      </w:pPr>
      <w:r w:rsidRPr="00DA5C34">
        <w:rPr>
          <w:rtl/>
          <w:lang w:val="en-US"/>
        </w:rPr>
        <w:tab/>
      </w:r>
      <w:r w:rsidRPr="00DA5C34">
        <w:rPr>
          <w:rtl/>
          <w:lang w:val="en-US"/>
        </w:rPr>
        <w:tab/>
        <w:t>تقرير اللجنة المعنية بحقوق الأشخاص ذوي الإعاقة عن دورتها الثلاثين (4-22 آذار/مارس 202</w:t>
      </w:r>
      <w:r w:rsidR="00F12B9F" w:rsidRPr="00DA5C34">
        <w:rPr>
          <w:rtl/>
          <w:lang w:val="en-US"/>
        </w:rPr>
        <w:t>4)</w:t>
      </w:r>
    </w:p>
    <w:p w14:paraId="2126D141" w14:textId="6DCDED92" w:rsidR="00B03F81" w:rsidRPr="00DA5C34" w:rsidRDefault="00B03F81" w:rsidP="00B03F81">
      <w:pPr>
        <w:pStyle w:val="HChGA"/>
        <w:rPr>
          <w:lang w:val="en-US" w:eastAsia="zh-TW"/>
        </w:rPr>
      </w:pPr>
      <w:r w:rsidRPr="00DA5C34">
        <w:rPr>
          <w:rtl/>
          <w:lang w:val="en-US"/>
        </w:rPr>
        <w:tab/>
        <w:t>أولاً-</w:t>
      </w:r>
      <w:r w:rsidRPr="00DA5C34">
        <w:rPr>
          <w:rtl/>
          <w:lang w:val="en-US"/>
        </w:rPr>
        <w:tab/>
        <w:t>الدول الأطراف في الاتفاقية وبروتوكولها الاختياري</w:t>
      </w:r>
    </w:p>
    <w:p w14:paraId="69367A56" w14:textId="77777777" w:rsidR="00B03F81" w:rsidRPr="00DA5C34" w:rsidRDefault="00B03F81" w:rsidP="00B03F81">
      <w:pPr>
        <w:pStyle w:val="SingleTxtGA"/>
        <w:rPr>
          <w:lang w:val="en-US" w:eastAsia="zh-TW"/>
        </w:rPr>
      </w:pPr>
      <w:r w:rsidRPr="00DA5C34">
        <w:rPr>
          <w:rtl/>
          <w:lang w:val="en-US"/>
        </w:rPr>
        <w:t>1-</w:t>
      </w:r>
      <w:r w:rsidRPr="00DA5C34">
        <w:rPr>
          <w:rtl/>
          <w:lang w:val="en-US"/>
        </w:rPr>
        <w:tab/>
        <w:t>حتى 22 آذار/مارس 2024، تاريخ اختتام الدورة الثلاثين، بلغ عدد الدول الأطراف في اتفاقية حقوق الأشخاص ذوي الإعاقة 191 دولة وفي بروتوكولها الاختياري 106 دول. ويمكن الاطلاع على قائمتي الدول الأطراف في هذين الصكين في الموقع الشبكي لمكتب الشؤون القانونية التابع للأمانة العامة.</w:t>
      </w:r>
    </w:p>
    <w:p w14:paraId="6A0024C5" w14:textId="77777777" w:rsidR="00B03F81" w:rsidRPr="00DA5C34" w:rsidRDefault="00B03F81" w:rsidP="00B03F81">
      <w:pPr>
        <w:pStyle w:val="HChGA"/>
        <w:rPr>
          <w:lang w:val="en-US" w:eastAsia="zh-TW"/>
        </w:rPr>
      </w:pPr>
      <w:r w:rsidRPr="00DA5C34">
        <w:rPr>
          <w:sz w:val="22"/>
          <w:szCs w:val="22"/>
          <w:rtl/>
          <w:lang w:val="en-US"/>
        </w:rPr>
        <w:tab/>
      </w:r>
      <w:r w:rsidRPr="00DA5C34">
        <w:rPr>
          <w:rtl/>
          <w:lang w:val="en-US"/>
        </w:rPr>
        <w:t>ثانياً-</w:t>
      </w:r>
      <w:r w:rsidRPr="00DA5C34">
        <w:rPr>
          <w:rtl/>
          <w:lang w:val="en-US"/>
        </w:rPr>
        <w:tab/>
        <w:t>افتتاح الدورة الثلاثين للجنة</w:t>
      </w:r>
    </w:p>
    <w:p w14:paraId="228F94E7" w14:textId="77777777" w:rsidR="00B03F81" w:rsidRPr="00DA5C34" w:rsidRDefault="00B03F81" w:rsidP="00B03F81">
      <w:pPr>
        <w:pStyle w:val="SingleTxtGA"/>
        <w:rPr>
          <w:lang w:val="en-US" w:eastAsia="zh-TW"/>
        </w:rPr>
      </w:pPr>
      <w:r w:rsidRPr="00DA5C34">
        <w:rPr>
          <w:rtl/>
          <w:lang w:val="en-US"/>
        </w:rPr>
        <w:t>2-</w:t>
      </w:r>
      <w:r w:rsidRPr="00DA5C34">
        <w:rPr>
          <w:rtl/>
          <w:lang w:val="en-US"/>
        </w:rPr>
        <w:tab/>
        <w:t>افتتح الدورةَ الثلاثين، بكلمة ترحيب خلال جلسة عامة، ممثلُ الأمين العام، رئيس قسم الفئات موضع التركيز في فرع معاهدات حقوق الإنسان، بشعبة آليات مجلس حقوق الإنسان وآليات المعاهدات بمفوضية الأمم المتحدة السامية لحقوق الإنسان. ويمكن الاطلاع على كلمة الترحيب في موقع اللجنة على شبكة الإنترنت.</w:t>
      </w:r>
    </w:p>
    <w:p w14:paraId="795014A4" w14:textId="6FEE207D" w:rsidR="00B03F81" w:rsidRPr="00DA5C34" w:rsidRDefault="00B03F81" w:rsidP="00B03F81">
      <w:pPr>
        <w:pStyle w:val="SingleTxtGA"/>
        <w:rPr>
          <w:lang w:val="en-US" w:eastAsia="zh-TW"/>
        </w:rPr>
      </w:pPr>
      <w:r w:rsidRPr="00DA5C34">
        <w:rPr>
          <w:rtl/>
          <w:lang w:val="en-US"/>
        </w:rPr>
        <w:t>3-</w:t>
      </w:r>
      <w:r w:rsidRPr="00DA5C34">
        <w:rPr>
          <w:rtl/>
          <w:lang w:val="en-US"/>
        </w:rPr>
        <w:tab/>
        <w:t>واستعرضت اللجنة وأقرت جدول الأعمال</w:t>
      </w:r>
      <w:r w:rsidR="00F12B9F" w:rsidRPr="00DA5C34">
        <w:rPr>
          <w:rStyle w:val="FootnoteReference"/>
          <w:rtl/>
          <w:lang w:val="en-US"/>
        </w:rPr>
        <w:t>(</w:t>
      </w:r>
      <w:r w:rsidR="00F12B9F" w:rsidRPr="00DA5C34">
        <w:rPr>
          <w:rStyle w:val="FootnoteReference"/>
          <w:rtl/>
          <w:lang w:val="en-US"/>
        </w:rPr>
        <w:footnoteReference w:id="1"/>
      </w:r>
      <w:r w:rsidR="00F12B9F" w:rsidRPr="00DA5C34">
        <w:rPr>
          <w:rStyle w:val="FootnoteReference"/>
          <w:rtl/>
          <w:lang w:val="en-US"/>
        </w:rPr>
        <w:t>)</w:t>
      </w:r>
      <w:r w:rsidRPr="00DA5C34">
        <w:rPr>
          <w:rtl/>
          <w:lang w:val="en-US"/>
        </w:rPr>
        <w:t> وبرنامج العمل المؤقتين للدورة الثلاثين.</w:t>
      </w:r>
    </w:p>
    <w:p w14:paraId="1034D6A9" w14:textId="77777777" w:rsidR="00B03F81" w:rsidRPr="00DA5C34" w:rsidRDefault="00B03F81" w:rsidP="00B03F81">
      <w:pPr>
        <w:pStyle w:val="HChGA"/>
        <w:rPr>
          <w:lang w:val="en-US" w:eastAsia="zh-TW"/>
        </w:rPr>
      </w:pPr>
      <w:r w:rsidRPr="00DA5C34">
        <w:rPr>
          <w:sz w:val="22"/>
          <w:szCs w:val="22"/>
          <w:rtl/>
          <w:lang w:val="en-US"/>
        </w:rPr>
        <w:tab/>
      </w:r>
      <w:r w:rsidRPr="00DA5C34">
        <w:rPr>
          <w:rtl/>
          <w:lang w:val="en-US"/>
        </w:rPr>
        <w:t>ثالثاً-</w:t>
      </w:r>
      <w:r w:rsidRPr="00DA5C34">
        <w:rPr>
          <w:rtl/>
          <w:lang w:val="en-US"/>
        </w:rPr>
        <w:tab/>
        <w:t>عضوية اللجنة</w:t>
      </w:r>
    </w:p>
    <w:p w14:paraId="561BC744" w14:textId="77777777" w:rsidR="00B03F81" w:rsidRPr="00DA5C34" w:rsidRDefault="00B03F81" w:rsidP="00B03F81">
      <w:pPr>
        <w:pStyle w:val="SingleTxtGA"/>
        <w:rPr>
          <w:lang w:val="en-US" w:eastAsia="zh-TW"/>
        </w:rPr>
      </w:pPr>
      <w:r w:rsidRPr="00DA5C34">
        <w:rPr>
          <w:rtl/>
          <w:lang w:val="en-US"/>
        </w:rPr>
        <w:t>4-</w:t>
      </w:r>
      <w:r w:rsidRPr="00DA5C34">
        <w:rPr>
          <w:rtl/>
          <w:lang w:val="en-US"/>
        </w:rPr>
        <w:tab/>
        <w:t>يمكن الاطلاع في الموقع الشبكي للجنة على قائمة أعضائها، حتى 22 آذار/مارس 2024، التي تشير إلى مدة ولايتهم.</w:t>
      </w:r>
    </w:p>
    <w:p w14:paraId="02B86C8D" w14:textId="56F26164" w:rsidR="00B03F81" w:rsidRPr="00DA5C34" w:rsidRDefault="00B03F81" w:rsidP="00B03F81">
      <w:pPr>
        <w:pStyle w:val="HChGA"/>
        <w:rPr>
          <w:lang w:val="en-US" w:eastAsia="zh-TW"/>
        </w:rPr>
      </w:pPr>
      <w:r w:rsidRPr="00DA5C34">
        <w:rPr>
          <w:sz w:val="22"/>
          <w:szCs w:val="22"/>
          <w:rtl/>
          <w:lang w:val="en-US"/>
        </w:rPr>
        <w:tab/>
      </w:r>
      <w:r w:rsidRPr="00DA5C34">
        <w:rPr>
          <w:rtl/>
          <w:lang w:val="en-US"/>
        </w:rPr>
        <w:t>رابعاً-</w:t>
      </w:r>
      <w:r w:rsidRPr="00DA5C34">
        <w:rPr>
          <w:rtl/>
          <w:lang w:val="en-US"/>
        </w:rPr>
        <w:tab/>
        <w:t>أساليب العمل</w:t>
      </w:r>
    </w:p>
    <w:p w14:paraId="7828FF76" w14:textId="4653D150" w:rsidR="00B03F81" w:rsidRPr="00DA5C34" w:rsidRDefault="00B03F81" w:rsidP="00B03F81">
      <w:pPr>
        <w:pStyle w:val="SingleTxtGA"/>
        <w:rPr>
          <w:lang w:val="en-US" w:eastAsia="zh-TW"/>
        </w:rPr>
      </w:pPr>
      <w:r w:rsidRPr="00DA5C34">
        <w:rPr>
          <w:rtl/>
          <w:lang w:val="en-US"/>
        </w:rPr>
        <w:t>5-</w:t>
      </w:r>
      <w:r w:rsidRPr="00DA5C34">
        <w:rPr>
          <w:rtl/>
          <w:lang w:val="en-US"/>
        </w:rPr>
        <w:tab/>
        <w:t xml:space="preserve">ناقشت اللجنة مختلف المسائل المتصلة بأساليب عملها وقررت مواصلة تحديث وتبسيط هذه الأساليب خلال فترة ما بين الدورتين. وجربت استخدام فرق العمل خلال الحوارات مع زامبيا والسويد </w:t>
      </w:r>
      <w:r w:rsidRPr="00DA5C34">
        <w:rPr>
          <w:rtl/>
          <w:lang w:val="en-US"/>
        </w:rPr>
        <w:lastRenderedPageBreak/>
        <w:t>وكازاخستان وكوستاريكا، وواصلت تنفيذ إجراءات المتابعة الخاصة بالتقارير المتعلقة بالتحقيقات المجراة بموجب البروتوكول الاختياري للاتفاقية. وعدلت اللجنة نظامها الداخلي، على نحو يجعل الإجراء المبسط لتقديم التقارير الإجراء الافتراضي لتقديم التقارير الدورية ويتيح للجنة إمكانية اعتماد التقارير المتعلقة بمتابعة التحقيقات</w:t>
      </w:r>
      <w:r w:rsidR="00F12B9F" w:rsidRPr="00DA5C34">
        <w:rPr>
          <w:rStyle w:val="FootnoteReference"/>
          <w:rtl/>
          <w:lang w:val="en-US"/>
        </w:rPr>
        <w:t>(</w:t>
      </w:r>
      <w:r w:rsidR="00F12B9F" w:rsidRPr="00DA5C34">
        <w:rPr>
          <w:rStyle w:val="FootnoteReference"/>
          <w:rtl/>
          <w:lang w:val="en-US"/>
        </w:rPr>
        <w:footnoteReference w:id="2"/>
      </w:r>
      <w:r w:rsidR="00F12B9F" w:rsidRPr="00DA5C34">
        <w:rPr>
          <w:rStyle w:val="FootnoteReference"/>
          <w:rtl/>
          <w:lang w:val="en-US"/>
        </w:rPr>
        <w:t>)</w:t>
      </w:r>
      <w:r w:rsidRPr="00DA5C34">
        <w:rPr>
          <w:rtl/>
          <w:lang w:val="en-US"/>
        </w:rPr>
        <w:t>.</w:t>
      </w:r>
    </w:p>
    <w:p w14:paraId="57DD5272" w14:textId="77777777" w:rsidR="00B03F81" w:rsidRPr="00DA5C34" w:rsidRDefault="00B03F81" w:rsidP="00B03F81">
      <w:pPr>
        <w:pStyle w:val="HChGA"/>
        <w:rPr>
          <w:lang w:val="en-US" w:eastAsia="zh-TW"/>
        </w:rPr>
      </w:pPr>
      <w:r w:rsidRPr="00DA5C34">
        <w:rPr>
          <w:sz w:val="22"/>
          <w:szCs w:val="22"/>
          <w:rtl/>
          <w:lang w:val="en-US"/>
        </w:rPr>
        <w:tab/>
      </w:r>
      <w:r w:rsidRPr="00DA5C34">
        <w:rPr>
          <w:rtl/>
          <w:lang w:val="en-US"/>
        </w:rPr>
        <w:t>خامساً-</w:t>
      </w:r>
      <w:r w:rsidRPr="00DA5C34">
        <w:rPr>
          <w:rtl/>
          <w:lang w:val="en-US"/>
        </w:rPr>
        <w:tab/>
        <w:t>الأنشطة المتصلة بالتعليقات العامة</w:t>
      </w:r>
    </w:p>
    <w:p w14:paraId="60B0C4A4" w14:textId="77777777" w:rsidR="00B03F81" w:rsidRPr="00DA5C34" w:rsidRDefault="00B03F81" w:rsidP="00B03F81">
      <w:pPr>
        <w:pStyle w:val="SingleTxtGA"/>
        <w:rPr>
          <w:lang w:val="en-US" w:eastAsia="zh-TW"/>
        </w:rPr>
      </w:pPr>
      <w:r w:rsidRPr="00DA5C34">
        <w:rPr>
          <w:rtl/>
          <w:lang w:val="en-US"/>
        </w:rPr>
        <w:t>6-</w:t>
      </w:r>
      <w:r w:rsidRPr="00DA5C34">
        <w:rPr>
          <w:rtl/>
          <w:lang w:val="en-US"/>
        </w:rPr>
        <w:tab/>
        <w:t>واصلت اللجنة، في إطار جلسات مغلقة، عملها المتعلق بوضع مشروع تعليق عام بشأن المادة 11 من الاتفاقية.</w:t>
      </w:r>
    </w:p>
    <w:p w14:paraId="7874B0A0" w14:textId="77777777" w:rsidR="00B03F81" w:rsidRPr="00DA5C34" w:rsidRDefault="00B03F81" w:rsidP="00B03F81">
      <w:pPr>
        <w:pStyle w:val="HChGA"/>
        <w:rPr>
          <w:lang w:val="en-US" w:eastAsia="zh-TW"/>
        </w:rPr>
      </w:pPr>
      <w:r w:rsidRPr="00DA5C34">
        <w:rPr>
          <w:sz w:val="22"/>
          <w:szCs w:val="22"/>
          <w:rtl/>
          <w:lang w:val="en-US"/>
        </w:rPr>
        <w:tab/>
      </w:r>
      <w:r w:rsidRPr="00DA5C34">
        <w:rPr>
          <w:rtl/>
          <w:lang w:val="en-US"/>
        </w:rPr>
        <w:t>سادساً-</w:t>
      </w:r>
      <w:r w:rsidRPr="00DA5C34">
        <w:rPr>
          <w:rtl/>
          <w:lang w:val="en-US"/>
        </w:rPr>
        <w:tab/>
        <w:t>الأنشطة المتصلة بالبروتوكول الاختياري</w:t>
      </w:r>
    </w:p>
    <w:p w14:paraId="2FA8DD4B" w14:textId="2C508451" w:rsidR="00B03F81" w:rsidRPr="00DA5C34" w:rsidRDefault="00B03F81" w:rsidP="00B03F81">
      <w:pPr>
        <w:pStyle w:val="SingleTxtGA"/>
        <w:rPr>
          <w:lang w:val="en-US" w:eastAsia="zh-TW"/>
        </w:rPr>
      </w:pPr>
      <w:r w:rsidRPr="00DA5C34">
        <w:rPr>
          <w:rtl/>
          <w:lang w:val="en-US"/>
        </w:rPr>
        <w:t>7-</w:t>
      </w:r>
      <w:r w:rsidRPr="00DA5C34">
        <w:rPr>
          <w:rtl/>
          <w:lang w:val="en-US"/>
        </w:rPr>
        <w:tab/>
        <w:t>درست اللجنة أربعة بلاغات قُدمت إليها للنظر فيها بموجب البروتوكول الاختياري للاتفاقية. وخلصت إلى وقوع انتهاكات للاتفاقية في واحد منها:</w:t>
      </w:r>
      <w:r w:rsidRPr="00DA5C34">
        <w:rPr>
          <w:lang w:val="en-US"/>
        </w:rPr>
        <w:t xml:space="preserve"> </w:t>
      </w:r>
      <w:r w:rsidRPr="00DA5C34">
        <w:rPr>
          <w:i/>
          <w:iCs/>
          <w:rtl/>
          <w:lang w:val="en-US"/>
        </w:rPr>
        <w:t>الحوالي ضد المملكة العربية السعودية</w:t>
      </w:r>
      <w:r w:rsidR="00F12B9F" w:rsidRPr="00DA5C34">
        <w:rPr>
          <w:rStyle w:val="FootnoteReference"/>
          <w:rtl/>
          <w:lang w:val="en-US"/>
        </w:rPr>
        <w:t>(</w:t>
      </w:r>
      <w:r w:rsidR="00F12B9F" w:rsidRPr="00DA5C34">
        <w:rPr>
          <w:rStyle w:val="FootnoteReference"/>
          <w:rtl/>
          <w:lang w:val="en-US"/>
        </w:rPr>
        <w:footnoteReference w:id="3"/>
      </w:r>
      <w:r w:rsidR="00F12B9F" w:rsidRPr="00DA5C34">
        <w:rPr>
          <w:rStyle w:val="FootnoteReference"/>
          <w:rtl/>
          <w:lang w:val="en-US"/>
        </w:rPr>
        <w:t>)</w:t>
      </w:r>
      <w:r w:rsidRPr="00DA5C34">
        <w:rPr>
          <w:rtl/>
          <w:lang w:val="en-US"/>
        </w:rPr>
        <w:t>، فيما يتعلق بالاختفاء القسري والاحتجاز مع منع الاتصال لشخص ذي إعاقة وعدم توفير الترتيبات التيسيرية المعقولة. وخلصت إلى عدم مقبولية بلاغ واحد</w:t>
      </w:r>
      <w:r w:rsidRPr="00DA5C34">
        <w:rPr>
          <w:lang w:val="en-US"/>
        </w:rPr>
        <w:t xml:space="preserve">: </w:t>
      </w:r>
      <w:r w:rsidRPr="00DA5C34">
        <w:rPr>
          <w:i/>
          <w:iCs/>
          <w:rtl/>
          <w:lang w:val="en-US"/>
        </w:rPr>
        <w:t>أُو. ب. ضد أوكرانيا</w:t>
      </w:r>
      <w:r w:rsidR="00F12B9F" w:rsidRPr="00DA5C34">
        <w:rPr>
          <w:rStyle w:val="FootnoteReference"/>
          <w:rtl/>
          <w:lang w:val="en-US"/>
        </w:rPr>
        <w:t>(</w:t>
      </w:r>
      <w:r w:rsidR="00F12B9F" w:rsidRPr="00DA5C34">
        <w:rPr>
          <w:rStyle w:val="FootnoteReference"/>
          <w:rtl/>
          <w:lang w:val="en-US"/>
        </w:rPr>
        <w:footnoteReference w:id="4"/>
      </w:r>
      <w:r w:rsidR="00F12B9F" w:rsidRPr="00DA5C34">
        <w:rPr>
          <w:rStyle w:val="FootnoteReference"/>
          <w:rtl/>
          <w:lang w:val="en-US"/>
        </w:rPr>
        <w:t>)</w:t>
      </w:r>
      <w:r w:rsidRPr="00DA5C34">
        <w:rPr>
          <w:rtl/>
          <w:lang w:val="en-US"/>
        </w:rPr>
        <w:t>، بشأن رفض طلب للحصول على المساعدة الاجتماعية. وقررت وقف النظر في بلاغين آخرين: قضية </w:t>
      </w:r>
      <w:r w:rsidRPr="00DA5C34">
        <w:rPr>
          <w:i/>
          <w:iCs/>
          <w:rtl/>
          <w:lang w:val="en-US"/>
        </w:rPr>
        <w:t>ج. ل. ك. ضد كندا</w:t>
      </w:r>
      <w:r w:rsidR="00F12B9F" w:rsidRPr="00DA5C34">
        <w:rPr>
          <w:rStyle w:val="FootnoteReference"/>
          <w:rtl/>
          <w:lang w:val="en-US"/>
        </w:rPr>
        <w:t>(</w:t>
      </w:r>
      <w:r w:rsidR="00F12B9F" w:rsidRPr="00DA5C34">
        <w:rPr>
          <w:rStyle w:val="FootnoteReference"/>
          <w:rtl/>
          <w:lang w:val="en-US"/>
        </w:rPr>
        <w:footnoteReference w:id="5"/>
      </w:r>
      <w:r w:rsidR="00F12B9F" w:rsidRPr="00DA5C34">
        <w:rPr>
          <w:rStyle w:val="FootnoteReference"/>
          <w:rtl/>
          <w:lang w:val="en-US"/>
        </w:rPr>
        <w:t>)</w:t>
      </w:r>
      <w:r w:rsidRPr="00DA5C34">
        <w:rPr>
          <w:rtl/>
          <w:lang w:val="en-US"/>
        </w:rPr>
        <w:t>، بشأن السكن الخالي من العوائق، وقضية </w:t>
      </w:r>
      <w:r w:rsidRPr="00DA5C34">
        <w:rPr>
          <w:i/>
          <w:iCs/>
          <w:rtl/>
          <w:lang w:val="en-US"/>
        </w:rPr>
        <w:t>أُو. م. ج. ضد السويد</w:t>
      </w:r>
      <w:r w:rsidR="00F12B9F" w:rsidRPr="00DA5C34">
        <w:rPr>
          <w:rStyle w:val="FootnoteReference"/>
          <w:rtl/>
          <w:lang w:val="en-US"/>
        </w:rPr>
        <w:t>(</w:t>
      </w:r>
      <w:r w:rsidR="00F12B9F" w:rsidRPr="00DA5C34">
        <w:rPr>
          <w:rStyle w:val="FootnoteReference"/>
          <w:rtl/>
          <w:lang w:val="en-US"/>
        </w:rPr>
        <w:footnoteReference w:id="6"/>
      </w:r>
      <w:r w:rsidR="00F12B9F" w:rsidRPr="00DA5C34">
        <w:rPr>
          <w:rStyle w:val="FootnoteReference"/>
          <w:rtl/>
          <w:lang w:val="en-US"/>
        </w:rPr>
        <w:t>)</w:t>
      </w:r>
      <w:r w:rsidRPr="00DA5C34">
        <w:rPr>
          <w:rtl/>
          <w:lang w:val="en-US"/>
        </w:rPr>
        <w:t>، فيما يتعلق بالترحيل إلى أفغانستان.</w:t>
      </w:r>
    </w:p>
    <w:p w14:paraId="7C3E40C3" w14:textId="5E94C001" w:rsidR="00B03F81" w:rsidRPr="00DA5C34" w:rsidRDefault="00B03F81" w:rsidP="00B03F81">
      <w:pPr>
        <w:pStyle w:val="SingleTxtGA"/>
        <w:rPr>
          <w:lang w:val="en-US" w:eastAsia="zh-TW"/>
        </w:rPr>
      </w:pPr>
      <w:r w:rsidRPr="00DA5C34">
        <w:rPr>
          <w:rtl/>
          <w:lang w:val="en-US"/>
        </w:rPr>
        <w:t>8-</w:t>
      </w:r>
      <w:r w:rsidRPr="00DA5C34">
        <w:rPr>
          <w:rtl/>
          <w:lang w:val="en-US"/>
        </w:rPr>
        <w:tab/>
        <w:t>كما اعتمدت اللجنة تقريراً مرحلياً بشأن متابعة البلاغات الفردية. ويعرض هذا التقرير المعلومات التي تلقاها ال</w:t>
      </w:r>
      <w:r w:rsidR="00F12B9F" w:rsidRPr="00DA5C34">
        <w:rPr>
          <w:rtl/>
          <w:lang w:val="en-US"/>
        </w:rPr>
        <w:t>مقرر</w:t>
      </w:r>
      <w:r w:rsidRPr="00DA5C34">
        <w:rPr>
          <w:rtl/>
          <w:lang w:val="en-US"/>
        </w:rPr>
        <w:t xml:space="preserve"> الخاص المعني بمتابعة الآراء بين الدورتين الثامنة والعشرين والثلاثين عملاً بالنظام الداخلي للجنة، وتقييمات اللجنة وقراراتها بشأن المتابعة.</w:t>
      </w:r>
    </w:p>
    <w:p w14:paraId="7B4773B8" w14:textId="76D4B84B" w:rsidR="00B03F81" w:rsidRPr="00DA5C34" w:rsidRDefault="00B03F81" w:rsidP="00B03F81">
      <w:pPr>
        <w:pStyle w:val="SingleTxtGA"/>
        <w:rPr>
          <w:rtl/>
          <w:lang w:val="en-US"/>
        </w:rPr>
      </w:pPr>
      <w:r w:rsidRPr="00DA5C34">
        <w:rPr>
          <w:rtl/>
          <w:lang w:val="en-US"/>
        </w:rPr>
        <w:t>9-</w:t>
      </w:r>
      <w:r w:rsidRPr="00DA5C34">
        <w:rPr>
          <w:rtl/>
          <w:lang w:val="en-US"/>
        </w:rPr>
        <w:tab/>
        <w:t>وأحيلت الآراء والقرارات التي اعتمدتها اللجنة بشأن البلاغات إلى الأطراف في أقرب وقت ممكن، وأُتيحت بعد ذلك على نظام الوثائق الرسمية</w:t>
      </w:r>
      <w:r w:rsidR="00F12B9F" w:rsidRPr="00DA5C34">
        <w:rPr>
          <w:rStyle w:val="FootnoteReference"/>
          <w:rtl/>
          <w:lang w:val="en-US"/>
        </w:rPr>
        <w:t>(</w:t>
      </w:r>
      <w:r w:rsidR="00F12B9F" w:rsidRPr="00DA5C34">
        <w:rPr>
          <w:rStyle w:val="FootnoteReference"/>
          <w:rtl/>
          <w:lang w:val="en-US"/>
        </w:rPr>
        <w:footnoteReference w:id="7"/>
      </w:r>
      <w:r w:rsidR="00F12B9F" w:rsidRPr="00DA5C34">
        <w:rPr>
          <w:rStyle w:val="FootnoteReference"/>
          <w:rtl/>
          <w:lang w:val="en-US"/>
        </w:rPr>
        <w:t>)</w:t>
      </w:r>
      <w:r w:rsidRPr="00DA5C34">
        <w:rPr>
          <w:rtl/>
          <w:lang w:val="en-US"/>
        </w:rPr>
        <w:t> وموقع اللجنة على الإنترنت. ويمكن الاطلاع في المرفق الثالث لهذا التقرير على موجز للآراء والقرارات التي اعتمدتها اللجنة في دورتها الثلاثين.</w:t>
      </w:r>
    </w:p>
    <w:p w14:paraId="7F2F55D9" w14:textId="77777777" w:rsidR="00B03F81" w:rsidRPr="00DA5C34" w:rsidRDefault="00B03F81" w:rsidP="00B03F81">
      <w:pPr>
        <w:pStyle w:val="SingleTxtGA"/>
        <w:rPr>
          <w:spacing w:val="2"/>
          <w:lang w:val="en-US" w:eastAsia="zh-TW"/>
        </w:rPr>
      </w:pPr>
      <w:r w:rsidRPr="00DA5C34">
        <w:rPr>
          <w:spacing w:val="2"/>
          <w:rtl/>
          <w:lang w:val="en-US"/>
        </w:rPr>
        <w:t>10-</w:t>
      </w:r>
      <w:r w:rsidRPr="00DA5C34">
        <w:rPr>
          <w:spacing w:val="2"/>
          <w:rtl/>
          <w:lang w:val="en-US"/>
        </w:rPr>
        <w:tab/>
        <w:t>وعدَّلت اللجنة نظامها الداخلي المتعلق بالنظر في البلاغات الفردية الواردة بموجب البروتوكول الاختياري.</w:t>
      </w:r>
    </w:p>
    <w:p w14:paraId="55FD5759" w14:textId="77777777" w:rsidR="00B03F81" w:rsidRPr="00DA5C34" w:rsidRDefault="00B03F81" w:rsidP="00B03F81">
      <w:pPr>
        <w:pStyle w:val="SingleTxtGA"/>
        <w:rPr>
          <w:spacing w:val="-6"/>
          <w:lang w:val="en-US" w:eastAsia="zh-TW"/>
        </w:rPr>
      </w:pPr>
      <w:r w:rsidRPr="00DA5C34">
        <w:rPr>
          <w:spacing w:val="-6"/>
          <w:rtl/>
          <w:lang w:val="en-US"/>
        </w:rPr>
        <w:t>11-</w:t>
      </w:r>
      <w:r w:rsidRPr="00DA5C34">
        <w:rPr>
          <w:spacing w:val="-6"/>
          <w:rtl/>
          <w:lang w:val="en-US"/>
        </w:rPr>
        <w:tab/>
        <w:t>ونظرت اللجنة في المسائل المتعلِّقة بإجراءات التحقيق عملاً بالمادتين 6 و7 من البروتوكول الاختياري.</w:t>
      </w:r>
    </w:p>
    <w:p w14:paraId="730CD25D" w14:textId="77777777" w:rsidR="00B03F81" w:rsidRPr="00DA5C34" w:rsidRDefault="00B03F81" w:rsidP="00B03F81">
      <w:pPr>
        <w:pStyle w:val="HChGA"/>
        <w:rPr>
          <w:lang w:val="en-US" w:eastAsia="zh-TW"/>
        </w:rPr>
      </w:pPr>
      <w:r w:rsidRPr="00DA5C34">
        <w:rPr>
          <w:sz w:val="22"/>
          <w:szCs w:val="22"/>
          <w:rtl/>
          <w:lang w:val="en-US"/>
        </w:rPr>
        <w:lastRenderedPageBreak/>
        <w:tab/>
      </w:r>
      <w:r w:rsidRPr="00DA5C34">
        <w:rPr>
          <w:rtl/>
          <w:lang w:val="en-US"/>
        </w:rPr>
        <w:t>سابعاً-</w:t>
      </w:r>
      <w:r w:rsidRPr="00DA5C34">
        <w:rPr>
          <w:rtl/>
          <w:lang w:val="en-US"/>
        </w:rPr>
        <w:tab/>
        <w:t>الدورات المقبلة</w:t>
      </w:r>
    </w:p>
    <w:p w14:paraId="7E702EF9" w14:textId="336944C5" w:rsidR="00F12B9F" w:rsidRPr="00DA5C34" w:rsidRDefault="00B03F81" w:rsidP="00B03F81">
      <w:pPr>
        <w:pStyle w:val="SingleTxtGA"/>
        <w:rPr>
          <w:lang w:val="en-US" w:eastAsia="zh-TW"/>
        </w:rPr>
      </w:pPr>
      <w:bookmarkStart w:id="0" w:name="_Hlk113219885"/>
      <w:r w:rsidRPr="00DA5C34">
        <w:rPr>
          <w:rtl/>
          <w:lang w:val="en-US"/>
        </w:rPr>
        <w:t>12-</w:t>
      </w:r>
      <w:r w:rsidRPr="00DA5C34">
        <w:rPr>
          <w:rtl/>
          <w:lang w:val="en-US"/>
        </w:rPr>
        <w:tab/>
        <w:t>رهناً بتوافر الموارد المالية، من ال</w:t>
      </w:r>
      <w:r w:rsidR="00F12B9F" w:rsidRPr="00DA5C34">
        <w:rPr>
          <w:rtl/>
          <w:lang w:val="en-US"/>
        </w:rPr>
        <w:t>مقرر</w:t>
      </w:r>
      <w:r w:rsidRPr="00DA5C34">
        <w:rPr>
          <w:rtl/>
          <w:lang w:val="en-US"/>
        </w:rPr>
        <w:t xml:space="preserve"> مبدئياً عقد الدورة الحادية والثلاثين للجنة في جنيف في الفترة من 12 آب/أغسطس إلى 6 أيلول/سبتمبر 2024، وسيليها الاجتماع العشرون للفريق العامل لما قبل الدورة في الفترة من 9 إلى 13 أيلول/سبتمبر 202</w:t>
      </w:r>
      <w:bookmarkEnd w:id="0"/>
      <w:r w:rsidR="00F12B9F" w:rsidRPr="00DA5C34">
        <w:rPr>
          <w:rtl/>
          <w:lang w:val="en-US"/>
        </w:rPr>
        <w:t>4.</w:t>
      </w:r>
    </w:p>
    <w:p w14:paraId="691B4412" w14:textId="30C6F4FA" w:rsidR="00B03F81" w:rsidRPr="00DA5C34" w:rsidRDefault="00B03F81" w:rsidP="00B03F81">
      <w:pPr>
        <w:pStyle w:val="HChGA"/>
        <w:rPr>
          <w:lang w:val="en-US" w:eastAsia="zh-TW"/>
        </w:rPr>
      </w:pPr>
      <w:r w:rsidRPr="00DA5C34">
        <w:rPr>
          <w:sz w:val="22"/>
          <w:rtl/>
          <w:lang w:val="en-US"/>
        </w:rPr>
        <w:tab/>
      </w:r>
      <w:r w:rsidRPr="00DA5C34">
        <w:rPr>
          <w:rtl/>
          <w:lang w:val="en-US"/>
        </w:rPr>
        <w:t>ثامناً-</w:t>
      </w:r>
      <w:r w:rsidRPr="00DA5C34">
        <w:rPr>
          <w:rtl/>
          <w:lang w:val="en-US"/>
        </w:rPr>
        <w:tab/>
        <w:t>تيسير المشاركة في جلسات اللجنة</w:t>
      </w:r>
    </w:p>
    <w:p w14:paraId="560F66AA" w14:textId="5A56344E" w:rsidR="00B03F81" w:rsidRPr="00DA5C34" w:rsidRDefault="00B03F81" w:rsidP="00B03F81">
      <w:pPr>
        <w:pStyle w:val="SingleTxtGA"/>
        <w:rPr>
          <w:rtl/>
          <w:lang w:val="en-US"/>
        </w:rPr>
      </w:pPr>
      <w:r w:rsidRPr="00DA5C34">
        <w:rPr>
          <w:rtl/>
          <w:lang w:val="en-US"/>
        </w:rPr>
        <w:t>13-</w:t>
      </w:r>
      <w:r w:rsidRPr="00DA5C34">
        <w:rPr>
          <w:rtl/>
          <w:lang w:val="en-US"/>
        </w:rPr>
        <w:tab/>
        <w:t>عُقدت الدورة الثلاثون للجنة في جنيف بمشاركة أعضائها ووفود الدول الأطراف حضورياً. وطلبت كوستاريكا أن يشارك بعض أعضاء وفدها افتراضياً في الحوار معها، واستجابت شعبة خدمات المؤتمرات لطلبها. وشاركت الجهات المعنية، ومنها منظمات الأشخاص ذوي الإعاقة ومنظمات المجتمع المدني والمؤسسات الوطنية لحقوق الإنسان والوكالات المتخصصة وغيرها من هيئات الأمم المتحدة، في الحوار حضورياً. وأُتيحت الترجمة الفورية إلى لغة الإشارة الدولية ولغة الإشارة الوطنية ومنهما وتقنية العرض النصي عن بعد (خلال الحوارات مع زامبيا وكازاخستان كوستاريكا</w:t>
      </w:r>
      <w:r w:rsidR="00F12B9F" w:rsidRPr="00DA5C34">
        <w:rPr>
          <w:rtl/>
          <w:lang w:val="en-US"/>
        </w:rPr>
        <w:t xml:space="preserve">). </w:t>
      </w:r>
      <w:r w:rsidRPr="00DA5C34">
        <w:rPr>
          <w:rtl/>
          <w:lang w:val="en-US"/>
        </w:rPr>
        <w:t>ولأن مكتب الأمم المتحدة في جنيف توقف عن تقديم الخدمات لجميع الاجتماعات الهجينة أو الافتراضية على أي منصة أو نظام أو أداة، فلم يدعم الجلستين الافتراضيتيْن اللتين عقدتهما اللجنة لضمان شمول ومشاركة أعضاء منظمات المجتمع المدني وشركاء الأمم المتحدة الآخرين الذين لم يستطيعوا حضور الاجتماعات في جنيف. وبُثَّت الجلسات العلنية على شبكة الإنترنت. ولم تُتَح أثناء الدورة أي نسخ من الوثائق باللغة المبسطة أو الصيغة السهلة القراءة. ولم تكن البرمجيات المستخدمة لتسجيل المشاركين في الجلسات ميسرة بالكامل للمشاركين ذوي العاهات البصرية. واستمرت العقبات التي تشكلها البروتوكولات الحالية المتعلقة بدخول المركبات قصر الأمم بالنسبة للمشاركين ذوي الإعاقة الذين يحتاجون إلى وسائل نقل مستوفية لمعايير إمكانية الوصول. واستمر تطوير الترتيبات التيسيرية المعقولة، بما في ذلك في مجال تنظيم سفر أعضاء اللجنة ذوي الإعاقة.</w:t>
      </w:r>
    </w:p>
    <w:p w14:paraId="27E278D4" w14:textId="77777777" w:rsidR="00B03F81" w:rsidRPr="00DA5C34" w:rsidRDefault="00B03F81" w:rsidP="00B03F81">
      <w:pPr>
        <w:pStyle w:val="HChGA"/>
        <w:rPr>
          <w:lang w:val="en-US" w:eastAsia="zh-TW"/>
        </w:rPr>
      </w:pPr>
      <w:r w:rsidRPr="00DA5C34">
        <w:rPr>
          <w:sz w:val="22"/>
          <w:rtl/>
          <w:lang w:val="en-US"/>
        </w:rPr>
        <w:tab/>
      </w:r>
      <w:r w:rsidRPr="00DA5C34">
        <w:rPr>
          <w:rtl/>
          <w:lang w:val="en-US"/>
        </w:rPr>
        <w:t>تاسعاً-</w:t>
      </w:r>
      <w:r w:rsidRPr="00DA5C34">
        <w:rPr>
          <w:rtl/>
          <w:lang w:val="en-US"/>
        </w:rPr>
        <w:tab/>
        <w:t>التعاون مع الهيئات ذات الصلة</w:t>
      </w:r>
    </w:p>
    <w:p w14:paraId="3642142A" w14:textId="77777777" w:rsidR="00B03F81" w:rsidRPr="00DA5C34" w:rsidRDefault="00B03F81" w:rsidP="00B03F81">
      <w:pPr>
        <w:pStyle w:val="H1GA"/>
        <w:rPr>
          <w:lang w:val="en-US" w:eastAsia="zh-TW"/>
        </w:rPr>
      </w:pPr>
      <w:r w:rsidRPr="00DA5C34">
        <w:rPr>
          <w:sz w:val="22"/>
          <w:szCs w:val="22"/>
          <w:rtl/>
          <w:lang w:val="en-US"/>
        </w:rPr>
        <w:tab/>
      </w:r>
      <w:r w:rsidRPr="00DA5C34">
        <w:rPr>
          <w:rtl/>
          <w:lang w:val="en-US"/>
        </w:rPr>
        <w:t>ألف-</w:t>
      </w:r>
      <w:r w:rsidRPr="00DA5C34">
        <w:rPr>
          <w:rtl/>
          <w:lang w:val="en-US"/>
        </w:rPr>
        <w:tab/>
        <w:t>التعاون مع أجهزة الأمم المتحدة ووكالاتها المتخصِّصة</w:t>
      </w:r>
    </w:p>
    <w:p w14:paraId="200C5D1C" w14:textId="3163D22A" w:rsidR="00B03F81" w:rsidRPr="00DA5C34" w:rsidRDefault="00B03F81" w:rsidP="00B03F81">
      <w:pPr>
        <w:pStyle w:val="SingleTxtGA"/>
        <w:rPr>
          <w:lang w:val="en-US" w:eastAsia="zh-TW"/>
        </w:rPr>
      </w:pPr>
      <w:r w:rsidRPr="00DA5C34">
        <w:rPr>
          <w:rtl/>
          <w:lang w:val="en-US"/>
        </w:rPr>
        <w:t>14-</w:t>
      </w:r>
      <w:r w:rsidRPr="00DA5C34">
        <w:rPr>
          <w:rtl/>
          <w:lang w:val="en-US"/>
        </w:rPr>
        <w:tab/>
        <w:t>في الجلسة الافتتاحية للدورة، خاطب اللجنةَ الممثلُ الدائم لتيمور - ليشتي لدى مكتب الأمم المتحدة والمنظمات الدولية الأخرى في جنيف. واستمعت اللجنة أيضاً إلى بيانات ألقاها منسق برنامج بناء القدرات لهيئات المعاهدات، التابع لفرع معاهدات حقوق الإنسان، بشعبة آليات مجلس حقوق الإنسان وآليات المعاهدات بمفوضية الأمم المتحدة السامية لحقوق الإنسان؛ ورئيس اللجنة المعنية بمساعدة الضحايا بموجب اتفاقية حظر استعمال وتخزين وإنتاج ونقل الألغام المضادة للأفراد، وتدمير تلك الألغام؛ وال</w:t>
      </w:r>
      <w:r w:rsidR="00F12B9F" w:rsidRPr="00DA5C34">
        <w:rPr>
          <w:rtl/>
          <w:lang w:val="en-US"/>
        </w:rPr>
        <w:t>مقرر</w:t>
      </w:r>
      <w:r w:rsidRPr="00DA5C34">
        <w:rPr>
          <w:rtl/>
          <w:lang w:val="en-US"/>
        </w:rPr>
        <w:t>ة الخاصة المعنية بحقوق الأشخاص ذوي الإعاقة؛ وال</w:t>
      </w:r>
      <w:r w:rsidR="00F12B9F" w:rsidRPr="00DA5C34">
        <w:rPr>
          <w:rtl/>
          <w:lang w:val="en-US"/>
        </w:rPr>
        <w:t>مقرر</w:t>
      </w:r>
      <w:r w:rsidRPr="00DA5C34">
        <w:rPr>
          <w:rtl/>
          <w:lang w:val="en-US"/>
        </w:rPr>
        <w:t xml:space="preserve">ة الخاصة المعنية بالقضاء على التمييز ضد الأشخاص ذوي الجذام (داء هانسن) وأفراد أسرهم؛ والخبيرة المستقلة المعنية بتمتع الأشخاص ذوي المهق بحقوق الإنسان. وخلال الدورة، استمعت اللجنة إلى بيانات ألقاها ممثلو مكتب الأمم المتحدة للحد من </w:t>
      </w:r>
      <w:proofErr w:type="gramStart"/>
      <w:r w:rsidRPr="00DA5C34">
        <w:rPr>
          <w:rtl/>
          <w:lang w:val="en-US"/>
        </w:rPr>
        <w:t>مخاطر</w:t>
      </w:r>
      <w:proofErr w:type="gramEnd"/>
      <w:r w:rsidRPr="00DA5C34">
        <w:rPr>
          <w:rtl/>
          <w:lang w:val="en-US"/>
        </w:rPr>
        <w:t xml:space="preserve"> الكوارث وخبراء الإعاقة في مجال الحد من مخاطر الكوارث. وعقدت اللجنة، بقيادة فريقها العامل المعني بالنساء والفتيات ذوات الإعاقة، اجتماعاً مع رئيسة اللجنة المعنية بالقضاء على التمييز ضد المرأة لمناقشة المسائل المتعلقة بالنهوض بالنساء والفتيات ذوات الإعاقة وتمكينهن، بما في ذلك الطابع المتقاطع لنوع الجنس والإعاقة. وأجرت اللجنة مناقشات مع ممثل عن مكتب الممثل الخاص </w:t>
      </w:r>
      <w:r w:rsidRPr="00DA5C34">
        <w:rPr>
          <w:rtl/>
          <w:lang w:val="en-US"/>
        </w:rPr>
        <w:lastRenderedPageBreak/>
        <w:t>للأمين العام المعني بالأطفال والنزاع المسلح ومع مستشار كبير في منظمة الأمم المتحدة للطفولة معني بالأطفال في سياق النزاع المسلح، بشأن المسائل المتصلة بالأطفال ذوي الإعاقة في حالات النزاع المسلح.</w:t>
      </w:r>
      <w:bookmarkStart w:id="1" w:name="_Hlk165373140"/>
      <w:bookmarkEnd w:id="1"/>
    </w:p>
    <w:p w14:paraId="155CCA73" w14:textId="77777777" w:rsidR="00B03F81" w:rsidRPr="00DA5C34" w:rsidRDefault="00B03F81" w:rsidP="00B03F81">
      <w:pPr>
        <w:pStyle w:val="H1GA"/>
        <w:rPr>
          <w:lang w:val="en-US" w:eastAsia="zh-TW"/>
        </w:rPr>
      </w:pPr>
      <w:r w:rsidRPr="00DA5C34">
        <w:rPr>
          <w:sz w:val="22"/>
          <w:szCs w:val="22"/>
          <w:rtl/>
          <w:lang w:val="en-US"/>
        </w:rPr>
        <w:tab/>
      </w:r>
      <w:r w:rsidRPr="00DA5C34">
        <w:rPr>
          <w:rtl/>
          <w:lang w:val="en-US"/>
        </w:rPr>
        <w:t>باء-</w:t>
      </w:r>
      <w:r w:rsidRPr="00DA5C34">
        <w:rPr>
          <w:rtl/>
          <w:lang w:val="en-US"/>
        </w:rPr>
        <w:tab/>
        <w:t>التعاون مع المنظمات غير الحكومية والهيئات الأخرى</w:t>
      </w:r>
    </w:p>
    <w:p w14:paraId="23CF5800" w14:textId="6F154D73" w:rsidR="00B03F81" w:rsidRPr="00DA5C34" w:rsidRDefault="00B03F81" w:rsidP="00B03F81">
      <w:pPr>
        <w:pStyle w:val="SingleTxtGA"/>
        <w:rPr>
          <w:lang w:val="en-US" w:eastAsia="zh-TW"/>
        </w:rPr>
      </w:pPr>
      <w:bookmarkStart w:id="2" w:name="_Hlk116468294"/>
      <w:r w:rsidRPr="00DA5C34">
        <w:rPr>
          <w:rtl/>
          <w:lang w:val="en-US"/>
        </w:rPr>
        <w:t>15-</w:t>
      </w:r>
      <w:r w:rsidRPr="00DA5C34">
        <w:rPr>
          <w:rtl/>
          <w:lang w:val="en-US"/>
        </w:rPr>
        <w:tab/>
        <w:t>في الجلسة الافتتاحية للدورة، خاطب اللجنةَ ال</w:t>
      </w:r>
      <w:r w:rsidR="00F12B9F" w:rsidRPr="00DA5C34">
        <w:rPr>
          <w:rtl/>
          <w:lang w:val="en-US"/>
        </w:rPr>
        <w:t>مقرر</w:t>
      </w:r>
      <w:r w:rsidRPr="00DA5C34">
        <w:rPr>
          <w:rtl/>
          <w:lang w:val="en-US"/>
        </w:rPr>
        <w:t xml:space="preserve"> المعني بحقوق الأشخاص ذوي الإعاقة التابع للجنة البلدان الأمريكية لحقوق الإنسان؛ والقيادة الفنية لشؤون الإعاقة في منظمة الصحة العالمية؛ ورئيس التحالف الدولي المعني بقضايا الإعاقة؛ وممثلو المنظمة الوطنية الإسبانية للمكفوفين؛ وأساتذة من كلية الحقوق وعلم الجريمة بجامعة ماينوث ومعهد القانون والسياسة والتنمية في مدرسة سانت آنا للدراسات المتقدمة؛ وممثل عن شبكة أمريكا اللاتينية من أجل حياة مستقلة؛ ومدافع عن حقوق الأشخاص ذوي الإعاقة من كولومبيا. وأجرت اللجنة مناقشات مع ممثل عن منظمة هيومن رايتس ووتش بشأن المسائل المتصلة بالأطفال ذوي الإعاقة في حالات النزاع المسلح.</w:t>
      </w:r>
    </w:p>
    <w:bookmarkEnd w:id="2"/>
    <w:p w14:paraId="646FB0A5" w14:textId="77777777" w:rsidR="00B03F81" w:rsidRPr="00DA5C34" w:rsidRDefault="00B03F81" w:rsidP="00B03F81">
      <w:pPr>
        <w:pStyle w:val="SingleTxtGA"/>
        <w:rPr>
          <w:rtl/>
          <w:lang w:val="en-US"/>
        </w:rPr>
      </w:pPr>
      <w:r w:rsidRPr="00DA5C34">
        <w:rPr>
          <w:rtl/>
          <w:lang w:val="en-US"/>
        </w:rPr>
        <w:t>16-</w:t>
      </w:r>
      <w:r w:rsidRPr="00DA5C34">
        <w:rPr>
          <w:rtl/>
          <w:lang w:val="en-US"/>
        </w:rPr>
        <w:tab/>
        <w:t>وشارك ممثلو آلية الرصد المستقلة في السويد في استعراض اللجنة العام لتقرير البلد.</w:t>
      </w:r>
    </w:p>
    <w:p w14:paraId="2BD89012" w14:textId="77777777" w:rsidR="00B03F81" w:rsidRPr="00DA5C34" w:rsidRDefault="00B03F81" w:rsidP="00B03F81">
      <w:pPr>
        <w:pStyle w:val="SingleTxtGA"/>
        <w:rPr>
          <w:lang w:val="en-US" w:eastAsia="zh-TW"/>
        </w:rPr>
      </w:pPr>
      <w:r w:rsidRPr="00DA5C34">
        <w:rPr>
          <w:rtl/>
          <w:lang w:val="en-US"/>
        </w:rPr>
        <w:t>17-</w:t>
      </w:r>
      <w:r w:rsidRPr="00DA5C34">
        <w:rPr>
          <w:rtl/>
          <w:lang w:val="en-US"/>
        </w:rPr>
        <w:tab/>
        <w:t>وفي الجلسة الختامية للدورة، استمعت اللجنة إلى بيان ألقاه ممثل عن شبكة منطقة أمريكا اللاتينية للتنوع النفسي الاجتماعي وأصدرت بياناً مشتركاً مع لجنة القضاء على جميع أشكال التمييز ضد الأشخاص ذوي الإعاقة.</w:t>
      </w:r>
    </w:p>
    <w:p w14:paraId="2E1BCC1F" w14:textId="77777777" w:rsidR="00B03F81" w:rsidRPr="00DA5C34" w:rsidRDefault="00B03F81" w:rsidP="00B03F81">
      <w:pPr>
        <w:pStyle w:val="HChGA"/>
        <w:rPr>
          <w:lang w:val="en-US" w:eastAsia="zh-TW"/>
        </w:rPr>
      </w:pPr>
      <w:r w:rsidRPr="00DA5C34">
        <w:rPr>
          <w:sz w:val="22"/>
          <w:rtl/>
          <w:lang w:val="en-US"/>
        </w:rPr>
        <w:tab/>
      </w:r>
      <w:r w:rsidRPr="00DA5C34">
        <w:rPr>
          <w:rtl/>
          <w:lang w:val="en-US"/>
        </w:rPr>
        <w:t>عاشراً-</w:t>
      </w:r>
      <w:r w:rsidRPr="00DA5C34">
        <w:rPr>
          <w:rtl/>
          <w:lang w:val="en-US"/>
        </w:rPr>
        <w:tab/>
        <w:t>النظر في التقارير المقدمة بموجب المادة 35 من الاتفاقية</w:t>
      </w:r>
    </w:p>
    <w:p w14:paraId="7B7282F8" w14:textId="2E02702C" w:rsidR="00B03F81" w:rsidRPr="00DA5C34" w:rsidRDefault="00B03F81" w:rsidP="00B03F81">
      <w:pPr>
        <w:pStyle w:val="SingleTxtGA"/>
        <w:rPr>
          <w:lang w:val="en-US" w:eastAsia="zh-TW"/>
        </w:rPr>
      </w:pPr>
      <w:r w:rsidRPr="00DA5C34">
        <w:rPr>
          <w:rtl/>
          <w:lang w:val="en-US"/>
        </w:rPr>
        <w:t>18-</w:t>
      </w:r>
      <w:r w:rsidRPr="00DA5C34">
        <w:rPr>
          <w:rtl/>
          <w:lang w:val="en-US"/>
        </w:rPr>
        <w:tab/>
        <w:t>عقدت اللجنة ست حوارات بناءة، كلها حضورية. ونظرت اللجنة في التقريرين الأوليين لزامبيا وكازاخستان</w:t>
      </w:r>
      <w:r w:rsidR="00F12B9F" w:rsidRPr="00DA5C34">
        <w:rPr>
          <w:rStyle w:val="FootnoteReference"/>
          <w:rtl/>
          <w:lang w:val="en-US"/>
        </w:rPr>
        <w:t>(</w:t>
      </w:r>
      <w:r w:rsidR="00F12B9F" w:rsidRPr="00DA5C34">
        <w:rPr>
          <w:rStyle w:val="FootnoteReference"/>
          <w:rtl/>
          <w:lang w:val="en-US"/>
        </w:rPr>
        <w:footnoteReference w:id="8"/>
      </w:r>
      <w:r w:rsidR="00F12B9F" w:rsidRPr="00DA5C34">
        <w:rPr>
          <w:rStyle w:val="FootnoteReference"/>
          <w:rtl/>
          <w:lang w:val="en-US"/>
        </w:rPr>
        <w:t>)</w:t>
      </w:r>
      <w:r w:rsidRPr="00DA5C34">
        <w:rPr>
          <w:rtl/>
          <w:lang w:val="en-US"/>
        </w:rPr>
        <w:t>؛ وفي التقرير الجامع للتقريرين الأولي والدوري الثاني للبحرين</w:t>
      </w:r>
      <w:r w:rsidR="00F12B9F" w:rsidRPr="00DA5C34">
        <w:rPr>
          <w:rStyle w:val="FootnoteReference"/>
          <w:rtl/>
          <w:lang w:val="en-US"/>
        </w:rPr>
        <w:t>(</w:t>
      </w:r>
      <w:r w:rsidR="00F12B9F" w:rsidRPr="00DA5C34">
        <w:rPr>
          <w:rStyle w:val="FootnoteReference"/>
          <w:rtl/>
          <w:lang w:val="en-US"/>
        </w:rPr>
        <w:footnoteReference w:id="9"/>
      </w:r>
      <w:r w:rsidR="00F12B9F" w:rsidRPr="00DA5C34">
        <w:rPr>
          <w:rStyle w:val="FootnoteReference"/>
          <w:rtl/>
          <w:lang w:val="en-US"/>
        </w:rPr>
        <w:t>)</w:t>
      </w:r>
      <w:r w:rsidRPr="00DA5C34">
        <w:rPr>
          <w:rtl/>
          <w:lang w:val="en-US"/>
        </w:rPr>
        <w:t>؛ وفي التقرير الجامع للتقريرين الدوريين الثاني والثالث لأذربيجان والسويد وكوستاريكا</w:t>
      </w:r>
      <w:r w:rsidR="00F12B9F" w:rsidRPr="00DA5C34">
        <w:rPr>
          <w:rStyle w:val="FootnoteReference"/>
          <w:rtl/>
          <w:lang w:val="en-US"/>
        </w:rPr>
        <w:t>(</w:t>
      </w:r>
      <w:r w:rsidR="00F12B9F" w:rsidRPr="00DA5C34">
        <w:rPr>
          <w:rStyle w:val="FootnoteReference"/>
          <w:rtl/>
          <w:lang w:val="en-US"/>
        </w:rPr>
        <w:footnoteReference w:id="10"/>
      </w:r>
      <w:r w:rsidR="00F12B9F" w:rsidRPr="00DA5C34">
        <w:rPr>
          <w:rStyle w:val="FootnoteReference"/>
          <w:rtl/>
          <w:lang w:val="en-US"/>
        </w:rPr>
        <w:t>)</w:t>
      </w:r>
      <w:r w:rsidRPr="00DA5C34">
        <w:rPr>
          <w:rtl/>
          <w:lang w:val="en-US"/>
        </w:rPr>
        <w:t>. ونظرت اللجنة أيضاً في التقرير الأولي والتقريرين الدوريين الثاني والثالث لنيكاراغوا في غياب وفد الدولة الطرف</w:t>
      </w:r>
      <w:r w:rsidR="00F12B9F" w:rsidRPr="00DA5C34">
        <w:rPr>
          <w:rStyle w:val="FootnoteReference"/>
          <w:rtl/>
          <w:lang w:val="en-US"/>
        </w:rPr>
        <w:t>(</w:t>
      </w:r>
      <w:r w:rsidR="00F12B9F" w:rsidRPr="00DA5C34">
        <w:rPr>
          <w:rStyle w:val="FootnoteReference"/>
          <w:rtl/>
          <w:lang w:val="en-US"/>
        </w:rPr>
        <w:footnoteReference w:id="11"/>
      </w:r>
      <w:r w:rsidR="00F12B9F" w:rsidRPr="00DA5C34">
        <w:rPr>
          <w:rStyle w:val="FootnoteReference"/>
          <w:rtl/>
          <w:lang w:val="en-US"/>
        </w:rPr>
        <w:t>)</w:t>
      </w:r>
      <w:r w:rsidRPr="00DA5C34">
        <w:rPr>
          <w:rtl/>
          <w:lang w:val="en-US"/>
        </w:rPr>
        <w:t>. واعتمدت اللجنة ملاحظات ختامية بشأن هذه التقارير</w:t>
      </w:r>
      <w:r w:rsidR="00F12B9F" w:rsidRPr="00DA5C34">
        <w:rPr>
          <w:rStyle w:val="FootnoteReference"/>
          <w:rtl/>
          <w:lang w:val="en-US"/>
        </w:rPr>
        <w:t>(</w:t>
      </w:r>
      <w:r w:rsidR="00F12B9F" w:rsidRPr="00DA5C34">
        <w:rPr>
          <w:rStyle w:val="FootnoteReference"/>
          <w:rtl/>
          <w:lang w:val="en-US"/>
        </w:rPr>
        <w:footnoteReference w:id="12"/>
      </w:r>
      <w:r w:rsidR="00F12B9F" w:rsidRPr="00DA5C34">
        <w:rPr>
          <w:rStyle w:val="FootnoteReference"/>
          <w:rtl/>
          <w:lang w:val="en-US"/>
        </w:rPr>
        <w:t>)</w:t>
      </w:r>
      <w:r w:rsidRPr="00DA5C34">
        <w:rPr>
          <w:rtl/>
          <w:lang w:val="en-US"/>
        </w:rPr>
        <w:t>. ويمكن الاطلاع في المرفق الثاني لهذا التقرير على قائمة الدول الأطراف التي تأخرت في تقديم تقاريرها الأولية أكثر من خمس سنوات.</w:t>
      </w:r>
      <w:bookmarkStart w:id="3" w:name="_Hlk116475971"/>
      <w:bookmarkStart w:id="4" w:name="_Hlk116475963"/>
      <w:bookmarkEnd w:id="3"/>
      <w:bookmarkEnd w:id="4"/>
    </w:p>
    <w:p w14:paraId="73176FC2" w14:textId="77777777" w:rsidR="00B03F81" w:rsidRPr="00DA5C34" w:rsidRDefault="00B03F81" w:rsidP="00B03F81">
      <w:pPr>
        <w:pStyle w:val="HChGA"/>
        <w:rPr>
          <w:lang w:val="en-US" w:eastAsia="zh-TW"/>
        </w:rPr>
      </w:pPr>
      <w:r w:rsidRPr="00DA5C34">
        <w:rPr>
          <w:sz w:val="20"/>
          <w:szCs w:val="28"/>
          <w:rtl/>
          <w:lang w:val="en-US"/>
        </w:rPr>
        <w:tab/>
      </w:r>
      <w:r w:rsidRPr="00DA5C34">
        <w:rPr>
          <w:sz w:val="28"/>
          <w:szCs w:val="28"/>
          <w:rtl/>
          <w:lang w:val="en-US"/>
        </w:rPr>
        <w:t>حادي عشر-</w:t>
      </w:r>
      <w:r w:rsidRPr="00DA5C34">
        <w:rPr>
          <w:sz w:val="28"/>
          <w:szCs w:val="28"/>
          <w:rtl/>
          <w:lang w:val="en-US"/>
        </w:rPr>
        <w:tab/>
      </w:r>
      <w:r w:rsidRPr="00DA5C34">
        <w:rPr>
          <w:rtl/>
          <w:lang w:val="en-US"/>
        </w:rPr>
        <w:t>قرارات أخرى</w:t>
      </w:r>
    </w:p>
    <w:p w14:paraId="6527557E" w14:textId="77777777" w:rsidR="00B03F81" w:rsidRPr="00DA5C34" w:rsidRDefault="00B03F81" w:rsidP="00B03F81">
      <w:pPr>
        <w:pStyle w:val="SingleTxtGA"/>
        <w:rPr>
          <w:lang w:val="en-US" w:eastAsia="zh-TW"/>
        </w:rPr>
      </w:pPr>
      <w:r w:rsidRPr="00DA5C34">
        <w:rPr>
          <w:rtl/>
          <w:lang w:val="en-US"/>
        </w:rPr>
        <w:t>19-</w:t>
      </w:r>
      <w:r w:rsidRPr="00DA5C34">
        <w:rPr>
          <w:rtl/>
          <w:lang w:val="en-US"/>
        </w:rPr>
        <w:tab/>
        <w:t>اعتمدت اللجنة هذا التقرير عن دورتها الثلاثين.</w:t>
      </w:r>
    </w:p>
    <w:p w14:paraId="3107B1E5" w14:textId="77777777" w:rsidR="00B03F81" w:rsidRPr="00DA5C34" w:rsidRDefault="00B03F81" w:rsidP="00B03F81">
      <w:pPr>
        <w:pStyle w:val="SingleTxtGA"/>
        <w:rPr>
          <w:lang w:val="en-US" w:eastAsia="zh-TW"/>
        </w:rPr>
      </w:pPr>
      <w:r w:rsidRPr="00DA5C34">
        <w:rPr>
          <w:rtl/>
          <w:lang w:val="en-US"/>
        </w:rPr>
        <w:t>20-</w:t>
      </w:r>
      <w:r w:rsidRPr="00DA5C34">
        <w:rPr>
          <w:rtl/>
          <w:lang w:val="en-US"/>
        </w:rPr>
        <w:tab/>
        <w:t>ويمكن الاطلاع في المرفق الأول لهذا التقرير على القائمة الكاملة للقرارات التي اعتمدتها اللجنة.</w:t>
      </w:r>
    </w:p>
    <w:p w14:paraId="0F405FFB" w14:textId="77777777" w:rsidR="00B03F81" w:rsidRPr="00DA5C34" w:rsidRDefault="00B03F81" w:rsidP="00B03F81">
      <w:pPr>
        <w:pStyle w:val="SingleTxtG"/>
        <w:rPr>
          <w:sz w:val="22"/>
          <w:szCs w:val="22"/>
          <w:lang w:val="en-US" w:eastAsia="en-GB"/>
        </w:rPr>
      </w:pPr>
      <w:r w:rsidRPr="00DA5C34">
        <w:rPr>
          <w:sz w:val="22"/>
          <w:szCs w:val="22"/>
          <w:lang w:val="en-US" w:eastAsia="en-GB"/>
        </w:rPr>
        <w:br w:type="page"/>
      </w:r>
    </w:p>
    <w:p w14:paraId="33AEE618" w14:textId="77777777" w:rsidR="00B03F81" w:rsidRPr="00DA5C34" w:rsidRDefault="00B03F81" w:rsidP="00B03F81">
      <w:pPr>
        <w:pStyle w:val="HChGA"/>
        <w:rPr>
          <w:lang w:val="en-US" w:eastAsia="zh-TW"/>
        </w:rPr>
      </w:pPr>
      <w:r w:rsidRPr="00DA5C34">
        <w:rPr>
          <w:sz w:val="22"/>
          <w:szCs w:val="22"/>
          <w:rtl/>
          <w:lang w:val="en-US"/>
        </w:rPr>
        <w:lastRenderedPageBreak/>
        <w:tab/>
      </w:r>
      <w:r w:rsidRPr="00DA5C34">
        <w:rPr>
          <w:rtl/>
          <w:lang w:val="en-US"/>
        </w:rPr>
        <w:t>المرفق الأول</w:t>
      </w:r>
    </w:p>
    <w:p w14:paraId="57BDEC40" w14:textId="77777777" w:rsidR="00B03F81" w:rsidRPr="00DA5C34" w:rsidRDefault="00B03F81" w:rsidP="00B03F81">
      <w:pPr>
        <w:pStyle w:val="HChGA"/>
        <w:rPr>
          <w:sz w:val="22"/>
          <w:szCs w:val="22"/>
          <w:lang w:val="en-US" w:eastAsia="zh-TW"/>
        </w:rPr>
      </w:pPr>
      <w:r w:rsidRPr="00DA5C34">
        <w:rPr>
          <w:rtl/>
          <w:lang w:val="en-US"/>
        </w:rPr>
        <w:tab/>
      </w:r>
      <w:r w:rsidRPr="00DA5C34">
        <w:rPr>
          <w:rtl/>
          <w:lang w:val="en-US"/>
        </w:rPr>
        <w:tab/>
        <w:t>القرارات التي اعتمدتها اللجنة في دورتها الثلاثين</w:t>
      </w:r>
    </w:p>
    <w:p w14:paraId="2C1D42AB" w14:textId="77777777" w:rsidR="00B03F81" w:rsidRPr="00DA5C34" w:rsidRDefault="00B03F81" w:rsidP="00B03F81">
      <w:pPr>
        <w:pStyle w:val="SingleTxtGA"/>
        <w:rPr>
          <w:rtl/>
          <w:lang w:val="en-US"/>
        </w:rPr>
      </w:pPr>
      <w:r w:rsidRPr="00DA5C34">
        <w:rPr>
          <w:rtl/>
          <w:lang w:val="en-US"/>
        </w:rPr>
        <w:t>1-</w:t>
      </w:r>
      <w:r w:rsidRPr="00DA5C34">
        <w:rPr>
          <w:rtl/>
          <w:lang w:val="en-US"/>
        </w:rPr>
        <w:tab/>
        <w:t>اعتمدت اللجنة ملاحظات ختامية بشأن التقريرين الأوليين لزامبيا وكازاخستان، والتقرير الجامع للتقريرين الأولي والدوري الثاني للبحرين، والتقرير الجامع للتقريرين الدوريين الثاني والثالث لأذربيجان والسويد وكوستاريكا، والتقرير الأولي والتقريرين الدوريين الثاني والثالث لنيكاراغوا. وتأسف اللجنة لعدم إرسال نيكاراغوا وفداً لإجراء حوار بناء مع اللجنة.</w:t>
      </w:r>
    </w:p>
    <w:p w14:paraId="799377C7" w14:textId="77777777" w:rsidR="00B03F81" w:rsidRPr="00DA5C34" w:rsidRDefault="00B03F81" w:rsidP="00B03F81">
      <w:pPr>
        <w:pStyle w:val="SingleTxtGA"/>
        <w:rPr>
          <w:rtl/>
          <w:lang w:val="en-US"/>
        </w:rPr>
      </w:pPr>
      <w:r w:rsidRPr="00DA5C34">
        <w:rPr>
          <w:rtl/>
          <w:lang w:val="en-US"/>
        </w:rPr>
        <w:t>2-</w:t>
      </w:r>
      <w:r w:rsidRPr="00DA5C34">
        <w:rPr>
          <w:rtl/>
          <w:lang w:val="en-US"/>
        </w:rPr>
        <w:tab/>
        <w:t>ودرست اللجنة أربعة بلاغات فردية قُدمت إليها للنظر فيها بموجب البروتوكول الاختياري للاتفاقية. وخلصت إلى وقوع انتهاكات للاتفاقية في واحد منها، وأعلنت عدم قبول البلاغ الثالث، وقررت وقف النظر في بلاغيْن آخريْن. ويمكن الاطلاع في المرفق الثالث لهذا التقرير على موجز لآراء اللجنة وقراراتها. وأُحيلت الآراء والقرارات إلى الأطراف في أقرب وقت ممكن وعُمِّمت لاحقاً.</w:t>
      </w:r>
    </w:p>
    <w:p w14:paraId="29670F72" w14:textId="77777777" w:rsidR="00B03F81" w:rsidRPr="00DA5C34" w:rsidRDefault="00B03F81" w:rsidP="00B03F81">
      <w:pPr>
        <w:pStyle w:val="SingleTxtGA"/>
        <w:rPr>
          <w:lang w:val="en-US" w:eastAsia="zh-TW"/>
        </w:rPr>
      </w:pPr>
      <w:r w:rsidRPr="00DA5C34">
        <w:rPr>
          <w:rtl/>
          <w:lang w:val="en-US"/>
        </w:rPr>
        <w:t>3-</w:t>
      </w:r>
      <w:r w:rsidRPr="00DA5C34">
        <w:rPr>
          <w:rtl/>
          <w:lang w:val="en-US"/>
        </w:rPr>
        <w:tab/>
        <w:t>واعتمدت اللجنة تقريراً مرحلياً بشأن متابعة البلاغات الفردية.</w:t>
      </w:r>
    </w:p>
    <w:p w14:paraId="71C84F85" w14:textId="77777777" w:rsidR="00B03F81" w:rsidRPr="00DA5C34" w:rsidRDefault="00B03F81" w:rsidP="00B03F81">
      <w:pPr>
        <w:pStyle w:val="SingleTxtGA"/>
        <w:rPr>
          <w:rtl/>
          <w:lang w:val="en-US"/>
        </w:rPr>
      </w:pPr>
      <w:r w:rsidRPr="00DA5C34">
        <w:rPr>
          <w:rtl/>
          <w:lang w:val="en-US"/>
        </w:rPr>
        <w:t>4-</w:t>
      </w:r>
      <w:r w:rsidRPr="00DA5C34">
        <w:rPr>
          <w:rtl/>
          <w:lang w:val="en-US"/>
        </w:rPr>
        <w:tab/>
        <w:t>وأجرت اللجنة حواريْن واعتمدت تقارير بشأن متابعة التحقيقات.</w:t>
      </w:r>
    </w:p>
    <w:p w14:paraId="2C9F899E" w14:textId="77777777" w:rsidR="00B03F81" w:rsidRPr="00DA5C34" w:rsidRDefault="00B03F81" w:rsidP="00B03F81">
      <w:pPr>
        <w:pStyle w:val="SingleTxtGA"/>
        <w:rPr>
          <w:rtl/>
          <w:lang w:val="en-US"/>
        </w:rPr>
      </w:pPr>
      <w:r w:rsidRPr="00DA5C34">
        <w:rPr>
          <w:rtl/>
          <w:lang w:val="en-US"/>
        </w:rPr>
        <w:t>5-</w:t>
      </w:r>
      <w:r w:rsidRPr="00DA5C34">
        <w:rPr>
          <w:rtl/>
          <w:lang w:val="en-US"/>
        </w:rPr>
        <w:tab/>
        <w:t>ونظرت اللجنة في المسائل المتعلِّقة بإجراءات التحقيق عملاً بالبروتوكول الاختياري.</w:t>
      </w:r>
    </w:p>
    <w:p w14:paraId="7F6F463D" w14:textId="77777777" w:rsidR="00B03F81" w:rsidRPr="00DA5C34" w:rsidRDefault="00B03F81" w:rsidP="00B03F81">
      <w:pPr>
        <w:pStyle w:val="SingleTxtGA"/>
        <w:rPr>
          <w:lang w:val="en-US" w:eastAsia="zh-TW"/>
        </w:rPr>
      </w:pPr>
      <w:r w:rsidRPr="00DA5C34">
        <w:rPr>
          <w:rtl/>
          <w:lang w:val="en-US"/>
        </w:rPr>
        <w:t>6-</w:t>
      </w:r>
      <w:r w:rsidRPr="00DA5C34">
        <w:rPr>
          <w:rtl/>
          <w:lang w:val="en-US"/>
        </w:rPr>
        <w:tab/>
        <w:t>وواصلت اللجنة عملية وضع مشروع تعليقها العام رقم 9 بشأن المادة 11 من الاتفاقية. وأجرت مناقشات مع وكالات الأمم المتحدة وشركائها فيما يتعلق بالأشخاص ذوي الإعاقة المتضررين من الكوارث والأطفال ذوي الإعاقة المتأثرين بالنزاعات المسلحة.</w:t>
      </w:r>
    </w:p>
    <w:p w14:paraId="6AE69C2D" w14:textId="77777777" w:rsidR="00B03F81" w:rsidRPr="00DA5C34" w:rsidRDefault="00B03F81" w:rsidP="00B03F81">
      <w:pPr>
        <w:pStyle w:val="SingleTxtGA"/>
        <w:rPr>
          <w:rtl/>
          <w:lang w:val="en-US"/>
        </w:rPr>
      </w:pPr>
      <w:r w:rsidRPr="00DA5C34">
        <w:rPr>
          <w:rtl/>
          <w:lang w:val="en-US"/>
        </w:rPr>
        <w:t>7-</w:t>
      </w:r>
      <w:r w:rsidRPr="00DA5C34">
        <w:rPr>
          <w:rtl/>
          <w:lang w:val="en-US"/>
        </w:rPr>
        <w:tab/>
        <w:t>وعدلت اللجنة نظامها الداخلي فيما يخص المسائل المتعلقة بالبلاغات، والإجراء المبسط لتقديم التقارير، ومتابعة التحقيقات.</w:t>
      </w:r>
    </w:p>
    <w:p w14:paraId="2C025AAB" w14:textId="1A3A1C66" w:rsidR="00B03F81" w:rsidRPr="00DA5C34" w:rsidRDefault="00B03F81" w:rsidP="00B03F81">
      <w:pPr>
        <w:pStyle w:val="SingleTxtGA"/>
        <w:rPr>
          <w:rtl/>
          <w:lang w:val="en-US"/>
        </w:rPr>
      </w:pPr>
      <w:r w:rsidRPr="00DA5C34">
        <w:rPr>
          <w:rtl/>
          <w:lang w:val="en-US"/>
        </w:rPr>
        <w:t>8-</w:t>
      </w:r>
      <w:r w:rsidRPr="00DA5C34">
        <w:rPr>
          <w:spacing w:val="-4"/>
          <w:rtl/>
          <w:lang w:val="en-US"/>
        </w:rPr>
        <w:tab/>
        <w:t>وقررت اللجنة، رهناً بتوافر الموارد المالية، عقد دورتها الحادية والثلاثين في جنيف في الفترة من 12</w:t>
      </w:r>
      <w:r w:rsidRPr="00DA5C34">
        <w:rPr>
          <w:rtl/>
          <w:lang w:val="en-US"/>
        </w:rPr>
        <w:t xml:space="preserve"> آب/أغسطس إلى 6 أيلول/سبتمبر 2024، وسيليها الاجتماع العشرون للفريق العامل لما قبل الدورة في الفترة من 9 إلى 13 أيلول/سبتمبر 202</w:t>
      </w:r>
      <w:r w:rsidR="00F12B9F" w:rsidRPr="00DA5C34">
        <w:rPr>
          <w:rtl/>
          <w:lang w:val="en-US"/>
        </w:rPr>
        <w:t xml:space="preserve">4. </w:t>
      </w:r>
      <w:r w:rsidRPr="00DA5C34">
        <w:rPr>
          <w:rtl/>
          <w:lang w:val="en-US"/>
        </w:rPr>
        <w:t>وأقرت اللجنة برنامج عمل مؤقتاً لدورتها الحادية والثلاثين.</w:t>
      </w:r>
    </w:p>
    <w:p w14:paraId="715D1062" w14:textId="77777777" w:rsidR="00B03F81" w:rsidRPr="00DA5C34" w:rsidRDefault="00B03F81" w:rsidP="00B03F81">
      <w:pPr>
        <w:pStyle w:val="SingleTxtGA"/>
        <w:rPr>
          <w:rtl/>
          <w:lang w:val="en-US"/>
        </w:rPr>
      </w:pPr>
      <w:r w:rsidRPr="00DA5C34">
        <w:rPr>
          <w:rtl/>
          <w:lang w:val="en-US"/>
        </w:rPr>
        <w:t>9-</w:t>
      </w:r>
      <w:r w:rsidRPr="00DA5C34">
        <w:rPr>
          <w:rtl/>
          <w:lang w:val="en-US"/>
        </w:rPr>
        <w:tab/>
        <w:t>وقررت اللجنة اعتماد ممارسة استخدام فرق العمل للتحضير للحوارات البناءة مع الدول الأطراف وإجرائها كمنهجية افتراضية لجميع الحوارات. وستواصل اللجنة تحسين هذه المنهجية.</w:t>
      </w:r>
    </w:p>
    <w:p w14:paraId="1A4A7DA2" w14:textId="77777777" w:rsidR="00B03F81" w:rsidRPr="00DA5C34" w:rsidRDefault="00B03F81" w:rsidP="00B03F81">
      <w:pPr>
        <w:pStyle w:val="SingleTxtGA"/>
        <w:rPr>
          <w:rtl/>
          <w:lang w:val="en-US"/>
        </w:rPr>
      </w:pPr>
      <w:r w:rsidRPr="00DA5C34">
        <w:rPr>
          <w:rtl/>
          <w:lang w:val="en-US"/>
        </w:rPr>
        <w:t>10-</w:t>
      </w:r>
      <w:r w:rsidRPr="00DA5C34">
        <w:rPr>
          <w:rtl/>
          <w:lang w:val="en-US"/>
        </w:rPr>
        <w:tab/>
        <w:t>وقررت اللجنة مواصلة العمل مع مكتب الأمم المتحدة في جنيف ومفوضية الأمم المتحدة السامية لحقوق الإنسان من أجل تحسين مستوى توفير خدمات المؤتمرات المستوفية لمعايير إمكانية الوصول والترتيبات التيسيرية المعقولة لأعضاء اللجنة والمشاركين ذوي الإعاقة في اجتماعاتها.</w:t>
      </w:r>
    </w:p>
    <w:p w14:paraId="5AA28606" w14:textId="653262B3" w:rsidR="00F12B9F" w:rsidRPr="00DA5C34" w:rsidRDefault="00B03F81" w:rsidP="00B03F81">
      <w:pPr>
        <w:pStyle w:val="SingleTxtGA"/>
        <w:rPr>
          <w:rtl/>
          <w:lang w:val="en-US"/>
        </w:rPr>
      </w:pPr>
      <w:r w:rsidRPr="00DA5C34">
        <w:rPr>
          <w:rtl/>
          <w:lang w:val="en-US"/>
        </w:rPr>
        <w:t>11-</w:t>
      </w:r>
      <w:r w:rsidRPr="00DA5C34">
        <w:rPr>
          <w:rtl/>
          <w:lang w:val="en-US"/>
        </w:rPr>
        <w:tab/>
        <w:t>واعتمدت اللجنة بياناً بشأن تحقيق هدف التمثيل المتوازن للجنسين والتوزيع الجغرافي العادل في انتخابات أعضاء اللجنة في عام 202</w:t>
      </w:r>
      <w:r w:rsidR="00F12B9F" w:rsidRPr="00DA5C34">
        <w:rPr>
          <w:rtl/>
          <w:lang w:val="en-US"/>
        </w:rPr>
        <w:t>4.</w:t>
      </w:r>
    </w:p>
    <w:p w14:paraId="5D6BBC87" w14:textId="27FC8061" w:rsidR="00B03F81" w:rsidRPr="00DA5C34" w:rsidRDefault="00B03F81" w:rsidP="00B03F81">
      <w:pPr>
        <w:pStyle w:val="SingleTxtGA"/>
        <w:rPr>
          <w:rtl/>
          <w:lang w:val="en-US"/>
        </w:rPr>
      </w:pPr>
      <w:r w:rsidRPr="00DA5C34">
        <w:rPr>
          <w:rtl/>
          <w:lang w:val="en-US"/>
        </w:rPr>
        <w:t>12-</w:t>
      </w:r>
      <w:r w:rsidRPr="00DA5C34">
        <w:rPr>
          <w:rtl/>
          <w:lang w:val="en-US"/>
        </w:rPr>
        <w:tab/>
      </w:r>
      <w:r w:rsidRPr="00DA5C34">
        <w:rPr>
          <w:spacing w:val="-4"/>
          <w:rtl/>
          <w:lang w:val="en-US"/>
        </w:rPr>
        <w:t>ورحبت اللجنة بالتصديقات الأخيرة على الاتفاقية والبروتوكول الاختياري. وبالنظر إلى تصديق 191</w:t>
      </w:r>
      <w:r w:rsidRPr="00DA5C34">
        <w:rPr>
          <w:rtl/>
          <w:lang w:val="en-US"/>
        </w:rPr>
        <w:t xml:space="preserve"> دولة طرفاً على الاتفاقية، فهي ثاني معاهدات حقوق الإنسان التي حظيت بأكبر عدد من التصديقات. غير أن معدل التصديق العالي لا يوازيه الوقت المخصص للاجتماعات والموارد المخصصة للجنة. ولذلك، دعت اللجنة الدول الأعضاء وجميع هيئات الأمم المتحدة المختصة إلى تصحيح هذا الوضع بزيادة وقت الاجتماعات والموارد المخصصة للجنة بعقد دورة ثالثة مدتها ثلاثة أسابيع على الأقل.</w:t>
      </w:r>
    </w:p>
    <w:p w14:paraId="092C6887" w14:textId="77777777" w:rsidR="00B03F81" w:rsidRPr="00DA5C34" w:rsidRDefault="00B03F81" w:rsidP="00B03F81">
      <w:pPr>
        <w:pStyle w:val="SingleTxtGA"/>
        <w:rPr>
          <w:rtl/>
          <w:lang w:val="en-US"/>
        </w:rPr>
      </w:pPr>
      <w:r w:rsidRPr="00DA5C34">
        <w:rPr>
          <w:rtl/>
          <w:lang w:val="en-US"/>
        </w:rPr>
        <w:lastRenderedPageBreak/>
        <w:t>13-</w:t>
      </w:r>
      <w:r w:rsidRPr="00DA5C34">
        <w:rPr>
          <w:rtl/>
          <w:lang w:val="en-US"/>
        </w:rPr>
        <w:tab/>
        <w:t>وبالنظر إلى استمرار قلق اللجنة إزاء تزايد عدد التقارير الأولية والدورية المعروضة عليها للنظر فيها، فقد دعت الدولَ الأعضاء والهيئات المعنية إلى منحها ما يكفي من الوقت والموارد لمعالجة مشكلة تراكم التقارير.</w:t>
      </w:r>
    </w:p>
    <w:p w14:paraId="07B2C296" w14:textId="77777777" w:rsidR="00B03F81" w:rsidRPr="00DA5C34" w:rsidRDefault="00B03F81" w:rsidP="00B03F81">
      <w:pPr>
        <w:pStyle w:val="SingleTxtGA"/>
        <w:rPr>
          <w:rtl/>
          <w:lang w:val="en-US"/>
        </w:rPr>
      </w:pPr>
      <w:r w:rsidRPr="00DA5C34">
        <w:rPr>
          <w:rtl/>
          <w:lang w:val="en-US"/>
        </w:rPr>
        <w:t>14-</w:t>
      </w:r>
      <w:r w:rsidRPr="00DA5C34">
        <w:rPr>
          <w:rtl/>
          <w:lang w:val="en-US"/>
        </w:rPr>
        <w:tab/>
        <w:t>ودعت اللجنة الدول الأطراف التي تأخرت كثيراً في تقديم تقاريرها الأولية، على النحو الوارد في المرفق الثاني لهذا التقرير، إلى تقديم تقاريرها في أقرب وقت ممكن. وقررت اللجنة العمل بنشاط مع الدول الأطراف التي تأخرت في تقديم تقاريرها الأولية أكثر من 10 سنوات من أجل بناء قدراتها في مجال تقديم التقارير، وذلك بالتنسيق مع برنامج بناء القدرات لهيئات المعاهدات التابع لفرع معاهدات حقوق الإنسان بمفوضية الأمم المتحدة السامية لحقوق الإنسان.</w:t>
      </w:r>
    </w:p>
    <w:p w14:paraId="6FDFA92A" w14:textId="77777777" w:rsidR="00B03F81" w:rsidRPr="00DA5C34" w:rsidRDefault="00B03F81" w:rsidP="00B03F81">
      <w:pPr>
        <w:pStyle w:val="SingleTxtGA"/>
        <w:rPr>
          <w:lang w:val="en-US" w:eastAsia="zh-TW"/>
        </w:rPr>
      </w:pPr>
      <w:r w:rsidRPr="00DA5C34">
        <w:rPr>
          <w:rtl/>
          <w:lang w:val="en-US"/>
        </w:rPr>
        <w:t>15-</w:t>
      </w:r>
      <w:r w:rsidRPr="00DA5C34">
        <w:rPr>
          <w:rtl/>
          <w:lang w:val="en-US"/>
        </w:rPr>
        <w:tab/>
        <w:t>واعتمدت اللجنة التقرير المتعلق بدورتها الحادية والثلاثين.</w:t>
      </w:r>
    </w:p>
    <w:p w14:paraId="7269A4B2" w14:textId="77777777" w:rsidR="00B03F81" w:rsidRPr="00DA5C34" w:rsidRDefault="00B03F81" w:rsidP="00B03F81">
      <w:pPr>
        <w:pStyle w:val="SingleTxtG"/>
        <w:rPr>
          <w:sz w:val="22"/>
          <w:szCs w:val="22"/>
          <w:lang w:val="en-US"/>
        </w:rPr>
      </w:pPr>
      <w:r w:rsidRPr="00DA5C34">
        <w:rPr>
          <w:sz w:val="22"/>
          <w:szCs w:val="22"/>
          <w:lang w:val="en-US"/>
        </w:rPr>
        <w:br w:type="page"/>
      </w:r>
    </w:p>
    <w:p w14:paraId="59E024FE" w14:textId="77777777" w:rsidR="00B03F81" w:rsidRPr="00DA5C34" w:rsidRDefault="00B03F81" w:rsidP="002C4B69">
      <w:pPr>
        <w:pStyle w:val="HChGA"/>
        <w:spacing w:before="0"/>
        <w:rPr>
          <w:lang w:val="en-US" w:eastAsia="zh-TW"/>
        </w:rPr>
      </w:pPr>
      <w:r w:rsidRPr="00DA5C34">
        <w:rPr>
          <w:rtl/>
          <w:lang w:val="en-US"/>
        </w:rPr>
        <w:lastRenderedPageBreak/>
        <w:tab/>
        <w:t>المرفق الثاني</w:t>
      </w:r>
    </w:p>
    <w:p w14:paraId="06F80682" w14:textId="77777777" w:rsidR="00B03F81" w:rsidRPr="00DA5C34" w:rsidRDefault="00B03F81" w:rsidP="00B03F81">
      <w:pPr>
        <w:pStyle w:val="HChGA"/>
        <w:rPr>
          <w:sz w:val="22"/>
          <w:lang w:val="en-US" w:eastAsia="zh-TW"/>
        </w:rPr>
      </w:pPr>
      <w:r w:rsidRPr="00DA5C34">
        <w:rPr>
          <w:rtl/>
          <w:lang w:val="en-US"/>
        </w:rPr>
        <w:tab/>
      </w:r>
      <w:r w:rsidRPr="00DA5C34">
        <w:rPr>
          <w:rtl/>
          <w:lang w:val="en-US"/>
        </w:rPr>
        <w:tab/>
        <w:t>الدول الأطراف التي تأخرت في تقديم تقاريرها الأولية أكثر من خمس سنوات</w:t>
      </w:r>
    </w:p>
    <w:tbl>
      <w:tblPr>
        <w:bidiVisual/>
        <w:tblW w:w="7229" w:type="dxa"/>
        <w:tblInd w:w="1275"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3"/>
        <w:gridCol w:w="3686"/>
      </w:tblGrid>
      <w:tr w:rsidR="00B03F81" w:rsidRPr="00DA5C34" w14:paraId="76D5F0F3" w14:textId="77777777" w:rsidTr="009D5535">
        <w:trPr>
          <w:tblHeader/>
        </w:trPr>
        <w:tc>
          <w:tcPr>
            <w:tcW w:w="3543" w:type="dxa"/>
            <w:tcBorders>
              <w:top w:val="single" w:sz="4" w:space="0" w:color="auto"/>
              <w:bottom w:val="single" w:sz="12" w:space="0" w:color="auto"/>
            </w:tcBorders>
            <w:shd w:val="clear" w:color="auto" w:fill="auto"/>
            <w:vAlign w:val="bottom"/>
          </w:tcPr>
          <w:p w14:paraId="741E61B8" w14:textId="77777777" w:rsidR="00B03F81" w:rsidRPr="00DA5C34" w:rsidRDefault="00B03F81" w:rsidP="002C4B69">
            <w:pPr>
              <w:pStyle w:val="SingleTxtG"/>
              <w:suppressAutoHyphens w:val="0"/>
              <w:bidi/>
              <w:spacing w:after="40" w:line="320" w:lineRule="exact"/>
              <w:ind w:left="57" w:right="113"/>
              <w:jc w:val="left"/>
              <w:textDirection w:val="tbRlV"/>
              <w:rPr>
                <w:i/>
                <w:lang w:val="en-US" w:eastAsia="zh-TW"/>
              </w:rPr>
            </w:pPr>
            <w:r w:rsidRPr="00DA5C34">
              <w:rPr>
                <w:i/>
                <w:iCs/>
                <w:rtl/>
                <w:lang w:val="en-US"/>
              </w:rPr>
              <w:t>الدولة الطرف</w:t>
            </w:r>
          </w:p>
        </w:tc>
        <w:tc>
          <w:tcPr>
            <w:tcW w:w="3686" w:type="dxa"/>
            <w:tcBorders>
              <w:top w:val="single" w:sz="4" w:space="0" w:color="auto"/>
              <w:bottom w:val="single" w:sz="12" w:space="0" w:color="auto"/>
            </w:tcBorders>
            <w:shd w:val="clear" w:color="auto" w:fill="auto"/>
            <w:vAlign w:val="bottom"/>
          </w:tcPr>
          <w:p w14:paraId="4C97CE66" w14:textId="77777777" w:rsidR="00B03F81" w:rsidRPr="00DA5C34" w:rsidRDefault="00B03F81" w:rsidP="002C4B69">
            <w:pPr>
              <w:pStyle w:val="SingleTxtG"/>
              <w:suppressAutoHyphens w:val="0"/>
              <w:bidi/>
              <w:spacing w:after="40" w:line="320" w:lineRule="exact"/>
              <w:ind w:left="57" w:right="113"/>
              <w:jc w:val="left"/>
              <w:textDirection w:val="tbRlV"/>
              <w:rPr>
                <w:i/>
                <w:lang w:val="en-US" w:eastAsia="zh-TW"/>
              </w:rPr>
            </w:pPr>
            <w:r w:rsidRPr="00DA5C34">
              <w:rPr>
                <w:i/>
                <w:iCs/>
                <w:rtl/>
                <w:lang w:val="en-US"/>
              </w:rPr>
              <w:t>الموعد المحدد لتقديم التقرير</w:t>
            </w:r>
          </w:p>
        </w:tc>
      </w:tr>
      <w:tr w:rsidR="00B03F81" w:rsidRPr="00DA5C34" w14:paraId="55F3CA94" w14:textId="77777777" w:rsidTr="009D5535">
        <w:tc>
          <w:tcPr>
            <w:tcW w:w="3543" w:type="dxa"/>
            <w:tcBorders>
              <w:top w:val="single" w:sz="12" w:space="0" w:color="auto"/>
            </w:tcBorders>
            <w:shd w:val="clear" w:color="auto" w:fill="auto"/>
          </w:tcPr>
          <w:p w14:paraId="08898893"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غينيا</w:t>
            </w:r>
          </w:p>
        </w:tc>
        <w:tc>
          <w:tcPr>
            <w:tcW w:w="3686" w:type="dxa"/>
            <w:tcBorders>
              <w:top w:val="single" w:sz="12" w:space="0" w:color="auto"/>
            </w:tcBorders>
            <w:shd w:val="clear" w:color="auto" w:fill="auto"/>
          </w:tcPr>
          <w:p w14:paraId="1F493144"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8 آذار/مارس 2010</w:t>
            </w:r>
          </w:p>
        </w:tc>
      </w:tr>
      <w:tr w:rsidR="00B03F81" w:rsidRPr="00DA5C34" w14:paraId="7553D63C" w14:textId="77777777" w:rsidTr="009D5535">
        <w:tc>
          <w:tcPr>
            <w:tcW w:w="3543" w:type="dxa"/>
            <w:shd w:val="clear" w:color="auto" w:fill="auto"/>
          </w:tcPr>
          <w:p w14:paraId="04AF778C"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سان مارينو</w:t>
            </w:r>
          </w:p>
        </w:tc>
        <w:tc>
          <w:tcPr>
            <w:tcW w:w="3686" w:type="dxa"/>
            <w:shd w:val="clear" w:color="auto" w:fill="auto"/>
          </w:tcPr>
          <w:p w14:paraId="5A89D8ED"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22 آذار/مارس 2010</w:t>
            </w:r>
          </w:p>
        </w:tc>
      </w:tr>
      <w:tr w:rsidR="00B03F81" w:rsidRPr="00DA5C34" w14:paraId="41FAE9D7" w14:textId="77777777" w:rsidTr="009D5535">
        <w:tc>
          <w:tcPr>
            <w:tcW w:w="3543" w:type="dxa"/>
            <w:shd w:val="clear" w:color="auto" w:fill="auto"/>
          </w:tcPr>
          <w:p w14:paraId="2C4EA958"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ليسوتو</w:t>
            </w:r>
          </w:p>
        </w:tc>
        <w:tc>
          <w:tcPr>
            <w:tcW w:w="3686" w:type="dxa"/>
            <w:shd w:val="clear" w:color="auto" w:fill="auto"/>
          </w:tcPr>
          <w:p w14:paraId="60C35E06"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2 كانون الثاني/يناير 2011</w:t>
            </w:r>
          </w:p>
        </w:tc>
      </w:tr>
      <w:tr w:rsidR="00B03F81" w:rsidRPr="00DA5C34" w14:paraId="1E1A9C0B" w14:textId="77777777" w:rsidTr="009D5535">
        <w:tc>
          <w:tcPr>
            <w:tcW w:w="3543" w:type="dxa"/>
            <w:shd w:val="clear" w:color="auto" w:fill="auto"/>
          </w:tcPr>
          <w:p w14:paraId="51E9B8E4"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اليمن</w:t>
            </w:r>
          </w:p>
        </w:tc>
        <w:tc>
          <w:tcPr>
            <w:tcW w:w="3686" w:type="dxa"/>
            <w:shd w:val="clear" w:color="auto" w:fill="auto"/>
          </w:tcPr>
          <w:p w14:paraId="0E66F03A"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26 نيسان/أبريل 2011</w:t>
            </w:r>
          </w:p>
        </w:tc>
      </w:tr>
      <w:tr w:rsidR="00B03F81" w:rsidRPr="00DA5C34" w14:paraId="79F2D6AF" w14:textId="77777777" w:rsidTr="009D5535">
        <w:tc>
          <w:tcPr>
            <w:tcW w:w="3543" w:type="dxa"/>
            <w:shd w:val="clear" w:color="auto" w:fill="auto"/>
          </w:tcPr>
          <w:p w14:paraId="7DE10398"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الجمهورية العربية السورية</w:t>
            </w:r>
          </w:p>
        </w:tc>
        <w:tc>
          <w:tcPr>
            <w:tcW w:w="3686" w:type="dxa"/>
            <w:shd w:val="clear" w:color="auto" w:fill="auto"/>
          </w:tcPr>
          <w:p w14:paraId="3C53E7DD"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10 آب/أغسطس 2011</w:t>
            </w:r>
          </w:p>
        </w:tc>
      </w:tr>
      <w:tr w:rsidR="00B03F81" w:rsidRPr="00DA5C34" w14:paraId="0940A9A5" w14:textId="77777777" w:rsidTr="009D5535">
        <w:tc>
          <w:tcPr>
            <w:tcW w:w="3543" w:type="dxa"/>
            <w:shd w:val="clear" w:color="auto" w:fill="auto"/>
          </w:tcPr>
          <w:p w14:paraId="7422E9C3"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جمهورية تنزانيا المتحدة</w:t>
            </w:r>
          </w:p>
        </w:tc>
        <w:tc>
          <w:tcPr>
            <w:tcW w:w="3686" w:type="dxa"/>
            <w:shd w:val="clear" w:color="auto" w:fill="auto"/>
          </w:tcPr>
          <w:p w14:paraId="7A6ED725"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10 كانون الأول/ديسمبر 2011</w:t>
            </w:r>
          </w:p>
        </w:tc>
      </w:tr>
      <w:tr w:rsidR="00B03F81" w:rsidRPr="00DA5C34" w14:paraId="0ED356D4" w14:textId="77777777" w:rsidTr="009D5535">
        <w:tc>
          <w:tcPr>
            <w:tcW w:w="3543" w:type="dxa"/>
            <w:shd w:val="clear" w:color="auto" w:fill="auto"/>
          </w:tcPr>
          <w:p w14:paraId="10B8D485"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ماليزيا</w:t>
            </w:r>
          </w:p>
        </w:tc>
        <w:tc>
          <w:tcPr>
            <w:tcW w:w="3686" w:type="dxa"/>
            <w:shd w:val="clear" w:color="auto" w:fill="auto"/>
          </w:tcPr>
          <w:p w14:paraId="1DBDA0ED"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19 آب/أغسطس 2012</w:t>
            </w:r>
          </w:p>
        </w:tc>
      </w:tr>
      <w:tr w:rsidR="00B03F81" w:rsidRPr="00DA5C34" w14:paraId="2DE6A772" w14:textId="77777777" w:rsidTr="009D5535">
        <w:tc>
          <w:tcPr>
            <w:tcW w:w="3543" w:type="dxa"/>
            <w:shd w:val="clear" w:color="auto" w:fill="auto"/>
          </w:tcPr>
          <w:p w14:paraId="5CB6B55E"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سانت فنسنت وجزر غرينادين</w:t>
            </w:r>
          </w:p>
        </w:tc>
        <w:tc>
          <w:tcPr>
            <w:tcW w:w="3686" w:type="dxa"/>
            <w:shd w:val="clear" w:color="auto" w:fill="auto"/>
          </w:tcPr>
          <w:p w14:paraId="6858B362"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29 تشرين الثاني/نوفمبر 2012</w:t>
            </w:r>
          </w:p>
        </w:tc>
      </w:tr>
      <w:tr w:rsidR="00B03F81" w:rsidRPr="00DA5C34" w14:paraId="2A2D840F" w14:textId="77777777" w:rsidTr="009D5535">
        <w:tc>
          <w:tcPr>
            <w:tcW w:w="3543" w:type="dxa"/>
            <w:shd w:val="clear" w:color="auto" w:fill="auto"/>
          </w:tcPr>
          <w:p w14:paraId="04B28906"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بليز</w:t>
            </w:r>
          </w:p>
        </w:tc>
        <w:tc>
          <w:tcPr>
            <w:tcW w:w="3686" w:type="dxa"/>
            <w:shd w:val="clear" w:color="auto" w:fill="auto"/>
          </w:tcPr>
          <w:p w14:paraId="503F5F08"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2 تموز/يوليه 2013</w:t>
            </w:r>
          </w:p>
        </w:tc>
      </w:tr>
      <w:tr w:rsidR="00B03F81" w:rsidRPr="00DA5C34" w14:paraId="2D4A62B3" w14:textId="77777777" w:rsidTr="009D5535">
        <w:tc>
          <w:tcPr>
            <w:tcW w:w="3543" w:type="dxa"/>
            <w:shd w:val="clear" w:color="auto" w:fill="auto"/>
          </w:tcPr>
          <w:p w14:paraId="2F2FF83C"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كابو فيردي</w:t>
            </w:r>
          </w:p>
        </w:tc>
        <w:tc>
          <w:tcPr>
            <w:tcW w:w="3686" w:type="dxa"/>
            <w:shd w:val="clear" w:color="auto" w:fill="auto"/>
          </w:tcPr>
          <w:p w14:paraId="5E52E5E5"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10 تشرين الثاني/نوفمبر 2013</w:t>
            </w:r>
          </w:p>
        </w:tc>
      </w:tr>
      <w:tr w:rsidR="00B03F81" w:rsidRPr="00DA5C34" w14:paraId="30A729CE" w14:textId="77777777" w:rsidTr="009D5535">
        <w:tc>
          <w:tcPr>
            <w:tcW w:w="3543" w:type="dxa"/>
            <w:shd w:val="clear" w:color="auto" w:fill="auto"/>
          </w:tcPr>
          <w:p w14:paraId="19B94512"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ناورو</w:t>
            </w:r>
          </w:p>
        </w:tc>
        <w:tc>
          <w:tcPr>
            <w:tcW w:w="3686" w:type="dxa"/>
            <w:shd w:val="clear" w:color="auto" w:fill="auto"/>
          </w:tcPr>
          <w:p w14:paraId="739B876C"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27 تموز/يوليه 2014</w:t>
            </w:r>
          </w:p>
        </w:tc>
      </w:tr>
      <w:tr w:rsidR="00B03F81" w:rsidRPr="00DA5C34" w14:paraId="6B81BCA9" w14:textId="77777777" w:rsidTr="009D5535">
        <w:tc>
          <w:tcPr>
            <w:tcW w:w="3543" w:type="dxa"/>
            <w:shd w:val="clear" w:color="auto" w:fill="auto"/>
          </w:tcPr>
          <w:p w14:paraId="17FB8926"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 xml:space="preserve">إسواتيني </w:t>
            </w:r>
          </w:p>
        </w:tc>
        <w:tc>
          <w:tcPr>
            <w:tcW w:w="3686" w:type="dxa"/>
            <w:shd w:val="clear" w:color="auto" w:fill="auto"/>
          </w:tcPr>
          <w:p w14:paraId="27C92AF5"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24 تشرين الأول/أكتوبر 2014</w:t>
            </w:r>
          </w:p>
        </w:tc>
      </w:tr>
      <w:tr w:rsidR="00B03F81" w:rsidRPr="00DA5C34" w14:paraId="74401D9D" w14:textId="77777777" w:rsidTr="009D5535">
        <w:tc>
          <w:tcPr>
            <w:tcW w:w="3543" w:type="dxa"/>
            <w:shd w:val="clear" w:color="auto" w:fill="auto"/>
          </w:tcPr>
          <w:p w14:paraId="6B2FA06B"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دومينيكا</w:t>
            </w:r>
          </w:p>
        </w:tc>
        <w:tc>
          <w:tcPr>
            <w:tcW w:w="3686" w:type="dxa"/>
            <w:shd w:val="clear" w:color="auto" w:fill="auto"/>
          </w:tcPr>
          <w:p w14:paraId="1D2A20FC"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1 تشرين الثاني/نوفمبر 2014</w:t>
            </w:r>
          </w:p>
        </w:tc>
      </w:tr>
      <w:tr w:rsidR="00B03F81" w:rsidRPr="00DA5C34" w14:paraId="119DB04E" w14:textId="77777777" w:rsidTr="009D5535">
        <w:tc>
          <w:tcPr>
            <w:tcW w:w="3543" w:type="dxa"/>
            <w:shd w:val="clear" w:color="auto" w:fill="auto"/>
          </w:tcPr>
          <w:p w14:paraId="5ABD0778"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كمبوديا</w:t>
            </w:r>
          </w:p>
        </w:tc>
        <w:tc>
          <w:tcPr>
            <w:tcW w:w="3686" w:type="dxa"/>
            <w:shd w:val="clear" w:color="auto" w:fill="auto"/>
          </w:tcPr>
          <w:p w14:paraId="20D4751D"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20 كانون الثاني/يناير 2015</w:t>
            </w:r>
          </w:p>
        </w:tc>
      </w:tr>
      <w:tr w:rsidR="00B03F81" w:rsidRPr="00DA5C34" w14:paraId="334BE42A" w14:textId="77777777" w:rsidTr="009D5535">
        <w:tc>
          <w:tcPr>
            <w:tcW w:w="3543" w:type="dxa"/>
            <w:shd w:val="clear" w:color="auto" w:fill="auto"/>
          </w:tcPr>
          <w:p w14:paraId="698160D9"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بربادوس</w:t>
            </w:r>
          </w:p>
        </w:tc>
        <w:tc>
          <w:tcPr>
            <w:tcW w:w="3686" w:type="dxa"/>
            <w:shd w:val="clear" w:color="auto" w:fill="auto"/>
          </w:tcPr>
          <w:p w14:paraId="236D4DBC"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27 آذار/مارس 2015</w:t>
            </w:r>
          </w:p>
        </w:tc>
      </w:tr>
      <w:tr w:rsidR="00B03F81" w:rsidRPr="00DA5C34" w14:paraId="0084C64B" w14:textId="77777777" w:rsidTr="009D5535">
        <w:tc>
          <w:tcPr>
            <w:tcW w:w="3543" w:type="dxa"/>
            <w:shd w:val="clear" w:color="auto" w:fill="auto"/>
          </w:tcPr>
          <w:p w14:paraId="017CE1F3"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بابوا غينيا الجديدة</w:t>
            </w:r>
          </w:p>
        </w:tc>
        <w:tc>
          <w:tcPr>
            <w:tcW w:w="3686" w:type="dxa"/>
            <w:shd w:val="clear" w:color="auto" w:fill="auto"/>
          </w:tcPr>
          <w:p w14:paraId="2EF4CDB8"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26 تشرين الأول/أكتوبر 2015</w:t>
            </w:r>
          </w:p>
        </w:tc>
      </w:tr>
      <w:tr w:rsidR="00B03F81" w:rsidRPr="00DA5C34" w14:paraId="68C4B4C6" w14:textId="77777777" w:rsidTr="009D5535">
        <w:tc>
          <w:tcPr>
            <w:tcW w:w="3543" w:type="dxa"/>
            <w:shd w:val="clear" w:color="auto" w:fill="auto"/>
          </w:tcPr>
          <w:p w14:paraId="00B7DDF0"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كوت ديفوار</w:t>
            </w:r>
          </w:p>
        </w:tc>
        <w:tc>
          <w:tcPr>
            <w:tcW w:w="3686" w:type="dxa"/>
            <w:shd w:val="clear" w:color="auto" w:fill="auto"/>
          </w:tcPr>
          <w:p w14:paraId="28CA023D"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10 شباط/فبراير 2016</w:t>
            </w:r>
          </w:p>
        </w:tc>
      </w:tr>
      <w:tr w:rsidR="00B03F81" w:rsidRPr="00DA5C34" w14:paraId="6D825E72" w14:textId="77777777" w:rsidTr="009D5535">
        <w:tc>
          <w:tcPr>
            <w:tcW w:w="3543" w:type="dxa"/>
            <w:shd w:val="clear" w:color="auto" w:fill="auto"/>
          </w:tcPr>
          <w:p w14:paraId="5D57F83A"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غرينادا</w:t>
            </w:r>
          </w:p>
        </w:tc>
        <w:tc>
          <w:tcPr>
            <w:tcW w:w="3686" w:type="dxa"/>
            <w:shd w:val="clear" w:color="auto" w:fill="auto"/>
          </w:tcPr>
          <w:p w14:paraId="12DAC348"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17 أيلول/سبتمبر 2016</w:t>
            </w:r>
          </w:p>
        </w:tc>
      </w:tr>
      <w:tr w:rsidR="00B03F81" w:rsidRPr="00DA5C34" w14:paraId="556D5D32" w14:textId="77777777" w:rsidTr="009D5535">
        <w:tc>
          <w:tcPr>
            <w:tcW w:w="3543" w:type="dxa"/>
            <w:shd w:val="clear" w:color="auto" w:fill="auto"/>
          </w:tcPr>
          <w:p w14:paraId="3D6E2B95"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الكونغو</w:t>
            </w:r>
          </w:p>
        </w:tc>
        <w:tc>
          <w:tcPr>
            <w:tcW w:w="3686" w:type="dxa"/>
            <w:shd w:val="clear" w:color="auto" w:fill="auto"/>
          </w:tcPr>
          <w:p w14:paraId="468AC9D2"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2 تشرين الأول/أكتوبر 2016</w:t>
            </w:r>
          </w:p>
        </w:tc>
      </w:tr>
      <w:tr w:rsidR="00B03F81" w:rsidRPr="00DA5C34" w14:paraId="54BA17AB" w14:textId="77777777" w:rsidTr="009D5535">
        <w:tc>
          <w:tcPr>
            <w:tcW w:w="3543" w:type="dxa"/>
            <w:shd w:val="clear" w:color="auto" w:fill="auto"/>
          </w:tcPr>
          <w:p w14:paraId="5F9D342F"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غيانا</w:t>
            </w:r>
          </w:p>
        </w:tc>
        <w:tc>
          <w:tcPr>
            <w:tcW w:w="3686" w:type="dxa"/>
            <w:shd w:val="clear" w:color="auto" w:fill="auto"/>
          </w:tcPr>
          <w:p w14:paraId="2CE7D3EE"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10 تشرين الأول/أكتوبر 2016</w:t>
            </w:r>
          </w:p>
        </w:tc>
      </w:tr>
      <w:tr w:rsidR="00B03F81" w:rsidRPr="00DA5C34" w14:paraId="5C0126FB" w14:textId="77777777" w:rsidTr="009D5535">
        <w:tc>
          <w:tcPr>
            <w:tcW w:w="3543" w:type="dxa"/>
            <w:shd w:val="clear" w:color="auto" w:fill="auto"/>
          </w:tcPr>
          <w:p w14:paraId="022ADC88"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غينيا - بيساو</w:t>
            </w:r>
          </w:p>
        </w:tc>
        <w:tc>
          <w:tcPr>
            <w:tcW w:w="3686" w:type="dxa"/>
            <w:shd w:val="clear" w:color="auto" w:fill="auto"/>
          </w:tcPr>
          <w:p w14:paraId="415B05FA"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24 تشرين الأول/أكتوبر 2016</w:t>
            </w:r>
          </w:p>
        </w:tc>
      </w:tr>
      <w:tr w:rsidR="00B03F81" w:rsidRPr="00DA5C34" w14:paraId="576526BB" w14:textId="77777777" w:rsidTr="009D5535">
        <w:trPr>
          <w:trHeight w:val="70"/>
        </w:trPr>
        <w:tc>
          <w:tcPr>
            <w:tcW w:w="3543" w:type="dxa"/>
            <w:shd w:val="clear" w:color="auto" w:fill="auto"/>
          </w:tcPr>
          <w:p w14:paraId="33414FE3"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مدغشقر</w:t>
            </w:r>
          </w:p>
        </w:tc>
        <w:tc>
          <w:tcPr>
            <w:tcW w:w="3686" w:type="dxa"/>
            <w:shd w:val="clear" w:color="auto" w:fill="auto"/>
          </w:tcPr>
          <w:p w14:paraId="6BA29619"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 xml:space="preserve">12 تموز/يوليه 2017 </w:t>
            </w:r>
          </w:p>
        </w:tc>
      </w:tr>
      <w:tr w:rsidR="00B03F81" w:rsidRPr="00DA5C34" w14:paraId="0E05FCC7" w14:textId="77777777" w:rsidTr="009D5535">
        <w:tc>
          <w:tcPr>
            <w:tcW w:w="3543" w:type="dxa"/>
            <w:shd w:val="clear" w:color="auto" w:fill="auto"/>
          </w:tcPr>
          <w:p w14:paraId="5E8BB244"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غامبيا</w:t>
            </w:r>
          </w:p>
        </w:tc>
        <w:tc>
          <w:tcPr>
            <w:tcW w:w="3686" w:type="dxa"/>
            <w:shd w:val="clear" w:color="auto" w:fill="auto"/>
          </w:tcPr>
          <w:p w14:paraId="3042CED8"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6 آب/أغسطس 2017</w:t>
            </w:r>
          </w:p>
        </w:tc>
      </w:tr>
      <w:tr w:rsidR="00B03F81" w:rsidRPr="00DA5C34" w14:paraId="52D4EBB2" w14:textId="77777777" w:rsidTr="009D5535">
        <w:tc>
          <w:tcPr>
            <w:tcW w:w="3543" w:type="dxa"/>
            <w:shd w:val="clear" w:color="auto" w:fill="auto"/>
          </w:tcPr>
          <w:p w14:paraId="16BF1CA3"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جزر البهاما</w:t>
            </w:r>
          </w:p>
        </w:tc>
        <w:tc>
          <w:tcPr>
            <w:tcW w:w="3686" w:type="dxa"/>
            <w:shd w:val="clear" w:color="auto" w:fill="auto"/>
          </w:tcPr>
          <w:p w14:paraId="3CBA517D"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28 تشرين الأول/أكتوبر 2017</w:t>
            </w:r>
          </w:p>
        </w:tc>
      </w:tr>
      <w:tr w:rsidR="00B03F81" w:rsidRPr="00DA5C34" w14:paraId="581DF9D1" w14:textId="77777777" w:rsidTr="009D5535">
        <w:tc>
          <w:tcPr>
            <w:tcW w:w="3543" w:type="dxa"/>
            <w:shd w:val="clear" w:color="auto" w:fill="auto"/>
          </w:tcPr>
          <w:p w14:paraId="4D62E9D9"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جمهورية الكونغو الديمقراطية</w:t>
            </w:r>
          </w:p>
        </w:tc>
        <w:tc>
          <w:tcPr>
            <w:tcW w:w="3686" w:type="dxa"/>
            <w:shd w:val="clear" w:color="auto" w:fill="auto"/>
          </w:tcPr>
          <w:p w14:paraId="66B21008"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30 تشرين الأول/أكتوبر 2017</w:t>
            </w:r>
          </w:p>
        </w:tc>
      </w:tr>
      <w:tr w:rsidR="00B03F81" w:rsidRPr="00DA5C34" w14:paraId="484E5201" w14:textId="77777777" w:rsidTr="009D5535">
        <w:tc>
          <w:tcPr>
            <w:tcW w:w="3543" w:type="dxa"/>
            <w:shd w:val="clear" w:color="auto" w:fill="auto"/>
          </w:tcPr>
          <w:p w14:paraId="1105AAE2"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 xml:space="preserve">سان تومي وبرينسيبي </w:t>
            </w:r>
          </w:p>
        </w:tc>
        <w:tc>
          <w:tcPr>
            <w:tcW w:w="3686" w:type="dxa"/>
            <w:shd w:val="clear" w:color="auto" w:fill="auto"/>
          </w:tcPr>
          <w:p w14:paraId="21795F6B"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5 كانون الأول/ديسمبر 2017</w:t>
            </w:r>
          </w:p>
        </w:tc>
      </w:tr>
      <w:tr w:rsidR="00B03F81" w:rsidRPr="00DA5C34" w14:paraId="78C702F9" w14:textId="77777777" w:rsidTr="009D5535">
        <w:tc>
          <w:tcPr>
            <w:tcW w:w="3543" w:type="dxa"/>
            <w:shd w:val="clear" w:color="auto" w:fill="auto"/>
          </w:tcPr>
          <w:p w14:paraId="7FACCACC"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أنتيغوا وبربودا</w:t>
            </w:r>
          </w:p>
        </w:tc>
        <w:tc>
          <w:tcPr>
            <w:tcW w:w="3686" w:type="dxa"/>
            <w:shd w:val="clear" w:color="auto" w:fill="auto"/>
          </w:tcPr>
          <w:p w14:paraId="22ECFD88"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7 شباط/فبراير 2018</w:t>
            </w:r>
          </w:p>
        </w:tc>
      </w:tr>
      <w:tr w:rsidR="00B03F81" w:rsidRPr="00DA5C34" w14:paraId="61F9CE8B" w14:textId="77777777" w:rsidTr="009D5535">
        <w:tc>
          <w:tcPr>
            <w:tcW w:w="3543" w:type="dxa"/>
            <w:shd w:val="clear" w:color="auto" w:fill="auto"/>
          </w:tcPr>
          <w:p w14:paraId="05CA0FFC"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بروني دار السلام</w:t>
            </w:r>
          </w:p>
        </w:tc>
        <w:tc>
          <w:tcPr>
            <w:tcW w:w="3686" w:type="dxa"/>
            <w:shd w:val="clear" w:color="auto" w:fill="auto"/>
          </w:tcPr>
          <w:p w14:paraId="33D3DE09"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11 أيار/مايو 2018</w:t>
            </w:r>
          </w:p>
        </w:tc>
      </w:tr>
      <w:tr w:rsidR="00B03F81" w:rsidRPr="00DA5C34" w14:paraId="62B82C8E" w14:textId="77777777" w:rsidTr="009D5535">
        <w:tc>
          <w:tcPr>
            <w:tcW w:w="3543" w:type="dxa"/>
            <w:shd w:val="clear" w:color="auto" w:fill="auto"/>
          </w:tcPr>
          <w:p w14:paraId="47758B14"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جزر القمر</w:t>
            </w:r>
          </w:p>
        </w:tc>
        <w:tc>
          <w:tcPr>
            <w:tcW w:w="3686" w:type="dxa"/>
            <w:shd w:val="clear" w:color="auto" w:fill="auto"/>
          </w:tcPr>
          <w:p w14:paraId="03655D47" w14:textId="77777777" w:rsidR="00B03F81" w:rsidRPr="00DA5C34" w:rsidRDefault="00B03F81" w:rsidP="002C4B69">
            <w:pPr>
              <w:pStyle w:val="SingleTxtG"/>
              <w:suppressAutoHyphens w:val="0"/>
              <w:bidi/>
              <w:spacing w:after="40" w:line="320" w:lineRule="exact"/>
              <w:ind w:left="57" w:right="113"/>
              <w:jc w:val="left"/>
              <w:textDirection w:val="tbRlV"/>
              <w:rPr>
                <w:lang w:val="en-US" w:eastAsia="zh-TW"/>
              </w:rPr>
            </w:pPr>
            <w:r w:rsidRPr="00DA5C34">
              <w:rPr>
                <w:rtl/>
                <w:lang w:val="en-US"/>
              </w:rPr>
              <w:t>16 تموز/يوليه 2018</w:t>
            </w:r>
          </w:p>
        </w:tc>
      </w:tr>
    </w:tbl>
    <w:p w14:paraId="45464DD8" w14:textId="77777777" w:rsidR="0090281B" w:rsidRPr="00DA5C34" w:rsidRDefault="0090281B" w:rsidP="00430F08">
      <w:pPr>
        <w:pStyle w:val="HChGA"/>
        <w:rPr>
          <w:rtl/>
          <w:lang w:val="en-US"/>
        </w:rPr>
        <w:sectPr w:rsidR="0090281B" w:rsidRPr="00DA5C34" w:rsidSect="00A83E0F">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pPr>
    </w:p>
    <w:p w14:paraId="59CFAA1E" w14:textId="1A72B7E1" w:rsidR="00B03F81" w:rsidRPr="00DA5C34" w:rsidRDefault="00B03F81" w:rsidP="00430F08">
      <w:pPr>
        <w:pStyle w:val="HChGA"/>
        <w:rPr>
          <w:lang w:val="en-US" w:eastAsia="zh-TW"/>
        </w:rPr>
      </w:pPr>
      <w:r w:rsidRPr="00DA5C34">
        <w:rPr>
          <w:rtl/>
          <w:lang w:val="en-US"/>
        </w:rPr>
        <w:lastRenderedPageBreak/>
        <w:tab/>
        <w:t>المرفق الثالث</w:t>
      </w:r>
    </w:p>
    <w:p w14:paraId="0EBE2634" w14:textId="77777777" w:rsidR="00B03F81" w:rsidRPr="00DA5C34" w:rsidRDefault="00B03F81" w:rsidP="00430F08">
      <w:pPr>
        <w:pStyle w:val="HChGA"/>
        <w:rPr>
          <w:sz w:val="22"/>
          <w:szCs w:val="22"/>
          <w:lang w:val="en-US" w:eastAsia="zh-TW"/>
        </w:rPr>
      </w:pPr>
      <w:r w:rsidRPr="00DA5C34">
        <w:rPr>
          <w:rtl/>
          <w:lang w:val="en-US"/>
        </w:rPr>
        <w:tab/>
      </w:r>
      <w:r w:rsidRPr="00DA5C34">
        <w:rPr>
          <w:rtl/>
          <w:lang w:val="en-US"/>
        </w:rPr>
        <w:tab/>
        <w:t>موجز الآراء والقرارات التي اعتمدتها اللجنة بشأن بلاغات فردية</w:t>
      </w:r>
    </w:p>
    <w:p w14:paraId="2FCC628C" w14:textId="77777777" w:rsidR="00B03F81" w:rsidRPr="00DA5C34" w:rsidRDefault="00B03F81" w:rsidP="004E4015">
      <w:pPr>
        <w:pStyle w:val="H1GA"/>
        <w:rPr>
          <w:i/>
          <w:iCs/>
          <w:lang w:val="en-US" w:eastAsia="zh-TW"/>
        </w:rPr>
      </w:pPr>
      <w:r w:rsidRPr="00DA5C34">
        <w:rPr>
          <w:i/>
          <w:iCs/>
          <w:rtl/>
          <w:lang w:val="en-US"/>
        </w:rPr>
        <w:tab/>
      </w:r>
      <w:r w:rsidRPr="00DA5C34">
        <w:rPr>
          <w:i/>
          <w:iCs/>
          <w:rtl/>
          <w:lang w:val="en-US"/>
        </w:rPr>
        <w:tab/>
        <w:t>الحوالي ضد المملكة العربية السعودية</w:t>
      </w:r>
    </w:p>
    <w:p w14:paraId="4EED5D8A" w14:textId="1098A8D8" w:rsidR="00B03F81" w:rsidRPr="00DA5C34" w:rsidRDefault="00B03F81" w:rsidP="00430F08">
      <w:pPr>
        <w:pStyle w:val="SingleTxtGA"/>
        <w:rPr>
          <w:lang w:val="en-US" w:eastAsia="zh-TW"/>
        </w:rPr>
      </w:pPr>
      <w:r w:rsidRPr="00DA5C34">
        <w:rPr>
          <w:rtl/>
          <w:lang w:val="en-US"/>
        </w:rPr>
        <w:t>1-</w:t>
      </w:r>
      <w:r w:rsidRPr="00DA5C34">
        <w:rPr>
          <w:rtl/>
          <w:lang w:val="en-US"/>
        </w:rPr>
        <w:tab/>
        <w:t xml:space="preserve">نظرت اللجنة في البلاغ المقدم بشأن قضية </w:t>
      </w:r>
      <w:r w:rsidRPr="00DA5C34">
        <w:rPr>
          <w:i/>
          <w:iCs/>
          <w:rtl/>
          <w:lang w:val="en-US"/>
        </w:rPr>
        <w:t>الحوالي ضد المملكة العربية السعودية</w:t>
      </w:r>
      <w:r w:rsidR="00F12B9F" w:rsidRPr="00DA5C34">
        <w:rPr>
          <w:rStyle w:val="FootnoteReference"/>
          <w:rtl/>
          <w:lang w:val="en-US"/>
        </w:rPr>
        <w:t>(</w:t>
      </w:r>
      <w:r w:rsidR="00F12B9F" w:rsidRPr="00DA5C34">
        <w:rPr>
          <w:rStyle w:val="FootnoteReference"/>
          <w:rtl/>
          <w:lang w:val="en-US"/>
        </w:rPr>
        <w:footnoteReference w:id="13"/>
      </w:r>
      <w:r w:rsidR="00F12B9F" w:rsidRPr="00DA5C34">
        <w:rPr>
          <w:rStyle w:val="FootnoteReference"/>
          <w:rtl/>
          <w:lang w:val="en-US"/>
        </w:rPr>
        <w:t>)</w:t>
      </w:r>
      <w:r w:rsidRPr="00DA5C34">
        <w:rPr>
          <w:rtl/>
          <w:lang w:val="en-US"/>
        </w:rPr>
        <w:t xml:space="preserve">. وكان سفر بن عبد الرحمن الحوالي عالماً دينياً ومعارضاً سياسياً. وكان ذا عاهات أثرت على قدرته على التواصل والتنقل والاعتناء بنفسه، منها عسر التلفُّظ المزمن. ولم يكن يستطيع التنقل بمفرده، وكان يحتاج </w:t>
      </w:r>
      <w:r w:rsidRPr="00DA5C34">
        <w:rPr>
          <w:spacing w:val="-4"/>
          <w:rtl/>
          <w:lang w:val="en-US"/>
        </w:rPr>
        <w:t>إلى الرعاية الطبية الدائمة بسبب إصابته بكسر في الحوض وبالقصور الكلوي. وفي 12 تموز/يوليه 2018</w:t>
      </w:r>
      <w:r w:rsidRPr="00DA5C34">
        <w:rPr>
          <w:rtl/>
          <w:lang w:val="en-US"/>
        </w:rPr>
        <w:t>، أُلقي القبض عليه وعلى أحد أبنائه. وأُلقي القبض على أقاربه الذكور الآخرين في نفس الوقت تقريباً. ورفضت السلطات الكشف عن مصيره ومكان وجوده حتى 17 أيلول/سبتمبر 201</w:t>
      </w:r>
      <w:r w:rsidR="00F12B9F" w:rsidRPr="00DA5C34">
        <w:rPr>
          <w:rtl/>
          <w:lang w:val="en-US"/>
        </w:rPr>
        <w:t xml:space="preserve">8. </w:t>
      </w:r>
      <w:r w:rsidRPr="00DA5C34">
        <w:rPr>
          <w:rtl/>
          <w:lang w:val="en-US"/>
        </w:rPr>
        <w:t>ووفقاً لصاحب البلاغ، أُلقي القبض على السيد الحوالي بموجب نظام مكافحة جرائم الإرهاب وتمويله لعام 2017، مما سمح باحتجازه فترة مطولة من دون عرضه على قاض، ولا إخطاره بالتهم الموجهة إليه، ولا تلقيه المساعدة القانونية، ولا السماح له بالطعن في شرعية احتجازه. وحُرِم من الزيارات الأسرية فترات زمنية طويلة. ولم توفر له السلطات أي ترتيبات تيسيرية معقولة ولا الرعاية الطبية أو التأهيلية التي يحتاجها بسبب عاهاته، مما أدى إلى تدهور حالته الصحية وإلى تزايد احتمال إصابته بمرض فيروس كورونا (كوفيد 1</w:t>
      </w:r>
      <w:r w:rsidR="00F12B9F" w:rsidRPr="00DA5C34">
        <w:rPr>
          <w:rtl/>
          <w:lang w:val="en-US"/>
        </w:rPr>
        <w:t xml:space="preserve">9). </w:t>
      </w:r>
      <w:r w:rsidRPr="00DA5C34">
        <w:rPr>
          <w:rtl/>
          <w:lang w:val="en-US"/>
        </w:rPr>
        <w:t>وادعى صاحب البلاغ أن احتجاز السيد الحوالي يشكل عقوبة على انتقاده ولي العهد. وادعى صاحب البلاغ أن الدولة الطرف انتهكت حقوق السيد الحوالي المكفولة بموجب المواد 5 و10 و12 و13 و14 و15 و16 و17 و25 من الاتفاقية، مقروءةً بمفردها وبالاقتران مع المواد 1 و3 و4 و5(</w:t>
      </w:r>
      <w:r w:rsidR="00F12B9F" w:rsidRPr="00DA5C34">
        <w:rPr>
          <w:rtl/>
          <w:lang w:val="en-US"/>
        </w:rPr>
        <w:t xml:space="preserve">3) </w:t>
      </w:r>
      <w:r w:rsidRPr="00DA5C34">
        <w:rPr>
          <w:rtl/>
          <w:lang w:val="en-US"/>
        </w:rPr>
        <w:t>و21، وكذلك بموجب المادتين 10 و25، مقروءتيْن بالاقتران مع المادتين 11 و14 من الاتفاقية.</w:t>
      </w:r>
    </w:p>
    <w:p w14:paraId="032A5852" w14:textId="77777777" w:rsidR="00B03F81" w:rsidRPr="00DA5C34" w:rsidRDefault="00B03F81" w:rsidP="00430F08">
      <w:pPr>
        <w:pStyle w:val="SingleTxtGA"/>
        <w:rPr>
          <w:lang w:val="en-US" w:eastAsia="zh-TW"/>
        </w:rPr>
      </w:pPr>
      <w:r w:rsidRPr="00DA5C34">
        <w:rPr>
          <w:rtl/>
          <w:lang w:val="en-US"/>
        </w:rPr>
        <w:t>2-</w:t>
      </w:r>
      <w:r w:rsidRPr="00DA5C34">
        <w:rPr>
          <w:rtl/>
          <w:lang w:val="en-US"/>
        </w:rPr>
        <w:tab/>
        <w:t>ورأت الدولة الطرف أنه ينبغي اعتبار البلاغ غير مقبول، وادعت، فيما يتعلق بالأسس الموضوعية، أن سلطاتها لم تنتهك حقوق السيد الحوالي المكفولة بموجب الاتفاقية.</w:t>
      </w:r>
    </w:p>
    <w:p w14:paraId="489084E7" w14:textId="40B62EEF" w:rsidR="00F12B9F" w:rsidRPr="00DA5C34" w:rsidRDefault="00B03F81" w:rsidP="00430F08">
      <w:pPr>
        <w:pStyle w:val="SingleTxtGA"/>
        <w:rPr>
          <w:lang w:val="en-US" w:eastAsia="zh-TW"/>
        </w:rPr>
      </w:pPr>
      <w:r w:rsidRPr="00DA5C34">
        <w:rPr>
          <w:rtl/>
          <w:lang w:val="en-US"/>
        </w:rPr>
        <w:t>3-</w:t>
      </w:r>
      <w:r w:rsidRPr="00DA5C34">
        <w:rPr>
          <w:rtl/>
          <w:lang w:val="en-US"/>
        </w:rPr>
        <w:tab/>
        <w:t>ورأت اللجنة أن احتجاز السيد الحوالي ومعاملته والتأخر في كشف مكان وجوده وفي تقديمه للمحاكمة ممارسات غير ملائمة وغير مبررة وغير معقولة، وهي بالتالي تعسفية. ولاحظت اللجنة أن السلطات لم توفر للسيد الحوالي أي ترتيبات تيسيرية، بالنظر إلى عاهته المتمثلة في عسر التلفظ. وبالنظر إلى التأخر في الاعتراف بسلب السيد الحوالي حريته، فقد رأت اللجنة أن سلطات الدولة الطرف أخضعته للاختفاء القسري. ورأت اللجنة أن سلطات الدولة الطرف قد انتهكت حق السيد الحوالي في اللجوء إلى القضاء، بسبب عدم اتخاذها تدابير لإعمال حقه في المحاكمة وفق الأصول القانونية، مع مراعاة إعاقته. ورأت اللجنة أن الدولة الطرف انتهكت حقه في التمتع من دون تمييز على أساس الإعاقة بأعلى مستوى صحي يمكن بلوغه، وأنها، بالنظر إلى درجة المعاناة التي تنطوي عليها العزلة الطويلة، انتهكت حقه في كفالة سلامته البدنية والعقلية، وحقه في عدم التعرض للتعذيب أو المعاملة أو العقوبة القاسية أو اللاإنسانية أو المهينة. وخلصت اللجنة بالتالي إلى أن الدولة الطرف انتهكت حقوق السيد الحوالي المكفولة بموجب المادة 5(</w:t>
      </w:r>
      <w:r w:rsidR="00F12B9F" w:rsidRPr="00DA5C34">
        <w:rPr>
          <w:rtl/>
          <w:lang w:val="en-US"/>
        </w:rPr>
        <w:t xml:space="preserve">1) </w:t>
      </w:r>
      <w:r w:rsidRPr="00DA5C34">
        <w:rPr>
          <w:rtl/>
          <w:lang w:val="en-US"/>
        </w:rPr>
        <w:t>و(</w:t>
      </w:r>
      <w:r w:rsidR="00F12B9F" w:rsidRPr="00DA5C34">
        <w:rPr>
          <w:rtl/>
          <w:lang w:val="en-US"/>
        </w:rPr>
        <w:t xml:space="preserve">2) </w:t>
      </w:r>
      <w:r w:rsidRPr="00DA5C34">
        <w:rPr>
          <w:rtl/>
          <w:lang w:val="en-US"/>
        </w:rPr>
        <w:t>و(</w:t>
      </w:r>
      <w:r w:rsidR="00F12B9F" w:rsidRPr="00DA5C34">
        <w:rPr>
          <w:rtl/>
          <w:lang w:val="en-US"/>
        </w:rPr>
        <w:t xml:space="preserve">3) </w:t>
      </w:r>
      <w:r w:rsidRPr="00DA5C34">
        <w:rPr>
          <w:rtl/>
          <w:lang w:val="en-US"/>
        </w:rPr>
        <w:t>والمادة 14 من الاتفاقية، مقروءتين بمفردهما وبالاقتران مع المواد 3(ب) و(ج) و(و</w:t>
      </w:r>
      <w:r w:rsidR="00F12B9F" w:rsidRPr="00DA5C34">
        <w:rPr>
          <w:rtl/>
          <w:lang w:val="en-US"/>
        </w:rPr>
        <w:t xml:space="preserve">)، </w:t>
      </w:r>
      <w:r w:rsidRPr="00DA5C34">
        <w:rPr>
          <w:rtl/>
          <w:lang w:val="en-US"/>
        </w:rPr>
        <w:t>و4، و21؛ وبموجب المواد 10 و12(</w:t>
      </w:r>
      <w:r w:rsidR="00F12B9F" w:rsidRPr="00DA5C34">
        <w:rPr>
          <w:rtl/>
          <w:lang w:val="en-US"/>
        </w:rPr>
        <w:t xml:space="preserve">1) </w:t>
      </w:r>
      <w:r w:rsidRPr="00DA5C34">
        <w:rPr>
          <w:rtl/>
          <w:lang w:val="en-US"/>
        </w:rPr>
        <w:t xml:space="preserve">و14 و15؛ وبموجب المادة 13، مقروءة بمفردها وبالاقتران مع المادة 3(ب) و(ج) و(و) والمادة 4؛ وبموجب المادة 25، مقروءة بمفردها وبالاقتران مع </w:t>
      </w:r>
      <w:r w:rsidRPr="00DA5C34">
        <w:rPr>
          <w:rtl/>
          <w:lang w:val="en-US"/>
        </w:rPr>
        <w:lastRenderedPageBreak/>
        <w:t>المواد 3(ب) و(ج) و(و</w:t>
      </w:r>
      <w:r w:rsidR="00F12B9F" w:rsidRPr="00DA5C34">
        <w:rPr>
          <w:rtl/>
          <w:lang w:val="en-US"/>
        </w:rPr>
        <w:t xml:space="preserve">)، </w:t>
      </w:r>
      <w:r w:rsidRPr="00DA5C34">
        <w:rPr>
          <w:rtl/>
          <w:lang w:val="en-US"/>
        </w:rPr>
        <w:t>و4، و5(3</w:t>
      </w:r>
      <w:r w:rsidR="00F12B9F" w:rsidRPr="00DA5C34">
        <w:rPr>
          <w:rtl/>
          <w:lang w:val="en-US"/>
        </w:rPr>
        <w:t xml:space="preserve">)، </w:t>
      </w:r>
      <w:r w:rsidRPr="00DA5C34">
        <w:rPr>
          <w:rtl/>
          <w:lang w:val="en-US"/>
        </w:rPr>
        <w:t>و14(1</w:t>
      </w:r>
      <w:r w:rsidR="00F12B9F" w:rsidRPr="00DA5C34">
        <w:rPr>
          <w:rtl/>
          <w:lang w:val="en-US"/>
        </w:rPr>
        <w:t xml:space="preserve">)؛ </w:t>
      </w:r>
      <w:r w:rsidRPr="00DA5C34">
        <w:rPr>
          <w:rtl/>
          <w:lang w:val="en-US"/>
        </w:rPr>
        <w:t>وبموجب المادتين 15 و17، مقروءتين بمفردهما وبالاقتران مع المواد 3(ب) و(ج) و(و</w:t>
      </w:r>
      <w:r w:rsidR="00F12B9F" w:rsidRPr="00DA5C34">
        <w:rPr>
          <w:rtl/>
          <w:lang w:val="en-US"/>
        </w:rPr>
        <w:t xml:space="preserve">)، </w:t>
      </w:r>
      <w:r w:rsidRPr="00DA5C34">
        <w:rPr>
          <w:rtl/>
          <w:lang w:val="en-US"/>
        </w:rPr>
        <w:t>و4، و5(3</w:t>
      </w:r>
      <w:r w:rsidR="00F12B9F" w:rsidRPr="00DA5C34">
        <w:rPr>
          <w:rtl/>
          <w:lang w:val="en-US"/>
        </w:rPr>
        <w:t xml:space="preserve">)، </w:t>
      </w:r>
      <w:r w:rsidRPr="00DA5C34">
        <w:rPr>
          <w:rtl/>
          <w:lang w:val="en-US"/>
        </w:rPr>
        <w:t>و14(</w:t>
      </w:r>
      <w:r w:rsidR="00F12B9F" w:rsidRPr="00DA5C34">
        <w:rPr>
          <w:rtl/>
          <w:lang w:val="en-US"/>
        </w:rPr>
        <w:t>2).</w:t>
      </w:r>
    </w:p>
    <w:p w14:paraId="0D917EAB" w14:textId="6B476935" w:rsidR="00B03F81" w:rsidRPr="00DA5C34" w:rsidRDefault="00B03F81" w:rsidP="00430F08">
      <w:pPr>
        <w:pStyle w:val="SingleTxtGA"/>
        <w:rPr>
          <w:lang w:val="en-US" w:eastAsia="zh-TW"/>
        </w:rPr>
      </w:pPr>
      <w:r w:rsidRPr="00DA5C34">
        <w:rPr>
          <w:rtl/>
          <w:lang w:val="en-US"/>
        </w:rPr>
        <w:t>4-</w:t>
      </w:r>
      <w:r w:rsidRPr="00DA5C34">
        <w:rPr>
          <w:rtl/>
          <w:lang w:val="en-US"/>
        </w:rPr>
        <w:tab/>
        <w:t>وطلبت اللجنة إلى الدولة الطرف أن تعيد النظر في قضية السيد الحوالي لضمان خضوعه لمحاكمة عادلة وعلنية، أو تفرج عنه؛ وأن تُوقف الأعمال الانتقامية ضد السيد الحوالي وأقاربه وتحقق فيها وتُخضع المسؤولين عنها للمساءلة؛ وأن توفر للسيد الحوالي سبيل انتصاف فعالاً. وطلبت اللجنة إلى الدولة الطرف اتخاذ تدابير لمنع وقوع انتهاكات مماثلة في المستقبل، بما في ذلك مراجعة نظام مكافحة جرائم الإرهاب وتمويله لعام 2017؛ ومنع حالات الاختفاء القسري والاحتجاز مع منع الاتصال والتحقيق فيها والمساءلة عنها؛ وضمان توفير الرعاية الصحية الملائمة والترتيبات التيسيرية المعقولة للأشخاص ذوي الإعاقة المحتجزين؛ وكفالة استقلال وفعالية آليات مراقبة الاحتجاز؛ وتوفير التدريب لموظفي إنفاذ القوانين بشأن الاتفاقية والبروتوكول الاختياري.</w:t>
      </w:r>
    </w:p>
    <w:p w14:paraId="21B52355" w14:textId="77777777" w:rsidR="00B03F81" w:rsidRPr="00DA5C34" w:rsidRDefault="00B03F81" w:rsidP="004E4015">
      <w:pPr>
        <w:pStyle w:val="H1GA"/>
        <w:rPr>
          <w:i/>
          <w:iCs/>
          <w:lang w:val="en-US" w:eastAsia="zh-TW"/>
        </w:rPr>
      </w:pPr>
      <w:r w:rsidRPr="00DA5C34">
        <w:rPr>
          <w:i/>
          <w:iCs/>
          <w:rtl/>
          <w:lang w:val="en-US"/>
        </w:rPr>
        <w:tab/>
      </w:r>
      <w:r w:rsidRPr="00DA5C34">
        <w:rPr>
          <w:i/>
          <w:iCs/>
          <w:rtl/>
          <w:lang w:val="en-US"/>
        </w:rPr>
        <w:tab/>
        <w:t>أُو. ب. ضد أوكرانيا</w:t>
      </w:r>
    </w:p>
    <w:p w14:paraId="3D192778" w14:textId="366FF844" w:rsidR="00B03F81" w:rsidRPr="00DA5C34" w:rsidRDefault="00B03F81" w:rsidP="00430F08">
      <w:pPr>
        <w:pStyle w:val="SingleTxtGA"/>
        <w:rPr>
          <w:spacing w:val="-2"/>
          <w:rtl/>
          <w:lang w:val="en-US"/>
        </w:rPr>
      </w:pPr>
      <w:r w:rsidRPr="00DA5C34">
        <w:rPr>
          <w:rtl/>
          <w:lang w:val="en-US"/>
        </w:rPr>
        <w:t>5-</w:t>
      </w:r>
      <w:r w:rsidRPr="00DA5C34">
        <w:rPr>
          <w:rtl/>
          <w:lang w:val="en-US"/>
        </w:rPr>
        <w:tab/>
        <w:t xml:space="preserve">نظرت اللجنة في البلاغ المقدم بشأن قضية </w:t>
      </w:r>
      <w:r w:rsidRPr="00DA5C34">
        <w:rPr>
          <w:i/>
          <w:iCs/>
          <w:rtl/>
          <w:lang w:val="en-US"/>
        </w:rPr>
        <w:t>أُو. ب. ضد أوكرانيا</w:t>
      </w:r>
      <w:r w:rsidR="00F12B9F" w:rsidRPr="00DA5C34">
        <w:rPr>
          <w:rStyle w:val="FootnoteReference"/>
          <w:rtl/>
          <w:lang w:val="en-US"/>
        </w:rPr>
        <w:t>(</w:t>
      </w:r>
      <w:r w:rsidR="00F12B9F" w:rsidRPr="00DA5C34">
        <w:rPr>
          <w:rStyle w:val="FootnoteReference"/>
          <w:rtl/>
          <w:lang w:val="en-US"/>
        </w:rPr>
        <w:footnoteReference w:id="14"/>
      </w:r>
      <w:r w:rsidR="00F12B9F" w:rsidRPr="00DA5C34">
        <w:rPr>
          <w:rStyle w:val="FootnoteReference"/>
          <w:rtl/>
          <w:lang w:val="en-US"/>
        </w:rPr>
        <w:t>)</w:t>
      </w:r>
      <w:r w:rsidRPr="00DA5C34">
        <w:rPr>
          <w:rtl/>
          <w:lang w:val="en-US"/>
        </w:rPr>
        <w:t xml:space="preserve">. وادعى صاحب البلاغ، وهو من الأشخاص ذوي الإعاقة، أن سلطات الدولة الطرف رفضت في عام 2018 طلبه للمساعدة الاجتماعية على أساس أن دخله خلال الأشهر الستة السابقة لتقديم طلبه تجاوز عتبة الكفاف المحددة لاستحقاق هذه المساعدة بموجب "إجراء تحديد ودفع المساعدة الاجتماعية العامة للأشخاص الذين لا يحق لهم الحصول على معاش تقاعدي وللأشخاص ذوي الإعاقة، والمساعدة الاجتماعية العامة للرعاية". وادعى صاحب البلاغ أن الدولة الطرف، برفضها طلبه، لم تحمِ حقه في مستوى معيشي لائق، وفي ذلك انتهاك للمادة 28 من الاتفاقية. ورفضت المحكمة الإدارية المحلية في كييف ومحكمة الاستئناف الإدارية السادسة والمحكمة العليا الشكاوى التي قدمها صاحب البلاغ في هذا الصدد. وفيما يتعلق بمعاش الإعاقة، ادعى صاحب البلاغ أن اشتراط أن يكون لدى الشخص سجل مهني ليكون مؤهلاً للحصول على المساعدة </w:t>
      </w:r>
      <w:r w:rsidRPr="00DA5C34">
        <w:rPr>
          <w:spacing w:val="-2"/>
          <w:rtl/>
          <w:lang w:val="en-US"/>
        </w:rPr>
        <w:t>الاجتماعية ينطوي على التمييز، وأن المعاش التقاعدي لا يكفي لتلبية الاحتياجات الأساسية. وطلب صاحب البلاغ دعوة الدولة الطرف إلى مراجعة تشريعاتها لضمان مستوى معيشي لائق للأشخاص ذوي الإعاقة.</w:t>
      </w:r>
    </w:p>
    <w:p w14:paraId="090BEF8A" w14:textId="100B38EE" w:rsidR="00B03F81" w:rsidRPr="00DA5C34" w:rsidRDefault="00B03F81" w:rsidP="00430F08">
      <w:pPr>
        <w:pStyle w:val="SingleTxtGA"/>
        <w:rPr>
          <w:lang w:val="en-US" w:eastAsia="zh-TW"/>
        </w:rPr>
      </w:pPr>
      <w:r w:rsidRPr="00DA5C34">
        <w:rPr>
          <w:rtl/>
          <w:lang w:val="en-US"/>
        </w:rPr>
        <w:t>6-</w:t>
      </w:r>
      <w:r w:rsidRPr="00DA5C34">
        <w:rPr>
          <w:rtl/>
          <w:lang w:val="en-US"/>
        </w:rPr>
        <w:tab/>
        <w:t>وأشارت الدولة الطرف في ملاحظاتها إلى أن صاحب البلاغ لم يراكم فترة التأمين المطلوبة لاستيفاء شروط أهلية الحصول على معاش الإعاقة بموجب المادة 32 من قانون أوكرانيا المتعلق بالتأمين الإلزامي على المعاش التقاعدي العام. وأشارت الدولة الطرف أيضاً إلى أن صاحب البلاغ قدَّم، في أيلول/سبتمبر 2018، طلباً آخر للحصول على المساعدة الاجتماعية، ومُنح مساعدة اجتماعية قدرها</w:t>
      </w:r>
      <w:r w:rsidR="00E751D1" w:rsidRPr="00DA5C34">
        <w:rPr>
          <w:rFonts w:hint="cs"/>
          <w:rtl/>
          <w:lang w:val="en-US"/>
        </w:rPr>
        <w:t> </w:t>
      </w:r>
      <w:r w:rsidRPr="00DA5C34">
        <w:rPr>
          <w:rtl/>
          <w:lang w:val="en-US"/>
        </w:rPr>
        <w:t>452 1 هريفنيا في الشهر، إذ لم يتجاوز مجموع دخله خلال الأشهر الستة السابقة عتبة الكفاف.</w:t>
      </w:r>
    </w:p>
    <w:p w14:paraId="29F14120" w14:textId="4A007088" w:rsidR="00B03F81" w:rsidRPr="00DA5C34" w:rsidRDefault="00B03F81" w:rsidP="00430F08">
      <w:pPr>
        <w:pStyle w:val="SingleTxtGA"/>
        <w:rPr>
          <w:lang w:val="en-US" w:eastAsia="zh-TW"/>
        </w:rPr>
      </w:pPr>
      <w:r w:rsidRPr="00DA5C34">
        <w:rPr>
          <w:rtl/>
          <w:lang w:val="en-US"/>
        </w:rPr>
        <w:t>7-</w:t>
      </w:r>
      <w:r w:rsidRPr="00DA5C34">
        <w:rPr>
          <w:rtl/>
          <w:lang w:val="en-US"/>
        </w:rPr>
        <w:tab/>
        <w:t xml:space="preserve">وذكَّرت اللجنة، في سياق نظرها في مقبولية البلاغ، بأنه يقع عموماً على عاتق محاكم الدول الأطراف في الاتفاقية واجب تقييم الوقائع والأدلة أو تطبيق القانون المحلي في قضية معينة، ما لم يثبت أن طابع إجراءات المحاكم المحلية أو تقييمها للوقائع كان تعسفياً بشكل واضح أو بلغ حدّ إنكار العدالة. ورأت اللجنة أن صاحب البلاغ لم يُثبت بالأدلة، لأغراض المقبولية، أن رفض طلبه للمساعدة الاجتماعية بناءً على دخله خلال الأشهر الستة السابقة لتقديم الطلب كان تعسفياً بشكل واضح أو شكَّل إنكاراً للعدالة. ولاحظت اللجنة أن السلطات وافقت على طلب المساعدة الاجتماعية الذي قدمه صاحب البلاغ لاحقاً، وأنه لم يثبت أن المبلغ الذي كان يتلقاه لم يكن كافياً لإعمال حقه في مستوى معيشي لائق. وفيما يتعلق بادعاء صاحب البلاغ أن اشتراط أن يكون لدى الشخص سجل مهني ليكون مؤهلاً للحصول على معاش </w:t>
      </w:r>
      <w:r w:rsidRPr="00DA5C34">
        <w:rPr>
          <w:rtl/>
          <w:lang w:val="en-US"/>
        </w:rPr>
        <w:lastRenderedPageBreak/>
        <w:t>الإعاقة ينطوي على التمييز، ترى اللجنة أنه لم يثبت كيفية تأثره شخصياً بهذا الشرط من أجل تبرير وضعه كضحية بموجب المادة 1(</w:t>
      </w:r>
      <w:r w:rsidR="00F12B9F" w:rsidRPr="00DA5C34">
        <w:rPr>
          <w:rtl/>
          <w:lang w:val="en-US"/>
        </w:rPr>
        <w:t xml:space="preserve">1) </w:t>
      </w:r>
      <w:r w:rsidRPr="00DA5C34">
        <w:rPr>
          <w:rtl/>
          <w:lang w:val="en-US"/>
        </w:rPr>
        <w:t>من البروتوكول الاختياري. وترى اللجنة بالتالي أن البلاغ غير مقبول بموجب المادة 2(ه) من البروتوكول الاختياري لعدم دعمه بما يكفي من الأدلة.</w:t>
      </w:r>
    </w:p>
    <w:p w14:paraId="275C20C0" w14:textId="77777777" w:rsidR="00B03F81" w:rsidRPr="00DA5C34" w:rsidRDefault="00B03F81" w:rsidP="004E4015">
      <w:pPr>
        <w:pStyle w:val="H1GA"/>
        <w:rPr>
          <w:i/>
          <w:iCs/>
          <w:lang w:val="en-US" w:eastAsia="zh-TW"/>
        </w:rPr>
      </w:pPr>
      <w:r w:rsidRPr="00DA5C34">
        <w:rPr>
          <w:i/>
          <w:iCs/>
          <w:rtl/>
          <w:lang w:val="en-US"/>
        </w:rPr>
        <w:tab/>
      </w:r>
      <w:r w:rsidRPr="00DA5C34">
        <w:rPr>
          <w:i/>
          <w:iCs/>
          <w:rtl/>
          <w:lang w:val="en-US"/>
        </w:rPr>
        <w:tab/>
        <w:t>ج. ل. ك. ضد كندا</w:t>
      </w:r>
    </w:p>
    <w:p w14:paraId="14611B1A" w14:textId="5CB16A86" w:rsidR="00B03F81" w:rsidRPr="00DA5C34" w:rsidRDefault="00B03F81" w:rsidP="004E4015">
      <w:pPr>
        <w:pStyle w:val="SingleTxtGA"/>
        <w:rPr>
          <w:lang w:val="en-US" w:eastAsia="zh-TW"/>
        </w:rPr>
      </w:pPr>
      <w:r w:rsidRPr="00DA5C34">
        <w:rPr>
          <w:rtl/>
          <w:lang w:val="en-US"/>
        </w:rPr>
        <w:t>8-</w:t>
      </w:r>
      <w:r w:rsidRPr="00DA5C34">
        <w:rPr>
          <w:rtl/>
          <w:lang w:val="en-US"/>
        </w:rPr>
        <w:tab/>
        <w:t xml:space="preserve">قررت اللجنة وقف نظرها في البلاغ المقدم بشأن قضية </w:t>
      </w:r>
      <w:r w:rsidRPr="00DA5C34">
        <w:rPr>
          <w:i/>
          <w:iCs/>
          <w:rtl/>
          <w:lang w:val="en-US"/>
        </w:rPr>
        <w:t>ج. ل. ك. ضد كندا</w:t>
      </w:r>
      <w:r w:rsidR="00F12B9F" w:rsidRPr="00DA5C34">
        <w:rPr>
          <w:rStyle w:val="FootnoteReference"/>
          <w:rtl/>
          <w:lang w:val="en-US"/>
        </w:rPr>
        <w:t>(</w:t>
      </w:r>
      <w:r w:rsidR="00F12B9F" w:rsidRPr="00DA5C34">
        <w:rPr>
          <w:rStyle w:val="FootnoteReference"/>
          <w:rtl/>
          <w:lang w:val="en-US"/>
        </w:rPr>
        <w:footnoteReference w:id="15"/>
      </w:r>
      <w:r w:rsidR="00F12B9F" w:rsidRPr="00DA5C34">
        <w:rPr>
          <w:rStyle w:val="FootnoteReference"/>
          <w:rtl/>
          <w:lang w:val="en-US"/>
        </w:rPr>
        <w:t>)</w:t>
      </w:r>
      <w:r w:rsidRPr="00DA5C34">
        <w:rPr>
          <w:rtl/>
          <w:lang w:val="en-US"/>
        </w:rPr>
        <w:t>. فقد رأت اللجنة أن الأمانة فقدت الاتصال بصاحبة البلاغ لأنها لم تقدم تعليقات على ملاحظات الدولة الطرف رغم رسائل التذكير العديدة الموجهة إليها.</w:t>
      </w:r>
    </w:p>
    <w:p w14:paraId="6C597482" w14:textId="77777777" w:rsidR="00B03F81" w:rsidRPr="00DA5C34" w:rsidRDefault="00B03F81" w:rsidP="004E4015">
      <w:pPr>
        <w:pStyle w:val="H1GA"/>
        <w:rPr>
          <w:i/>
          <w:iCs/>
          <w:lang w:val="en-US" w:eastAsia="zh-TW"/>
        </w:rPr>
      </w:pPr>
      <w:r w:rsidRPr="00DA5C34">
        <w:rPr>
          <w:i/>
          <w:iCs/>
          <w:rtl/>
          <w:lang w:val="en-US"/>
        </w:rPr>
        <w:tab/>
      </w:r>
      <w:r w:rsidRPr="00DA5C34">
        <w:rPr>
          <w:i/>
          <w:iCs/>
          <w:rtl/>
          <w:lang w:val="en-US"/>
        </w:rPr>
        <w:tab/>
        <w:t>أُو. م. ج. ضد السويد</w:t>
      </w:r>
    </w:p>
    <w:p w14:paraId="3ED784AE" w14:textId="7C09091B" w:rsidR="00B03F81" w:rsidRPr="00DA5C34" w:rsidRDefault="00B03F81" w:rsidP="00430F08">
      <w:pPr>
        <w:pStyle w:val="SingleTxtGA"/>
        <w:rPr>
          <w:szCs w:val="20"/>
          <w:rtl/>
          <w:lang w:val="en-US" w:eastAsia="zh-TW"/>
        </w:rPr>
      </w:pPr>
      <w:r w:rsidRPr="00DA5C34">
        <w:rPr>
          <w:rtl/>
          <w:lang w:val="en-US"/>
        </w:rPr>
        <w:t>9-</w:t>
      </w:r>
      <w:r w:rsidRPr="00DA5C34">
        <w:rPr>
          <w:rtl/>
          <w:lang w:val="en-US"/>
        </w:rPr>
        <w:tab/>
        <w:t xml:space="preserve">قررت اللجنة وقف نظرها في البلاغ المقدم بشأن قضية </w:t>
      </w:r>
      <w:r w:rsidRPr="00DA5C34">
        <w:rPr>
          <w:i/>
          <w:iCs/>
          <w:rtl/>
          <w:lang w:val="en-US"/>
        </w:rPr>
        <w:t>أُو. م. ج. ضد السويد</w:t>
      </w:r>
      <w:r w:rsidR="00F12B9F" w:rsidRPr="00DA5C34">
        <w:rPr>
          <w:rStyle w:val="FootnoteReference"/>
          <w:rtl/>
          <w:lang w:val="en-US"/>
        </w:rPr>
        <w:t>(</w:t>
      </w:r>
      <w:r w:rsidR="00F12B9F" w:rsidRPr="00DA5C34">
        <w:rPr>
          <w:rStyle w:val="FootnoteReference"/>
          <w:rtl/>
          <w:lang w:val="en-US"/>
        </w:rPr>
        <w:footnoteReference w:id="16"/>
      </w:r>
      <w:r w:rsidR="00F12B9F" w:rsidRPr="00DA5C34">
        <w:rPr>
          <w:rStyle w:val="FootnoteReference"/>
          <w:rtl/>
          <w:lang w:val="en-US"/>
        </w:rPr>
        <w:t>)</w:t>
      </w:r>
      <w:r w:rsidRPr="00DA5C34">
        <w:rPr>
          <w:rtl/>
          <w:lang w:val="en-US"/>
        </w:rPr>
        <w:t>. فقد حصل الضحية - وهو ابن صاحبي البلاغ - على رخصة الإقامة في الدولة الطرف ولم يعد بالتالي مُعرضاً لخطر إعادته إلى أفغانستان.</w:t>
      </w:r>
    </w:p>
    <w:p w14:paraId="68C57DB0" w14:textId="7B73BE32" w:rsidR="004E4015" w:rsidRPr="00DA5C34" w:rsidRDefault="004E4015" w:rsidP="004E4015">
      <w:pPr>
        <w:pStyle w:val="SingleTxtGA"/>
        <w:jc w:val="center"/>
        <w:rPr>
          <w:u w:val="single"/>
          <w:rtl/>
          <w:lang w:val="en-US" w:eastAsia="zh-TW"/>
        </w:rPr>
      </w:pPr>
      <w:r w:rsidRPr="00DA5C34">
        <w:rPr>
          <w:u w:val="single"/>
          <w:rtl/>
          <w:lang w:val="en-US" w:eastAsia="zh-TW"/>
        </w:rPr>
        <w:tab/>
      </w:r>
      <w:r w:rsidRPr="00DA5C34">
        <w:rPr>
          <w:u w:val="single"/>
          <w:rtl/>
          <w:lang w:val="en-US" w:eastAsia="zh-TW"/>
        </w:rPr>
        <w:tab/>
      </w:r>
      <w:r w:rsidRPr="00DA5C34">
        <w:rPr>
          <w:u w:val="single"/>
          <w:rtl/>
          <w:lang w:val="en-US" w:eastAsia="zh-TW"/>
        </w:rPr>
        <w:tab/>
      </w:r>
    </w:p>
    <w:sectPr w:rsidR="004E4015" w:rsidRPr="00DA5C34" w:rsidSect="0090281B">
      <w:headerReference w:type="even" r:id="rId14"/>
      <w:headerReference w:type="default" r:id="rId15"/>
      <w:footerReference w:type="even" r:id="rId16"/>
      <w:footerReference w:type="default" r:id="rId17"/>
      <w:footnotePr>
        <w:numRestart w:val="eachSect"/>
      </w:footnotePr>
      <w:endnotePr>
        <w:numFmt w:val="decimal"/>
      </w:endnotePr>
      <w:pgSz w:w="11907" w:h="16840" w:code="9"/>
      <w:pgMar w:top="1417" w:right="1134" w:bottom="1134" w:left="1134" w:header="680"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20607" w14:textId="77777777" w:rsidR="0075619B" w:rsidRPr="002901D9" w:rsidRDefault="0075619B" w:rsidP="006A5EE7">
      <w:pPr>
        <w:spacing w:after="60" w:line="240" w:lineRule="auto"/>
        <w:ind w:left="57"/>
        <w:rPr>
          <w:i/>
          <w:iCs/>
        </w:rPr>
      </w:pPr>
      <w:r>
        <w:rPr>
          <w:rFonts w:hint="cs"/>
          <w:i/>
          <w:iCs/>
          <w:rtl/>
        </w:rPr>
        <w:t>الحواشي</w:t>
      </w:r>
    </w:p>
  </w:endnote>
  <w:endnote w:type="continuationSeparator" w:id="0">
    <w:p w14:paraId="1E615C9C" w14:textId="77777777" w:rsidR="0075619B" w:rsidRDefault="0075619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99A65" w14:textId="42C1CC65" w:rsidR="00C430A3" w:rsidRPr="00C430A3" w:rsidRDefault="00C430A3" w:rsidP="00C430A3">
    <w:pPr>
      <w:pStyle w:val="Footer"/>
      <w:tabs>
        <w:tab w:val="right" w:pos="9638"/>
      </w:tabs>
      <w:rPr>
        <w:b/>
        <w:sz w:val="18"/>
        <w:lang w:val="en-US"/>
      </w:rPr>
    </w:pPr>
    <w:r>
      <w:rPr>
        <w:lang w:val="en-US"/>
      </w:rPr>
      <w:t>GE.24-06738</w:t>
    </w:r>
    <w:r>
      <w:rPr>
        <w:lang w:val="en-US"/>
      </w:rPr>
      <w:tab/>
    </w:r>
    <w:r w:rsidRPr="00C430A3">
      <w:rPr>
        <w:b/>
        <w:sz w:val="18"/>
        <w:lang w:val="en-US"/>
      </w:rPr>
      <w:fldChar w:fldCharType="begin"/>
    </w:r>
    <w:r w:rsidRPr="00C430A3">
      <w:rPr>
        <w:b/>
        <w:sz w:val="18"/>
        <w:lang w:val="en-US"/>
      </w:rPr>
      <w:instrText xml:space="preserve"> PAGE  \* MERGEFORMAT </w:instrText>
    </w:r>
    <w:r w:rsidRPr="00C430A3">
      <w:rPr>
        <w:b/>
        <w:sz w:val="18"/>
        <w:lang w:val="en-US"/>
      </w:rPr>
      <w:fldChar w:fldCharType="separate"/>
    </w:r>
    <w:r w:rsidRPr="00C430A3">
      <w:rPr>
        <w:b/>
        <w:noProof/>
        <w:sz w:val="18"/>
        <w:lang w:val="en-US"/>
      </w:rPr>
      <w:t>2</w:t>
    </w:r>
    <w:r w:rsidRPr="00C430A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F2F1A" w14:textId="6709DE78" w:rsidR="006959B0" w:rsidRPr="00C430A3" w:rsidRDefault="00C430A3" w:rsidP="00C430A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GE.24-06738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C4E77" w14:textId="6CA6E752" w:rsidR="00114439" w:rsidRPr="00C430A3" w:rsidRDefault="00C430A3" w:rsidP="00C430A3">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11F0D468" wp14:editId="5E26999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24-06738 (A)</w:t>
    </w:r>
    <w:r>
      <w:rPr>
        <w:noProof/>
        <w:sz w:val="20"/>
        <w:lang w:val="en-US"/>
      </w:rPr>
      <w:drawing>
        <wp:anchor distT="0" distB="0" distL="114300" distR="114300" simplePos="0" relativeHeight="251659264" behindDoc="0" locked="0" layoutInCell="1" allowOverlap="1" wp14:anchorId="75414A46" wp14:editId="094BBF17">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06063" w14:textId="5199F5AC" w:rsidR="0090281B" w:rsidRPr="0090281B" w:rsidRDefault="0090281B" w:rsidP="0090281B">
    <w:pPr>
      <w:pStyle w:val="Footer"/>
      <w:tabs>
        <w:tab w:val="right" w:pos="9638"/>
      </w:tabs>
      <w:rPr>
        <w:b/>
        <w:sz w:val="18"/>
        <w:lang w:val="en-US"/>
      </w:rPr>
    </w:pPr>
    <w:r>
      <w:rPr>
        <w:lang w:val="en-US"/>
      </w:rPr>
      <w:t>GE.</w:t>
    </w:r>
    <w:r w:rsidRPr="0090281B">
      <w:rPr>
        <w:lang w:val="en-US"/>
      </w:rPr>
      <w:t>24</w:t>
    </w:r>
    <w:r>
      <w:rPr>
        <w:lang w:val="en-US"/>
      </w:rPr>
      <w:t>-</w:t>
    </w:r>
    <w:r w:rsidRPr="0090281B">
      <w:rPr>
        <w:lang w:val="en-US"/>
      </w:rPr>
      <w:t>06738</w:t>
    </w:r>
    <w:r>
      <w:rPr>
        <w:lang w:val="en-US"/>
      </w:rPr>
      <w:tab/>
    </w: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9</w:t>
    </w:r>
    <w:r>
      <w:rPr>
        <w:b/>
        <w:sz w:val="18"/>
        <w:lang w:val="en-US"/>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2503A" w14:textId="05A24346" w:rsidR="0090281B" w:rsidRPr="0090281B" w:rsidRDefault="0090281B" w:rsidP="0090281B">
    <w:pPr>
      <w:pStyle w:val="Footer"/>
      <w:tabs>
        <w:tab w:val="right" w:pos="9638"/>
      </w:tabs>
      <w:rPr>
        <w:b/>
        <w:sz w:val="18"/>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8</w:t>
    </w:r>
    <w:r>
      <w:rPr>
        <w:b/>
        <w:sz w:val="18"/>
        <w:lang w:val="en-US"/>
      </w:rPr>
      <w:fldChar w:fldCharType="end"/>
    </w:r>
    <w:r>
      <w:rPr>
        <w:b/>
        <w:sz w:val="18"/>
        <w:lang w:val="en-US"/>
      </w:rPr>
      <w:tab/>
    </w:r>
    <w:r w:rsidRPr="0090281B">
      <w:rPr>
        <w:lang w:val="en-US"/>
      </w:rPr>
      <w:t>GE.24-06738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D4D0A" w14:textId="77777777" w:rsidR="0075619B" w:rsidRPr="00801A14" w:rsidRDefault="0075619B"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3C8E3F7" w14:textId="77777777" w:rsidR="0075619B" w:rsidRDefault="0075619B" w:rsidP="00656392">
      <w:pPr>
        <w:spacing w:line="240" w:lineRule="auto"/>
      </w:pPr>
      <w:r>
        <w:continuationSeparator/>
      </w:r>
    </w:p>
  </w:footnote>
  <w:footnote w:id="1">
    <w:p w14:paraId="1D615E8A" w14:textId="0D6C3775" w:rsidR="00F12B9F" w:rsidRPr="00DA5C34" w:rsidRDefault="00F12B9F" w:rsidP="00A4022D">
      <w:pPr>
        <w:pStyle w:val="FootnoteText1"/>
        <w:rPr>
          <w:rtl/>
        </w:rPr>
      </w:pPr>
      <w:r w:rsidRPr="00DA5C34">
        <w:rPr>
          <w:rtl/>
        </w:rPr>
        <w:t>(</w:t>
      </w:r>
      <w:r w:rsidRPr="00DA5C34">
        <w:footnoteRef/>
      </w:r>
      <w:r w:rsidRPr="00DA5C34">
        <w:rPr>
          <w:rtl/>
        </w:rPr>
        <w:t>)</w:t>
      </w:r>
      <w:r w:rsidRPr="00DA5C34">
        <w:rPr>
          <w:rtl/>
        </w:rPr>
        <w:tab/>
      </w:r>
      <w:hyperlink r:id="rId1" w:history="1">
        <w:r w:rsidRPr="00DA5C34">
          <w:rPr>
            <w:rStyle w:val="Hyperlink"/>
          </w:rPr>
          <w:t>CRPD/C/30/1</w:t>
        </w:r>
      </w:hyperlink>
      <w:r w:rsidRPr="00DA5C34">
        <w:rPr>
          <w:rtl/>
        </w:rPr>
        <w:t>.</w:t>
      </w:r>
    </w:p>
  </w:footnote>
  <w:footnote w:id="2">
    <w:p w14:paraId="1891C04F" w14:textId="744D7E4E" w:rsidR="00F12B9F" w:rsidRPr="00DA5C34" w:rsidRDefault="00F12B9F" w:rsidP="00430F08">
      <w:pPr>
        <w:pStyle w:val="FootnoteText1"/>
        <w:rPr>
          <w:rtl/>
        </w:rPr>
      </w:pPr>
      <w:r w:rsidRPr="00DA5C34">
        <w:rPr>
          <w:rtl/>
        </w:rPr>
        <w:t>(</w:t>
      </w:r>
      <w:r w:rsidRPr="00DA5C34">
        <w:footnoteRef/>
      </w:r>
      <w:r w:rsidRPr="00DA5C34">
        <w:rPr>
          <w:rtl/>
        </w:rPr>
        <w:t>)</w:t>
      </w:r>
      <w:r w:rsidRPr="00DA5C34">
        <w:rPr>
          <w:rtl/>
        </w:rPr>
        <w:tab/>
      </w:r>
      <w:hyperlink r:id="rId2" w:history="1">
        <w:r w:rsidRPr="00DA5C34">
          <w:rPr>
            <w:rStyle w:val="Hyperlink"/>
          </w:rPr>
          <w:t>CRPD/C/1/Rev.2</w:t>
        </w:r>
      </w:hyperlink>
      <w:r w:rsidRPr="00DA5C34">
        <w:rPr>
          <w:rtl/>
        </w:rPr>
        <w:t>.</w:t>
      </w:r>
    </w:p>
  </w:footnote>
  <w:footnote w:id="3">
    <w:p w14:paraId="4859D264" w14:textId="78261D7D" w:rsidR="00F12B9F" w:rsidRPr="00DA5C34" w:rsidRDefault="00F12B9F" w:rsidP="00430F08">
      <w:pPr>
        <w:pStyle w:val="FootnoteText1"/>
      </w:pPr>
      <w:r w:rsidRPr="00DA5C34">
        <w:rPr>
          <w:rtl/>
        </w:rPr>
        <w:t>(</w:t>
      </w:r>
      <w:r w:rsidRPr="00DA5C34">
        <w:footnoteRef/>
      </w:r>
      <w:r w:rsidRPr="00DA5C34">
        <w:rPr>
          <w:rtl/>
        </w:rPr>
        <w:t>)</w:t>
      </w:r>
      <w:r w:rsidRPr="00DA5C34">
        <w:rPr>
          <w:rtl/>
        </w:rPr>
        <w:tab/>
      </w:r>
      <w:hyperlink r:id="rId3" w:history="1">
        <w:r w:rsidRPr="00DA5C34">
          <w:rPr>
            <w:rStyle w:val="Hyperlink"/>
          </w:rPr>
          <w:t>CRPD/C/30/D/84/2020</w:t>
        </w:r>
      </w:hyperlink>
      <w:r w:rsidRPr="00DA5C34">
        <w:rPr>
          <w:rtl/>
        </w:rPr>
        <w:t>.</w:t>
      </w:r>
    </w:p>
  </w:footnote>
  <w:footnote w:id="4">
    <w:p w14:paraId="7B0FF0F5" w14:textId="4C84E558" w:rsidR="00F12B9F" w:rsidRPr="00DA5C34" w:rsidRDefault="00F12B9F" w:rsidP="00430F08">
      <w:pPr>
        <w:pStyle w:val="FootnoteText1"/>
      </w:pPr>
      <w:r w:rsidRPr="00DA5C34">
        <w:rPr>
          <w:rtl/>
        </w:rPr>
        <w:t>(</w:t>
      </w:r>
      <w:r w:rsidRPr="00DA5C34">
        <w:footnoteRef/>
      </w:r>
      <w:r w:rsidRPr="00DA5C34">
        <w:rPr>
          <w:rtl/>
        </w:rPr>
        <w:t>)</w:t>
      </w:r>
      <w:r w:rsidRPr="00DA5C34">
        <w:rPr>
          <w:rtl/>
        </w:rPr>
        <w:tab/>
      </w:r>
      <w:hyperlink r:id="rId4" w:history="1">
        <w:r w:rsidRPr="00DA5C34">
          <w:rPr>
            <w:rStyle w:val="Hyperlink"/>
          </w:rPr>
          <w:t>CRPD/C/30/D/54/2018</w:t>
        </w:r>
      </w:hyperlink>
      <w:r w:rsidRPr="00DA5C34">
        <w:rPr>
          <w:rtl/>
        </w:rPr>
        <w:t>.</w:t>
      </w:r>
    </w:p>
  </w:footnote>
  <w:footnote w:id="5">
    <w:p w14:paraId="0E1A70DB" w14:textId="44FFC4CD" w:rsidR="00F12B9F" w:rsidRPr="00DA5C34" w:rsidRDefault="00F12B9F" w:rsidP="00430F08">
      <w:pPr>
        <w:pStyle w:val="FootnoteText1"/>
      </w:pPr>
      <w:r w:rsidRPr="00DA5C34">
        <w:rPr>
          <w:rtl/>
        </w:rPr>
        <w:t>(</w:t>
      </w:r>
      <w:r w:rsidRPr="00DA5C34">
        <w:footnoteRef/>
      </w:r>
      <w:r w:rsidRPr="00DA5C34">
        <w:rPr>
          <w:rtl/>
        </w:rPr>
        <w:t>)</w:t>
      </w:r>
      <w:r w:rsidRPr="00DA5C34">
        <w:rPr>
          <w:rtl/>
        </w:rPr>
        <w:tab/>
      </w:r>
      <w:hyperlink r:id="rId5" w:history="1">
        <w:r w:rsidRPr="00DA5C34">
          <w:rPr>
            <w:rStyle w:val="Hyperlink"/>
          </w:rPr>
          <w:t>CRPD/C/30/D/76/2020</w:t>
        </w:r>
      </w:hyperlink>
      <w:r w:rsidRPr="00DA5C34">
        <w:rPr>
          <w:rtl/>
        </w:rPr>
        <w:t>.</w:t>
      </w:r>
    </w:p>
  </w:footnote>
  <w:footnote w:id="6">
    <w:p w14:paraId="27F0EF65" w14:textId="11A6DC21" w:rsidR="00F12B9F" w:rsidRPr="00DA5C34" w:rsidRDefault="00F12B9F" w:rsidP="00430F08">
      <w:pPr>
        <w:pStyle w:val="FootnoteText1"/>
      </w:pPr>
      <w:r w:rsidRPr="00DA5C34">
        <w:rPr>
          <w:rtl/>
        </w:rPr>
        <w:t>(</w:t>
      </w:r>
      <w:r w:rsidRPr="00DA5C34">
        <w:footnoteRef/>
      </w:r>
      <w:r w:rsidRPr="00DA5C34">
        <w:rPr>
          <w:rtl/>
        </w:rPr>
        <w:t>)</w:t>
      </w:r>
      <w:r w:rsidRPr="00DA5C34">
        <w:rPr>
          <w:rtl/>
        </w:rPr>
        <w:tab/>
      </w:r>
      <w:hyperlink r:id="rId6" w:history="1">
        <w:r w:rsidRPr="00DA5C34">
          <w:rPr>
            <w:rStyle w:val="Hyperlink"/>
          </w:rPr>
          <w:t>CRPD/C/30/D/80/2020</w:t>
        </w:r>
      </w:hyperlink>
      <w:r w:rsidRPr="00DA5C34">
        <w:rPr>
          <w:rtl/>
        </w:rPr>
        <w:t>.</w:t>
      </w:r>
    </w:p>
  </w:footnote>
  <w:footnote w:id="7">
    <w:p w14:paraId="59AF1406" w14:textId="43F2F60B" w:rsidR="00F12B9F" w:rsidRPr="00DA5C34" w:rsidRDefault="00F12B9F" w:rsidP="00430F08">
      <w:pPr>
        <w:pStyle w:val="FootnoteText1"/>
        <w:rPr>
          <w:rtl/>
        </w:rPr>
      </w:pPr>
      <w:r w:rsidRPr="00DA5C34">
        <w:rPr>
          <w:rtl/>
        </w:rPr>
        <w:t>(</w:t>
      </w:r>
      <w:r w:rsidRPr="00DA5C34">
        <w:footnoteRef/>
      </w:r>
      <w:r w:rsidRPr="00DA5C34">
        <w:rPr>
          <w:rtl/>
        </w:rPr>
        <w:t>)</w:t>
      </w:r>
      <w:r w:rsidRPr="00DA5C34">
        <w:rPr>
          <w:rtl/>
        </w:rPr>
        <w:tab/>
        <w:t xml:space="preserve">انظر </w:t>
      </w:r>
      <w:hyperlink r:id="rId7" w:history="1">
        <w:r w:rsidRPr="00DA5C34">
          <w:rPr>
            <w:rStyle w:val="Hyperlink"/>
          </w:rPr>
          <w:t>https://documents.un.org</w:t>
        </w:r>
      </w:hyperlink>
      <w:r w:rsidRPr="00DA5C34">
        <w:rPr>
          <w:rFonts w:hint="cs"/>
          <w:rtl/>
        </w:rPr>
        <w:t>.</w:t>
      </w:r>
    </w:p>
  </w:footnote>
  <w:footnote w:id="8">
    <w:p w14:paraId="558E4D9E" w14:textId="26D1D3F6" w:rsidR="00F12B9F" w:rsidRPr="00DA5C34" w:rsidRDefault="00F12B9F" w:rsidP="00DA5C34">
      <w:pPr>
        <w:pStyle w:val="FootnoteText1"/>
        <w:rPr>
          <w:rtl/>
        </w:rPr>
      </w:pPr>
      <w:r w:rsidRPr="00DA5C34">
        <w:rPr>
          <w:rtl/>
        </w:rPr>
        <w:t>(</w:t>
      </w:r>
      <w:r w:rsidRPr="00DA5C34">
        <w:footnoteRef/>
      </w:r>
      <w:r w:rsidRPr="00DA5C34">
        <w:rPr>
          <w:rtl/>
        </w:rPr>
        <w:t>)</w:t>
      </w:r>
      <w:r w:rsidR="00DA5C34" w:rsidRPr="00DA5C34">
        <w:rPr>
          <w:rtl/>
        </w:rPr>
        <w:tab/>
      </w:r>
      <w:hyperlink r:id="rId8" w:history="1">
        <w:r w:rsidR="00DA5C34" w:rsidRPr="00DA5C34">
          <w:rPr>
            <w:rStyle w:val="Hyperlink"/>
          </w:rPr>
          <w:t>CRPD/C/KAZ/1</w:t>
        </w:r>
      </w:hyperlink>
      <w:r w:rsidR="00DA5C34" w:rsidRPr="00DA5C34">
        <w:rPr>
          <w:rStyle w:val="Hyperlink"/>
          <w:rFonts w:hint="cs"/>
          <w:rtl/>
        </w:rPr>
        <w:t xml:space="preserve"> </w:t>
      </w:r>
      <w:r w:rsidR="00DA5C34" w:rsidRPr="00DA5C34">
        <w:rPr>
          <w:rFonts w:hint="cs"/>
          <w:rtl/>
        </w:rPr>
        <w:t>و</w:t>
      </w:r>
      <w:hyperlink r:id="rId9" w:history="1">
        <w:r w:rsidR="00DA5C34" w:rsidRPr="00DA5C34">
          <w:rPr>
            <w:rStyle w:val="Hyperlink"/>
          </w:rPr>
          <w:t>CRPD/C/ZMB/1</w:t>
        </w:r>
      </w:hyperlink>
      <w:r w:rsidR="00DA5C34" w:rsidRPr="00DA5C34">
        <w:rPr>
          <w:rFonts w:hint="cs"/>
          <w:rtl/>
        </w:rPr>
        <w:t>.</w:t>
      </w:r>
      <w:r w:rsidR="00DA5C34" w:rsidRPr="00DA5C34">
        <w:t xml:space="preserve"> </w:t>
      </w:r>
    </w:p>
  </w:footnote>
  <w:footnote w:id="9">
    <w:p w14:paraId="7C13D9CB" w14:textId="44C88299" w:rsidR="00F12B9F" w:rsidRPr="00DA5C34" w:rsidRDefault="00F12B9F" w:rsidP="00430F08">
      <w:pPr>
        <w:pStyle w:val="FootnoteText1"/>
        <w:rPr>
          <w:rtl/>
        </w:rPr>
      </w:pPr>
      <w:r w:rsidRPr="00DA5C34">
        <w:rPr>
          <w:rtl/>
        </w:rPr>
        <w:t>(</w:t>
      </w:r>
      <w:r w:rsidRPr="00DA5C34">
        <w:footnoteRef/>
      </w:r>
      <w:r w:rsidRPr="00DA5C34">
        <w:rPr>
          <w:rtl/>
        </w:rPr>
        <w:t>)</w:t>
      </w:r>
      <w:r w:rsidRPr="00DA5C34">
        <w:rPr>
          <w:rtl/>
        </w:rPr>
        <w:tab/>
      </w:r>
      <w:hyperlink r:id="rId10" w:history="1">
        <w:r w:rsidRPr="00DA5C34">
          <w:rPr>
            <w:rStyle w:val="Hyperlink"/>
          </w:rPr>
          <w:t>CRPD/C/BHR/1-2</w:t>
        </w:r>
      </w:hyperlink>
      <w:r w:rsidRPr="00DA5C34">
        <w:rPr>
          <w:rtl/>
        </w:rPr>
        <w:t>.</w:t>
      </w:r>
    </w:p>
  </w:footnote>
  <w:footnote w:id="10">
    <w:p w14:paraId="559263C7" w14:textId="1067978D" w:rsidR="00F12B9F" w:rsidRPr="00DA5C34" w:rsidRDefault="00F12B9F" w:rsidP="00430F08">
      <w:pPr>
        <w:pStyle w:val="FootnoteText1"/>
      </w:pPr>
      <w:r w:rsidRPr="00DA5C34">
        <w:rPr>
          <w:rtl/>
        </w:rPr>
        <w:t>(</w:t>
      </w:r>
      <w:r w:rsidRPr="00DA5C34">
        <w:footnoteRef/>
      </w:r>
      <w:r w:rsidRPr="00DA5C34">
        <w:rPr>
          <w:rtl/>
        </w:rPr>
        <w:t>)</w:t>
      </w:r>
      <w:r w:rsidRPr="00DA5C34">
        <w:rPr>
          <w:rtl/>
        </w:rPr>
        <w:tab/>
      </w:r>
      <w:hyperlink r:id="rId11" w:history="1">
        <w:r w:rsidRPr="00DA5C34">
          <w:rPr>
            <w:rStyle w:val="Hyperlink"/>
          </w:rPr>
          <w:t>CRPD/C/AZE/2-3</w:t>
        </w:r>
      </w:hyperlink>
      <w:r w:rsidRPr="00DA5C34">
        <w:rPr>
          <w:rtl/>
        </w:rPr>
        <w:t>، و</w:t>
      </w:r>
      <w:hyperlink r:id="rId12" w:history="1">
        <w:r w:rsidRPr="00DA5C34">
          <w:rPr>
            <w:rStyle w:val="Hyperlink"/>
          </w:rPr>
          <w:t>CRPD/C/AZE/2-3/Corr.1</w:t>
        </w:r>
      </w:hyperlink>
      <w:r w:rsidRPr="00DA5C34">
        <w:rPr>
          <w:rtl/>
        </w:rPr>
        <w:t>، و</w:t>
      </w:r>
      <w:hyperlink r:id="rId13" w:history="1">
        <w:r w:rsidRPr="00DA5C34">
          <w:rPr>
            <w:rStyle w:val="Hyperlink"/>
          </w:rPr>
          <w:t>CRPD/C/CRI/2-3</w:t>
        </w:r>
      </w:hyperlink>
      <w:r w:rsidRPr="00DA5C34">
        <w:rPr>
          <w:rtl/>
        </w:rPr>
        <w:t>، و</w:t>
      </w:r>
      <w:hyperlink r:id="rId14" w:history="1">
        <w:r w:rsidRPr="00DA5C34">
          <w:rPr>
            <w:rStyle w:val="Hyperlink"/>
          </w:rPr>
          <w:t>CRPD/C/SWE/2-3</w:t>
        </w:r>
      </w:hyperlink>
      <w:r w:rsidRPr="00DA5C34">
        <w:rPr>
          <w:rtl/>
        </w:rPr>
        <w:t>.</w:t>
      </w:r>
    </w:p>
  </w:footnote>
  <w:footnote w:id="11">
    <w:p w14:paraId="0DAEB32D" w14:textId="51EA060F" w:rsidR="00F12B9F" w:rsidRPr="00DA5C34" w:rsidRDefault="00F12B9F" w:rsidP="00430F08">
      <w:pPr>
        <w:pStyle w:val="FootnoteText1"/>
        <w:rPr>
          <w:rtl/>
        </w:rPr>
      </w:pPr>
      <w:r w:rsidRPr="00DA5C34">
        <w:rPr>
          <w:rtl/>
        </w:rPr>
        <w:t>(</w:t>
      </w:r>
      <w:r w:rsidRPr="00DA5C34">
        <w:footnoteRef/>
      </w:r>
      <w:r w:rsidRPr="00DA5C34">
        <w:rPr>
          <w:rtl/>
        </w:rPr>
        <w:t>)</w:t>
      </w:r>
      <w:r w:rsidRPr="00DA5C34">
        <w:rPr>
          <w:rtl/>
        </w:rPr>
        <w:tab/>
      </w:r>
      <w:hyperlink r:id="rId15" w:history="1">
        <w:r w:rsidRPr="00DA5C34">
          <w:rPr>
            <w:rStyle w:val="Hyperlink"/>
          </w:rPr>
          <w:t>CRPD/C/NIC/1</w:t>
        </w:r>
      </w:hyperlink>
      <w:r w:rsidRPr="00DA5C34">
        <w:rPr>
          <w:rtl/>
        </w:rPr>
        <w:t>، و</w:t>
      </w:r>
      <w:hyperlink r:id="rId16" w:history="1">
        <w:r w:rsidRPr="00DA5C34">
          <w:rPr>
            <w:rStyle w:val="Hyperlink"/>
          </w:rPr>
          <w:t>CRPD/C/NIC/2</w:t>
        </w:r>
      </w:hyperlink>
      <w:r w:rsidRPr="00DA5C34">
        <w:rPr>
          <w:rtl/>
        </w:rPr>
        <w:t xml:space="preserve"> و</w:t>
      </w:r>
      <w:hyperlink r:id="rId17" w:history="1">
        <w:r w:rsidRPr="00DA5C34">
          <w:rPr>
            <w:rStyle w:val="Hyperlink"/>
          </w:rPr>
          <w:t>CRPD/C/NIC/3</w:t>
        </w:r>
      </w:hyperlink>
      <w:r w:rsidRPr="00DA5C34">
        <w:rPr>
          <w:rtl/>
        </w:rPr>
        <w:t>.</w:t>
      </w:r>
    </w:p>
  </w:footnote>
  <w:footnote w:id="12">
    <w:p w14:paraId="2E960700" w14:textId="1E950D38" w:rsidR="00F12B9F" w:rsidRPr="00DA5C34" w:rsidRDefault="00F12B9F" w:rsidP="00430F08">
      <w:pPr>
        <w:pStyle w:val="FootnoteText1"/>
      </w:pPr>
      <w:r w:rsidRPr="00DA5C34">
        <w:rPr>
          <w:rtl/>
        </w:rPr>
        <w:t>(</w:t>
      </w:r>
      <w:r w:rsidRPr="00DA5C34">
        <w:footnoteRef/>
      </w:r>
      <w:r w:rsidRPr="00DA5C34">
        <w:rPr>
          <w:rtl/>
        </w:rPr>
        <w:t>)</w:t>
      </w:r>
      <w:r w:rsidRPr="00DA5C34">
        <w:rPr>
          <w:rtl/>
        </w:rPr>
        <w:tab/>
      </w:r>
      <w:hyperlink r:id="rId18" w:history="1">
        <w:r w:rsidRPr="00DA5C34">
          <w:rPr>
            <w:rStyle w:val="Hyperlink"/>
          </w:rPr>
          <w:t>CRPD/C/AZE/CO/2-3</w:t>
        </w:r>
      </w:hyperlink>
      <w:r w:rsidRPr="00DA5C34">
        <w:rPr>
          <w:rtl/>
        </w:rPr>
        <w:t>، و</w:t>
      </w:r>
      <w:hyperlink r:id="rId19" w:history="1">
        <w:r w:rsidRPr="00DA5C34">
          <w:rPr>
            <w:rStyle w:val="Hyperlink"/>
          </w:rPr>
          <w:t>CRPD/C/BHR/CO/1-2</w:t>
        </w:r>
      </w:hyperlink>
      <w:r w:rsidRPr="00DA5C34">
        <w:rPr>
          <w:rtl/>
        </w:rPr>
        <w:t>، و</w:t>
      </w:r>
      <w:hyperlink r:id="rId20" w:history="1">
        <w:r w:rsidRPr="00DA5C34">
          <w:rPr>
            <w:rStyle w:val="Hyperlink"/>
          </w:rPr>
          <w:t>CRPD/C/CRI/CO/2-3</w:t>
        </w:r>
      </w:hyperlink>
      <w:r w:rsidRPr="00DA5C34">
        <w:rPr>
          <w:rtl/>
        </w:rPr>
        <w:t>، و</w:t>
      </w:r>
      <w:hyperlink r:id="rId21" w:history="1">
        <w:r w:rsidRPr="00DA5C34">
          <w:rPr>
            <w:rStyle w:val="Hyperlink"/>
          </w:rPr>
          <w:t>CRPD/C/KAZ/CO/1</w:t>
        </w:r>
      </w:hyperlink>
      <w:r w:rsidRPr="00DA5C34">
        <w:rPr>
          <w:rtl/>
        </w:rPr>
        <w:t>، و</w:t>
      </w:r>
      <w:hyperlink r:id="rId22" w:history="1">
        <w:r w:rsidRPr="00DA5C34">
          <w:rPr>
            <w:rStyle w:val="Hyperlink"/>
          </w:rPr>
          <w:t>CRPD/C/NIC/CO/1-3</w:t>
        </w:r>
      </w:hyperlink>
      <w:r w:rsidRPr="00DA5C34">
        <w:rPr>
          <w:rtl/>
        </w:rPr>
        <w:t>، و</w:t>
      </w:r>
      <w:hyperlink r:id="rId23" w:history="1">
        <w:r w:rsidRPr="00DA5C34">
          <w:rPr>
            <w:rStyle w:val="Hyperlink"/>
          </w:rPr>
          <w:t>CRPD/C/SWE/CO/2-3</w:t>
        </w:r>
      </w:hyperlink>
      <w:r w:rsidRPr="00DA5C34">
        <w:rPr>
          <w:rtl/>
        </w:rPr>
        <w:t>، و</w:t>
      </w:r>
      <w:hyperlink r:id="rId24" w:history="1">
        <w:r w:rsidRPr="00DA5C34">
          <w:rPr>
            <w:rStyle w:val="Hyperlink"/>
          </w:rPr>
          <w:t>CRPD/C/ZMB/CO/1</w:t>
        </w:r>
      </w:hyperlink>
      <w:r w:rsidRPr="00DA5C34">
        <w:rPr>
          <w:rtl/>
        </w:rPr>
        <w:t>.</w:t>
      </w:r>
    </w:p>
  </w:footnote>
  <w:footnote w:id="13">
    <w:p w14:paraId="4B920E8E" w14:textId="39CD9BAC" w:rsidR="00F12B9F" w:rsidRPr="00DA5C34" w:rsidRDefault="00F12B9F" w:rsidP="00430F08">
      <w:pPr>
        <w:pStyle w:val="FootnoteText1"/>
      </w:pPr>
      <w:r w:rsidRPr="00DA5C34">
        <w:rPr>
          <w:rtl/>
        </w:rPr>
        <w:t>(</w:t>
      </w:r>
      <w:r w:rsidRPr="00DA5C34">
        <w:footnoteRef/>
      </w:r>
      <w:r w:rsidRPr="00DA5C34">
        <w:rPr>
          <w:rtl/>
        </w:rPr>
        <w:t>)</w:t>
      </w:r>
      <w:r w:rsidRPr="00DA5C34">
        <w:rPr>
          <w:rtl/>
        </w:rPr>
        <w:tab/>
      </w:r>
      <w:hyperlink r:id="rId25" w:history="1">
        <w:r w:rsidRPr="00DA5C34">
          <w:rPr>
            <w:rStyle w:val="Hyperlink"/>
          </w:rPr>
          <w:t>CRPD/C/30/D/84/2020</w:t>
        </w:r>
      </w:hyperlink>
      <w:r w:rsidRPr="00DA5C34">
        <w:rPr>
          <w:rtl/>
        </w:rPr>
        <w:t>.</w:t>
      </w:r>
    </w:p>
  </w:footnote>
  <w:footnote w:id="14">
    <w:p w14:paraId="00941968" w14:textId="78F1F8C2" w:rsidR="00F12B9F" w:rsidRPr="00DA5C34" w:rsidRDefault="00F12B9F" w:rsidP="00430F08">
      <w:pPr>
        <w:pStyle w:val="FootnoteText1"/>
      </w:pPr>
      <w:r w:rsidRPr="00DA5C34">
        <w:rPr>
          <w:rtl/>
        </w:rPr>
        <w:t>(</w:t>
      </w:r>
      <w:r w:rsidRPr="00DA5C34">
        <w:footnoteRef/>
      </w:r>
      <w:r w:rsidRPr="00DA5C34">
        <w:rPr>
          <w:rtl/>
        </w:rPr>
        <w:t>)</w:t>
      </w:r>
      <w:r w:rsidRPr="00DA5C34">
        <w:rPr>
          <w:rtl/>
        </w:rPr>
        <w:tab/>
      </w:r>
      <w:hyperlink r:id="rId26" w:history="1">
        <w:r w:rsidRPr="00DA5C34">
          <w:rPr>
            <w:rStyle w:val="Hyperlink"/>
          </w:rPr>
          <w:t>CRPD/C/30/D/54/2018</w:t>
        </w:r>
      </w:hyperlink>
      <w:r w:rsidRPr="00DA5C34">
        <w:rPr>
          <w:rtl/>
        </w:rPr>
        <w:t>.</w:t>
      </w:r>
    </w:p>
  </w:footnote>
  <w:footnote w:id="15">
    <w:p w14:paraId="1D5073BE" w14:textId="6137F3A3" w:rsidR="00F12B9F" w:rsidRPr="00DA5C34" w:rsidRDefault="00F12B9F" w:rsidP="00430F08">
      <w:pPr>
        <w:pStyle w:val="FootnoteText1"/>
      </w:pPr>
      <w:r w:rsidRPr="00DA5C34">
        <w:rPr>
          <w:rtl/>
        </w:rPr>
        <w:t>(</w:t>
      </w:r>
      <w:r w:rsidRPr="00DA5C34">
        <w:footnoteRef/>
      </w:r>
      <w:r w:rsidRPr="00DA5C34">
        <w:rPr>
          <w:rtl/>
        </w:rPr>
        <w:t>)</w:t>
      </w:r>
      <w:r w:rsidRPr="00DA5C34">
        <w:rPr>
          <w:rtl/>
        </w:rPr>
        <w:tab/>
      </w:r>
      <w:hyperlink r:id="rId27" w:history="1">
        <w:r w:rsidRPr="00DA5C34">
          <w:rPr>
            <w:rStyle w:val="Hyperlink"/>
          </w:rPr>
          <w:t>CRPD/C/30/D/76/2020</w:t>
        </w:r>
      </w:hyperlink>
      <w:r w:rsidRPr="00DA5C34">
        <w:rPr>
          <w:rtl/>
        </w:rPr>
        <w:t>.</w:t>
      </w:r>
    </w:p>
  </w:footnote>
  <w:footnote w:id="16">
    <w:p w14:paraId="01AF5BE1" w14:textId="60F979F5" w:rsidR="00F12B9F" w:rsidRPr="00DA5C34" w:rsidRDefault="00F12B9F" w:rsidP="00430F08">
      <w:pPr>
        <w:pStyle w:val="FootnoteText1"/>
      </w:pPr>
      <w:r w:rsidRPr="00DA5C34">
        <w:rPr>
          <w:rtl/>
        </w:rPr>
        <w:t>(</w:t>
      </w:r>
      <w:r w:rsidRPr="00DA5C34">
        <w:footnoteRef/>
      </w:r>
      <w:r w:rsidRPr="00DA5C34">
        <w:rPr>
          <w:rtl/>
        </w:rPr>
        <w:t>)</w:t>
      </w:r>
      <w:r w:rsidRPr="00DA5C34">
        <w:rPr>
          <w:rtl/>
        </w:rPr>
        <w:tab/>
      </w:r>
      <w:hyperlink r:id="rId28" w:history="1">
        <w:r w:rsidRPr="00DA5C34">
          <w:rPr>
            <w:rStyle w:val="Hyperlink"/>
          </w:rPr>
          <w:t>CRPD/C/30/D/80/2020</w:t>
        </w:r>
      </w:hyperlink>
      <w:r w:rsidRPr="00DA5C34">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8B391" w14:textId="7D9A9AD5" w:rsidR="00C430A3" w:rsidRPr="00C430A3" w:rsidRDefault="00C430A3" w:rsidP="00C430A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F25BD">
      <w:t>CRPD/C/30/2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400D1" w14:textId="4CD035DC" w:rsidR="00C430A3" w:rsidRPr="00C430A3" w:rsidRDefault="00C430A3" w:rsidP="00C430A3">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F25BD">
      <w:t>CRPD/C/30/2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92B49" w14:textId="59447673" w:rsidR="0090281B" w:rsidRPr="0090281B" w:rsidRDefault="0090281B" w:rsidP="0090281B">
    <w:pPr>
      <w:pStyle w:val="Header"/>
      <w:jc w:val="left"/>
      <w:rPr>
        <w:rtl/>
      </w:rPr>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5F25BD">
      <w:t>CRPD/C/30/2</w:t>
    </w:r>
    <w:r>
      <w:rPr>
        <w:rtl/>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D27D9" w14:textId="1B813E5F" w:rsidR="0090281B" w:rsidRPr="0090281B" w:rsidRDefault="0090281B" w:rsidP="0090281B">
    <w:pPr>
      <w:pStyle w:val="Header"/>
      <w:jc w:val="right"/>
    </w:pPr>
    <w:r>
      <w:rPr>
        <w:rtl/>
      </w:rPr>
      <w:fldChar w:fldCharType="begin"/>
    </w:r>
    <w:r>
      <w:rPr>
        <w:rtl/>
      </w:rPr>
      <w:instrText xml:space="preserve"> </w:instrText>
    </w:r>
    <w:r>
      <w:rPr>
        <w:rFonts w:hint="cs"/>
      </w:rPr>
      <w:instrText>TITLE</w:instrText>
    </w:r>
    <w:r>
      <w:rPr>
        <w:rFonts w:hint="cs"/>
        <w:rtl/>
      </w:rPr>
      <w:instrText xml:space="preserve">  \* </w:instrText>
    </w:r>
    <w:r>
      <w:rPr>
        <w:rFonts w:hint="cs"/>
      </w:rPr>
      <w:instrText>MERGEFORMAT</w:instrText>
    </w:r>
    <w:r>
      <w:rPr>
        <w:rtl/>
      </w:rPr>
      <w:instrText xml:space="preserve"> </w:instrText>
    </w:r>
    <w:r>
      <w:rPr>
        <w:rtl/>
      </w:rPr>
      <w:fldChar w:fldCharType="separate"/>
    </w:r>
    <w:r w:rsidR="005F25BD">
      <w:t>CRPD/C/30/2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D467AF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8DE4E5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334A94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CFEE520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A64C3B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A3A43D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32ACFF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2ACFDD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76E10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B4446E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EACC145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26"/>
  </w:num>
  <w:num w:numId="2" w16cid:durableId="2120760390">
    <w:abstractNumId w:val="23"/>
  </w:num>
  <w:num w:numId="3" w16cid:durableId="1225919257">
    <w:abstractNumId w:val="12"/>
  </w:num>
  <w:num w:numId="4" w16cid:durableId="241527626">
    <w:abstractNumId w:val="22"/>
  </w:num>
  <w:num w:numId="5" w16cid:durableId="2072148752">
    <w:abstractNumId w:val="19"/>
  </w:num>
  <w:num w:numId="6" w16cid:durableId="2058167347">
    <w:abstractNumId w:val="16"/>
  </w:num>
  <w:num w:numId="7" w16cid:durableId="1371223423">
    <w:abstractNumId w:val="28"/>
  </w:num>
  <w:num w:numId="8" w16cid:durableId="680163979">
    <w:abstractNumId w:val="12"/>
  </w:num>
  <w:num w:numId="9" w16cid:durableId="339115698">
    <w:abstractNumId w:val="22"/>
  </w:num>
  <w:num w:numId="10" w16cid:durableId="855968614">
    <w:abstractNumId w:val="16"/>
  </w:num>
  <w:num w:numId="11" w16cid:durableId="479031862">
    <w:abstractNumId w:val="28"/>
  </w:num>
  <w:num w:numId="12" w16cid:durableId="939875021">
    <w:abstractNumId w:val="15"/>
  </w:num>
  <w:num w:numId="13" w16cid:durableId="1451164136">
    <w:abstractNumId w:val="13"/>
  </w:num>
  <w:num w:numId="14" w16cid:durableId="1894612447">
    <w:abstractNumId w:val="27"/>
  </w:num>
  <w:num w:numId="15" w16cid:durableId="1836220252">
    <w:abstractNumId w:val="24"/>
  </w:num>
  <w:num w:numId="16" w16cid:durableId="518740566">
    <w:abstractNumId w:val="11"/>
  </w:num>
  <w:num w:numId="17" w16cid:durableId="1964388494">
    <w:abstractNumId w:val="25"/>
  </w:num>
  <w:num w:numId="18" w16cid:durableId="29842760">
    <w:abstractNumId w:val="10"/>
  </w:num>
  <w:num w:numId="19" w16cid:durableId="294870059">
    <w:abstractNumId w:val="20"/>
  </w:num>
  <w:num w:numId="20" w16cid:durableId="590627428">
    <w:abstractNumId w:val="2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1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1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1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18"/>
  </w:num>
  <w:num w:numId="26" w16cid:durableId="975600241">
    <w:abstractNumId w:val="1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17"/>
  </w:num>
  <w:num w:numId="28" w16cid:durableId="736784461">
    <w:abstractNumId w:val="14"/>
  </w:num>
  <w:num w:numId="29" w16cid:durableId="1393429370">
    <w:abstractNumId w:val="1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1222138655">
    <w:abstractNumId w:val="9"/>
  </w:num>
  <w:num w:numId="31" w16cid:durableId="1979338778">
    <w:abstractNumId w:val="7"/>
  </w:num>
  <w:num w:numId="32" w16cid:durableId="811755712">
    <w:abstractNumId w:val="6"/>
  </w:num>
  <w:num w:numId="33" w16cid:durableId="1803648889">
    <w:abstractNumId w:val="5"/>
  </w:num>
  <w:num w:numId="34" w16cid:durableId="481390655">
    <w:abstractNumId w:val="4"/>
  </w:num>
  <w:num w:numId="35" w16cid:durableId="2103337285">
    <w:abstractNumId w:val="8"/>
  </w:num>
  <w:num w:numId="36" w16cid:durableId="1510826794">
    <w:abstractNumId w:val="3"/>
  </w:num>
  <w:num w:numId="37" w16cid:durableId="129785419">
    <w:abstractNumId w:val="2"/>
  </w:num>
  <w:num w:numId="38" w16cid:durableId="801733083">
    <w:abstractNumId w:val="1"/>
  </w:num>
  <w:num w:numId="39" w16cid:durableId="109983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linkStyles/>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19B"/>
    <w:rsid w:val="000076D5"/>
    <w:rsid w:val="000204DC"/>
    <w:rsid w:val="00037ED2"/>
    <w:rsid w:val="00043663"/>
    <w:rsid w:val="000505CF"/>
    <w:rsid w:val="0008448B"/>
    <w:rsid w:val="000C3055"/>
    <w:rsid w:val="000D701C"/>
    <w:rsid w:val="000E2A71"/>
    <w:rsid w:val="00106E5B"/>
    <w:rsid w:val="00114439"/>
    <w:rsid w:val="00160263"/>
    <w:rsid w:val="00181F96"/>
    <w:rsid w:val="00185BED"/>
    <w:rsid w:val="001867BF"/>
    <w:rsid w:val="0019028F"/>
    <w:rsid w:val="001A1371"/>
    <w:rsid w:val="001B346A"/>
    <w:rsid w:val="001C5A38"/>
    <w:rsid w:val="001E1CAD"/>
    <w:rsid w:val="001E290D"/>
    <w:rsid w:val="001F201A"/>
    <w:rsid w:val="002144FA"/>
    <w:rsid w:val="0023469A"/>
    <w:rsid w:val="00241847"/>
    <w:rsid w:val="00243C8A"/>
    <w:rsid w:val="0026279F"/>
    <w:rsid w:val="00267A0E"/>
    <w:rsid w:val="00274C93"/>
    <w:rsid w:val="002901D9"/>
    <w:rsid w:val="002976C2"/>
    <w:rsid w:val="002B4C32"/>
    <w:rsid w:val="002C4B69"/>
    <w:rsid w:val="0032278B"/>
    <w:rsid w:val="003260FF"/>
    <w:rsid w:val="00341920"/>
    <w:rsid w:val="00343D95"/>
    <w:rsid w:val="00374341"/>
    <w:rsid w:val="00397C83"/>
    <w:rsid w:val="003D1062"/>
    <w:rsid w:val="003D5984"/>
    <w:rsid w:val="003D767A"/>
    <w:rsid w:val="00420D7B"/>
    <w:rsid w:val="00430F08"/>
    <w:rsid w:val="00435732"/>
    <w:rsid w:val="00450B21"/>
    <w:rsid w:val="00453B63"/>
    <w:rsid w:val="00455780"/>
    <w:rsid w:val="004653FA"/>
    <w:rsid w:val="00476CEF"/>
    <w:rsid w:val="0048496A"/>
    <w:rsid w:val="0049167B"/>
    <w:rsid w:val="004B0A1C"/>
    <w:rsid w:val="004D298E"/>
    <w:rsid w:val="004E4015"/>
    <w:rsid w:val="004E4D42"/>
    <w:rsid w:val="00517BC9"/>
    <w:rsid w:val="0052441E"/>
    <w:rsid w:val="0054149D"/>
    <w:rsid w:val="0054472E"/>
    <w:rsid w:val="005662A9"/>
    <w:rsid w:val="005771AA"/>
    <w:rsid w:val="005827D4"/>
    <w:rsid w:val="0059622A"/>
    <w:rsid w:val="005A12FF"/>
    <w:rsid w:val="005C5878"/>
    <w:rsid w:val="005C7CEA"/>
    <w:rsid w:val="005D3C0B"/>
    <w:rsid w:val="005E5217"/>
    <w:rsid w:val="005F0FA4"/>
    <w:rsid w:val="005F25BD"/>
    <w:rsid w:val="005F30EE"/>
    <w:rsid w:val="00600888"/>
    <w:rsid w:val="0060473A"/>
    <w:rsid w:val="00606EDF"/>
    <w:rsid w:val="00614B4E"/>
    <w:rsid w:val="006163CA"/>
    <w:rsid w:val="006333FB"/>
    <w:rsid w:val="00647B8E"/>
    <w:rsid w:val="00654CA2"/>
    <w:rsid w:val="00656392"/>
    <w:rsid w:val="006701AF"/>
    <w:rsid w:val="0068781D"/>
    <w:rsid w:val="006959B0"/>
    <w:rsid w:val="006A5EE7"/>
    <w:rsid w:val="006B3E27"/>
    <w:rsid w:val="006B53DE"/>
    <w:rsid w:val="006B6507"/>
    <w:rsid w:val="006C104C"/>
    <w:rsid w:val="006F30EE"/>
    <w:rsid w:val="00702272"/>
    <w:rsid w:val="00726F9E"/>
    <w:rsid w:val="00733704"/>
    <w:rsid w:val="00752196"/>
    <w:rsid w:val="007541BA"/>
    <w:rsid w:val="0075619B"/>
    <w:rsid w:val="00770CD9"/>
    <w:rsid w:val="00780362"/>
    <w:rsid w:val="0078071A"/>
    <w:rsid w:val="007D2312"/>
    <w:rsid w:val="007E2903"/>
    <w:rsid w:val="007E3F4E"/>
    <w:rsid w:val="007E529B"/>
    <w:rsid w:val="007F28DE"/>
    <w:rsid w:val="00801A14"/>
    <w:rsid w:val="00803632"/>
    <w:rsid w:val="00850B8E"/>
    <w:rsid w:val="00852A9A"/>
    <w:rsid w:val="0086207D"/>
    <w:rsid w:val="008F49E1"/>
    <w:rsid w:val="0090281B"/>
    <w:rsid w:val="0090370F"/>
    <w:rsid w:val="00911B4A"/>
    <w:rsid w:val="009269D2"/>
    <w:rsid w:val="00941975"/>
    <w:rsid w:val="00942135"/>
    <w:rsid w:val="009521B0"/>
    <w:rsid w:val="009A7E9F"/>
    <w:rsid w:val="009B387A"/>
    <w:rsid w:val="009D5535"/>
    <w:rsid w:val="009E5018"/>
    <w:rsid w:val="009F15BC"/>
    <w:rsid w:val="00A12B37"/>
    <w:rsid w:val="00A13D0C"/>
    <w:rsid w:val="00A32291"/>
    <w:rsid w:val="00A4022D"/>
    <w:rsid w:val="00A50EC0"/>
    <w:rsid w:val="00A54442"/>
    <w:rsid w:val="00A83E0F"/>
    <w:rsid w:val="00AA3959"/>
    <w:rsid w:val="00AB0F58"/>
    <w:rsid w:val="00AB6758"/>
    <w:rsid w:val="00B03F81"/>
    <w:rsid w:val="00B10FDF"/>
    <w:rsid w:val="00B13763"/>
    <w:rsid w:val="00B44067"/>
    <w:rsid w:val="00B45F89"/>
    <w:rsid w:val="00B477A4"/>
    <w:rsid w:val="00B54045"/>
    <w:rsid w:val="00B74F82"/>
    <w:rsid w:val="00BC4823"/>
    <w:rsid w:val="00C04E25"/>
    <w:rsid w:val="00C430A3"/>
    <w:rsid w:val="00C438D7"/>
    <w:rsid w:val="00C53FE8"/>
    <w:rsid w:val="00C81B50"/>
    <w:rsid w:val="00CD1801"/>
    <w:rsid w:val="00CD50E5"/>
    <w:rsid w:val="00D077A7"/>
    <w:rsid w:val="00D10EF1"/>
    <w:rsid w:val="00D42810"/>
    <w:rsid w:val="00D914A7"/>
    <w:rsid w:val="00DA5C34"/>
    <w:rsid w:val="00DD13C3"/>
    <w:rsid w:val="00DD596E"/>
    <w:rsid w:val="00DD621E"/>
    <w:rsid w:val="00DD74C6"/>
    <w:rsid w:val="00DF0575"/>
    <w:rsid w:val="00DF0A5C"/>
    <w:rsid w:val="00E225B6"/>
    <w:rsid w:val="00E6275F"/>
    <w:rsid w:val="00E70E04"/>
    <w:rsid w:val="00E751D1"/>
    <w:rsid w:val="00E86F91"/>
    <w:rsid w:val="00EC05A7"/>
    <w:rsid w:val="00EC4B6B"/>
    <w:rsid w:val="00ED7442"/>
    <w:rsid w:val="00EF1EE5"/>
    <w:rsid w:val="00F12B9F"/>
    <w:rsid w:val="00F41071"/>
    <w:rsid w:val="00F5023D"/>
    <w:rsid w:val="00F65B85"/>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E3836AD"/>
  <w15:docId w15:val="{18389450-42A8-4394-836F-CB2EFC23C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196"/>
    <w:pPr>
      <w:bidi/>
      <w:spacing w:after="0" w:line="240" w:lineRule="atLeast"/>
      <w:jc w:val="lowKashida"/>
    </w:pPr>
    <w:rPr>
      <w:rFonts w:ascii="Times New Roman" w:eastAsia="PMingLiU" w:hAnsi="Times New Roman" w:cs="Simplified Arabic"/>
      <w:kern w:val="2"/>
      <w:sz w:val="20"/>
      <w14:ligatures w14:val="standardContextual"/>
    </w:rPr>
  </w:style>
  <w:style w:type="paragraph" w:styleId="Heading1">
    <w:name w:val="heading 1"/>
    <w:aliases w:val="Table_GA,Table_G"/>
    <w:basedOn w:val="SingleTxtGA"/>
    <w:next w:val="Normal"/>
    <w:link w:val="Heading1Char"/>
    <w:qFormat/>
    <w:rsid w:val="00752196"/>
    <w:pPr>
      <w:bidi w:val="0"/>
      <w:outlineLvl w:val="0"/>
    </w:pPr>
  </w:style>
  <w:style w:type="paragraph" w:styleId="Heading2">
    <w:name w:val="heading 2"/>
    <w:basedOn w:val="Normal"/>
    <w:next w:val="Normal"/>
    <w:link w:val="Heading2Char"/>
    <w:uiPriority w:val="9"/>
    <w:unhideWhenUsed/>
    <w:rsid w:val="0075219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752196"/>
    <w:pPr>
      <w:keepNext/>
      <w:keepLines/>
      <w:spacing w:before="200"/>
      <w:outlineLvl w:val="2"/>
    </w:pPr>
    <w:rPr>
      <w:b/>
      <w:bCs/>
      <w:color w:val="4F81BD"/>
    </w:rPr>
  </w:style>
  <w:style w:type="paragraph" w:styleId="Heading4">
    <w:name w:val="heading 4"/>
    <w:basedOn w:val="Normal"/>
    <w:next w:val="Normal"/>
    <w:link w:val="Heading4Char"/>
    <w:uiPriority w:val="9"/>
    <w:unhideWhenUsed/>
    <w:rsid w:val="0075219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752196"/>
    <w:pPr>
      <w:keepNext/>
      <w:keepLines/>
      <w:spacing w:before="200"/>
      <w:outlineLvl w:val="4"/>
    </w:pPr>
    <w:rPr>
      <w:color w:val="243F60"/>
    </w:rPr>
  </w:style>
  <w:style w:type="paragraph" w:styleId="Heading6">
    <w:name w:val="heading 6"/>
    <w:basedOn w:val="Normal"/>
    <w:next w:val="Normal"/>
    <w:link w:val="Heading6Char"/>
    <w:uiPriority w:val="9"/>
    <w:unhideWhenUsed/>
    <w:rsid w:val="00752196"/>
    <w:pPr>
      <w:keepNext/>
      <w:keepLines/>
      <w:spacing w:before="200"/>
      <w:outlineLvl w:val="5"/>
    </w:pPr>
    <w:rPr>
      <w:i/>
      <w:iCs/>
      <w:color w:val="243F60"/>
    </w:rPr>
  </w:style>
  <w:style w:type="paragraph" w:styleId="Heading7">
    <w:name w:val="heading 7"/>
    <w:basedOn w:val="Normal"/>
    <w:next w:val="Normal"/>
    <w:link w:val="Heading7Char"/>
    <w:uiPriority w:val="9"/>
    <w:unhideWhenUsed/>
    <w:rsid w:val="00752196"/>
    <w:pPr>
      <w:keepNext/>
      <w:keepLines/>
      <w:spacing w:before="200"/>
      <w:outlineLvl w:val="6"/>
    </w:pPr>
    <w:rPr>
      <w:i/>
      <w:iCs/>
      <w:color w:val="404040"/>
    </w:rPr>
  </w:style>
  <w:style w:type="paragraph" w:styleId="Heading8">
    <w:name w:val="heading 8"/>
    <w:basedOn w:val="Normal"/>
    <w:next w:val="Normal"/>
    <w:link w:val="Heading8Char"/>
    <w:uiPriority w:val="9"/>
    <w:unhideWhenUsed/>
    <w:rsid w:val="0075219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752196"/>
    <w:pPr>
      <w:keepNext/>
      <w:keepLines/>
      <w:spacing w:before="200"/>
      <w:outlineLvl w:val="8"/>
    </w:pPr>
    <w:rPr>
      <w:i/>
      <w:iCs/>
      <w:color w:val="404040"/>
      <w:szCs w:val="20"/>
    </w:rPr>
  </w:style>
  <w:style w:type="character" w:default="1" w:styleId="DefaultParagraphFont">
    <w:name w:val="Default Paragraph Font"/>
    <w:uiPriority w:val="1"/>
    <w:unhideWhenUsed/>
    <w:rsid w:val="0075219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752196"/>
  </w:style>
  <w:style w:type="paragraph" w:customStyle="1" w:styleId="HMGA">
    <w:name w:val="_ H __M_GA"/>
    <w:basedOn w:val="Normal"/>
    <w:next w:val="SingleTxtGA"/>
    <w:qFormat/>
    <w:rsid w:val="0075219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75219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75219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75219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75219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75219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75219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75219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75219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75219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75219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75219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75219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752196"/>
    <w:pPr>
      <w:numPr>
        <w:numId w:val="5"/>
      </w:numPr>
      <w:bidi w:val="0"/>
    </w:pPr>
    <w:rPr>
      <w:lang w:val="en-US"/>
    </w:rPr>
  </w:style>
  <w:style w:type="paragraph" w:customStyle="1" w:styleId="Roman1GA">
    <w:name w:val="_Roman 1_GA"/>
    <w:basedOn w:val="Bullet1GA"/>
    <w:qFormat/>
    <w:rsid w:val="00752196"/>
    <w:pPr>
      <w:numPr>
        <w:numId w:val="6"/>
      </w:numPr>
      <w:tabs>
        <w:tab w:val="clear" w:pos="2310"/>
        <w:tab w:val="left" w:pos="2486"/>
      </w:tabs>
      <w:ind w:left="2486" w:hanging="378"/>
    </w:pPr>
  </w:style>
  <w:style w:type="paragraph" w:customStyle="1" w:styleId="Roman2GA">
    <w:name w:val="_Roman 2_GA"/>
    <w:basedOn w:val="Bullet2GA"/>
    <w:qFormat/>
    <w:rsid w:val="0075219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75219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752196"/>
    <w:rPr>
      <w:rFonts w:ascii="Times New Roman" w:eastAsia="PMingLiU" w:hAnsi="Times New Roman" w:cs="Simplified Arabic"/>
      <w:kern w:val="2"/>
      <w:sz w:val="18"/>
      <w:szCs w:val="20"/>
      <w:lang w:val="en-GB"/>
      <w14:ligatures w14:val="standardContextual"/>
    </w:rPr>
  </w:style>
  <w:style w:type="character" w:customStyle="1" w:styleId="EndtnoteReference">
    <w:name w:val="Endtnote Reference"/>
    <w:aliases w:val="1_GA"/>
    <w:qFormat/>
    <w:rsid w:val="0075219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752196"/>
    <w:pPr>
      <w:suppressAutoHyphens/>
      <w:bidi w:val="0"/>
      <w:spacing w:line="240" w:lineRule="auto"/>
    </w:pPr>
    <w:rPr>
      <w:sz w:val="16"/>
      <w:lang w:val="en-GB"/>
    </w:rPr>
  </w:style>
  <w:style w:type="character" w:customStyle="1" w:styleId="FooterChar">
    <w:name w:val="Footer Char"/>
    <w:aliases w:val="3_GA Char,3_G Char"/>
    <w:link w:val="Footer"/>
    <w:rsid w:val="00752196"/>
    <w:rPr>
      <w:rFonts w:ascii="Times New Roman" w:eastAsia="PMingLiU" w:hAnsi="Times New Roman" w:cs="Simplified Arabic"/>
      <w:kern w:val="2"/>
      <w:sz w:val="16"/>
      <w:lang w:val="en-GB"/>
      <w14:ligatures w14:val="standardContextual"/>
    </w:rPr>
  </w:style>
  <w:style w:type="paragraph" w:customStyle="1" w:styleId="FootnoteText1">
    <w:name w:val="Footnote Text1"/>
    <w:aliases w:val="5_GA"/>
    <w:basedOn w:val="Normal"/>
    <w:qFormat/>
    <w:rsid w:val="0075219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752196"/>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752196"/>
    <w:rPr>
      <w:rFonts w:ascii="Times New Roman" w:eastAsia="PMingLiU" w:hAnsi="Times New Roman" w:cs="Simplified Arabic"/>
      <w:b/>
      <w:bCs/>
      <w:kern w:val="2"/>
      <w:sz w:val="18"/>
      <w:szCs w:val="18"/>
      <w14:ligatures w14:val="standardContextual"/>
    </w:rPr>
  </w:style>
  <w:style w:type="character" w:customStyle="1" w:styleId="Heading1Char">
    <w:name w:val="Heading 1 Char"/>
    <w:aliases w:val="Table_GA Char,Table_G Char"/>
    <w:link w:val="Heading1"/>
    <w:rsid w:val="00752196"/>
    <w:rPr>
      <w:rFonts w:ascii="Times New Roman" w:eastAsia="PMingLiU" w:hAnsi="Times New Roman" w:cs="Simplified Arabic"/>
      <w:kern w:val="2"/>
      <w:lang w:val="en-GB"/>
      <w14:ligatures w14:val="standardContextual"/>
    </w:rPr>
  </w:style>
  <w:style w:type="character" w:styleId="PageNumber">
    <w:name w:val="page number"/>
    <w:aliases w:val="7_GA,7_G"/>
    <w:qFormat/>
    <w:rsid w:val="00752196"/>
    <w:rPr>
      <w:rFonts w:ascii="Times New Roman Bold" w:hAnsi="Times New Roman Bold"/>
      <w:b/>
      <w:i w:val="0"/>
      <w:sz w:val="18"/>
      <w:szCs w:val="18"/>
    </w:rPr>
  </w:style>
  <w:style w:type="paragraph" w:customStyle="1" w:styleId="XXLargeGA">
    <w:name w:val="XXLarge_GA"/>
    <w:basedOn w:val="Normal"/>
    <w:next w:val="SingleTxtGA"/>
    <w:qFormat/>
    <w:rsid w:val="00752196"/>
    <w:pPr>
      <w:suppressAutoHyphens/>
      <w:spacing w:line="820" w:lineRule="exact"/>
    </w:pPr>
    <w:rPr>
      <w:spacing w:val="-8"/>
      <w:w w:val="96"/>
      <w:sz w:val="57"/>
      <w:szCs w:val="86"/>
      <w:lang w:val="en-GB"/>
    </w:rPr>
  </w:style>
  <w:style w:type="character" w:customStyle="1" w:styleId="Heading2Char">
    <w:name w:val="Heading 2 Char"/>
    <w:link w:val="Heading2"/>
    <w:uiPriority w:val="9"/>
    <w:rsid w:val="00752196"/>
    <w:rPr>
      <w:rFonts w:ascii="Times New Roman" w:eastAsia="PMingLiU" w:hAnsi="Times New Roman" w:cs="Simplified Arabic"/>
      <w:b/>
      <w:bCs/>
      <w:color w:val="4F81BD"/>
      <w:kern w:val="2"/>
      <w:sz w:val="26"/>
      <w:szCs w:val="26"/>
      <w14:ligatures w14:val="standardContextual"/>
    </w:rPr>
  </w:style>
  <w:style w:type="character" w:customStyle="1" w:styleId="Heading3Char">
    <w:name w:val="Heading 3 Char"/>
    <w:link w:val="Heading3"/>
    <w:uiPriority w:val="9"/>
    <w:rsid w:val="00752196"/>
    <w:rPr>
      <w:rFonts w:ascii="Times New Roman" w:eastAsia="PMingLiU" w:hAnsi="Times New Roman" w:cs="Simplified Arabic"/>
      <w:b/>
      <w:bCs/>
      <w:color w:val="4F81BD"/>
      <w:kern w:val="2"/>
      <w:sz w:val="20"/>
      <w14:ligatures w14:val="standardContextual"/>
    </w:rPr>
  </w:style>
  <w:style w:type="character" w:customStyle="1" w:styleId="Heading4Char">
    <w:name w:val="Heading 4 Char"/>
    <w:link w:val="Heading4"/>
    <w:uiPriority w:val="9"/>
    <w:rsid w:val="00752196"/>
    <w:rPr>
      <w:rFonts w:ascii="Times New Roman" w:eastAsia="PMingLiU" w:hAnsi="Times New Roman" w:cs="Simplified Arabic"/>
      <w:b/>
      <w:bCs/>
      <w:i/>
      <w:iCs/>
      <w:color w:val="4F81BD"/>
      <w:kern w:val="2"/>
      <w:sz w:val="20"/>
      <w14:ligatures w14:val="standardContextual"/>
    </w:rPr>
  </w:style>
  <w:style w:type="character" w:customStyle="1" w:styleId="Heading5Char">
    <w:name w:val="Heading 5 Char"/>
    <w:link w:val="Heading5"/>
    <w:uiPriority w:val="9"/>
    <w:rsid w:val="00752196"/>
    <w:rPr>
      <w:rFonts w:ascii="Times New Roman" w:eastAsia="PMingLiU" w:hAnsi="Times New Roman" w:cs="Simplified Arabic"/>
      <w:color w:val="243F60"/>
      <w:kern w:val="2"/>
      <w:sz w:val="20"/>
      <w14:ligatures w14:val="standardContextual"/>
    </w:rPr>
  </w:style>
  <w:style w:type="character" w:customStyle="1" w:styleId="Heading6Char">
    <w:name w:val="Heading 6 Char"/>
    <w:link w:val="Heading6"/>
    <w:uiPriority w:val="9"/>
    <w:rsid w:val="00752196"/>
    <w:rPr>
      <w:rFonts w:ascii="Times New Roman" w:eastAsia="PMingLiU" w:hAnsi="Times New Roman" w:cs="Simplified Arabic"/>
      <w:i/>
      <w:iCs/>
      <w:color w:val="243F60"/>
      <w:kern w:val="2"/>
      <w:sz w:val="20"/>
      <w14:ligatures w14:val="standardContextual"/>
    </w:rPr>
  </w:style>
  <w:style w:type="character" w:customStyle="1" w:styleId="Heading7Char">
    <w:name w:val="Heading 7 Char"/>
    <w:link w:val="Heading7"/>
    <w:uiPriority w:val="9"/>
    <w:rsid w:val="00752196"/>
    <w:rPr>
      <w:rFonts w:ascii="Times New Roman" w:eastAsia="PMingLiU" w:hAnsi="Times New Roman" w:cs="Simplified Arabic"/>
      <w:i/>
      <w:iCs/>
      <w:color w:val="404040"/>
      <w:kern w:val="2"/>
      <w:sz w:val="20"/>
      <w14:ligatures w14:val="standardContextual"/>
    </w:rPr>
  </w:style>
  <w:style w:type="character" w:customStyle="1" w:styleId="Heading8Char">
    <w:name w:val="Heading 8 Char"/>
    <w:link w:val="Heading8"/>
    <w:uiPriority w:val="9"/>
    <w:rsid w:val="00752196"/>
    <w:rPr>
      <w:rFonts w:ascii="Times New Roman" w:eastAsia="PMingLiU" w:hAnsi="Times New Roman" w:cs="Simplified Arabic"/>
      <w:color w:val="404040"/>
      <w:kern w:val="2"/>
      <w:sz w:val="20"/>
      <w:szCs w:val="20"/>
      <w14:ligatures w14:val="standardContextual"/>
    </w:rPr>
  </w:style>
  <w:style w:type="character" w:customStyle="1" w:styleId="Heading9Char">
    <w:name w:val="Heading 9 Char"/>
    <w:link w:val="Heading9"/>
    <w:uiPriority w:val="9"/>
    <w:rsid w:val="00752196"/>
    <w:rPr>
      <w:rFonts w:ascii="Times New Roman" w:eastAsia="PMingLiU" w:hAnsi="Times New Roman" w:cs="Simplified Arabic"/>
      <w:i/>
      <w:iCs/>
      <w:color w:val="404040"/>
      <w:kern w:val="2"/>
      <w:sz w:val="20"/>
      <w:szCs w:val="20"/>
      <w14:ligatures w14:val="standardContextual"/>
    </w:rPr>
  </w:style>
  <w:style w:type="paragraph" w:styleId="Title">
    <w:name w:val="Title"/>
    <w:basedOn w:val="Normal"/>
    <w:next w:val="Normal"/>
    <w:link w:val="TitleChar"/>
    <w:uiPriority w:val="10"/>
    <w:rsid w:val="0075219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752196"/>
    <w:rPr>
      <w:rFonts w:ascii="Times New Roman" w:eastAsia="PMingLiU" w:hAnsi="Times New Roman" w:cs="Simplified Arabic"/>
      <w:color w:val="17365D"/>
      <w:spacing w:val="5"/>
      <w:kern w:val="28"/>
      <w:sz w:val="52"/>
      <w:szCs w:val="52"/>
      <w14:ligatures w14:val="standardContextual"/>
    </w:rPr>
  </w:style>
  <w:style w:type="paragraph" w:styleId="Subtitle">
    <w:name w:val="Subtitle"/>
    <w:basedOn w:val="Normal"/>
    <w:next w:val="Normal"/>
    <w:link w:val="SubtitleChar"/>
    <w:uiPriority w:val="11"/>
    <w:rsid w:val="00752196"/>
    <w:pPr>
      <w:numPr>
        <w:ilvl w:val="1"/>
      </w:numPr>
    </w:pPr>
    <w:rPr>
      <w:i/>
      <w:iCs/>
      <w:color w:val="4F81BD"/>
      <w:spacing w:val="15"/>
      <w:sz w:val="24"/>
      <w:szCs w:val="24"/>
    </w:rPr>
  </w:style>
  <w:style w:type="character" w:customStyle="1" w:styleId="SubtitleChar">
    <w:name w:val="Subtitle Char"/>
    <w:link w:val="Subtitle"/>
    <w:uiPriority w:val="11"/>
    <w:rsid w:val="00752196"/>
    <w:rPr>
      <w:rFonts w:ascii="Times New Roman" w:eastAsia="PMingLiU" w:hAnsi="Times New Roman" w:cs="Simplified Arabic"/>
      <w:i/>
      <w:iCs/>
      <w:color w:val="4F81BD"/>
      <w:spacing w:val="15"/>
      <w:kern w:val="2"/>
      <w:sz w:val="24"/>
      <w:szCs w:val="24"/>
      <w14:ligatures w14:val="standardContextual"/>
    </w:rPr>
  </w:style>
  <w:style w:type="character" w:styleId="Strong">
    <w:name w:val="Strong"/>
    <w:uiPriority w:val="22"/>
    <w:rsid w:val="00752196"/>
    <w:rPr>
      <w:b/>
      <w:bCs/>
    </w:rPr>
  </w:style>
  <w:style w:type="table" w:styleId="TableGrid">
    <w:name w:val="Table Grid"/>
    <w:basedOn w:val="TableNormal"/>
    <w:rsid w:val="00752196"/>
    <w:pPr>
      <w:bidi/>
      <w:spacing w:after="0" w:line="240" w:lineRule="auto"/>
      <w:jc w:val="lowKashida"/>
    </w:pPr>
    <w:rPr>
      <w:rFonts w:ascii="Times New Roman" w:eastAsia="PMingLiU" w:hAnsi="Times New Roman" w:cs="Simplified Arabic"/>
      <w:kern w:val="2"/>
      <w:lang w:eastAsia="zh-CN"/>
      <w14:ligatures w14:val="standardContextual"/>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style>
  <w:style w:type="character" w:styleId="Hyperlink">
    <w:name w:val="Hyperlink"/>
    <w:uiPriority w:val="99"/>
    <w:unhideWhenUsed/>
    <w:rsid w:val="00752196"/>
    <w:rPr>
      <w:color w:val="0000FF"/>
      <w:u w:val="none"/>
    </w:rPr>
  </w:style>
  <w:style w:type="paragraph" w:styleId="TOC1">
    <w:name w:val="toc 1"/>
    <w:basedOn w:val="Normal"/>
    <w:link w:val="TOC1Char"/>
    <w:autoRedefine/>
    <w:uiPriority w:val="39"/>
    <w:unhideWhenUsed/>
    <w:rsid w:val="0075219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75219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75219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752196"/>
    <w:rPr>
      <w:rFonts w:eastAsia="DengXian"/>
      <w:color w:val="auto"/>
      <w:sz w:val="20"/>
      <w:szCs w:val="20"/>
      <w:u w:val="none"/>
      <w:lang w:eastAsia="zh-CN" w:bidi="ar-EG"/>
    </w:rPr>
  </w:style>
  <w:style w:type="paragraph" w:styleId="TOC4">
    <w:name w:val="toc 4"/>
    <w:basedOn w:val="Normal"/>
    <w:link w:val="TOC4Char"/>
    <w:autoRedefine/>
    <w:uiPriority w:val="39"/>
    <w:unhideWhenUsed/>
    <w:rsid w:val="0075219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75219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75219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752196"/>
    <w:pPr>
      <w:bidi/>
      <w:spacing w:before="80" w:after="80" w:line="320" w:lineRule="exact"/>
      <w:ind w:left="113" w:right="113"/>
      <w:jc w:val="lowKashida"/>
    </w:pPr>
    <w:rPr>
      <w:rFonts w:ascii="Times New Roman" w:eastAsiaTheme="minorEastAsia" w:hAnsi="Times New Roman" w:cs="Traditional Arabic"/>
      <w:kern w:val="2"/>
      <w:sz w:val="18"/>
      <w:szCs w:val="28"/>
      <w:lang w:eastAsia="zh-CN"/>
      <w14:ligatures w14:val="standardContextual"/>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752196"/>
    <w:rPr>
      <w:rFonts w:ascii="Times New Roman" w:eastAsia="PMingLiU" w:hAnsi="Times New Roman" w:cs="Simplified Arabic"/>
      <w:kern w:val="2"/>
      <w:lang w:val="en-GB"/>
      <w14:ligatures w14:val="standardContextual"/>
    </w:rPr>
  </w:style>
  <w:style w:type="character" w:customStyle="1" w:styleId="TOC1Char">
    <w:name w:val="TOC 1 Char"/>
    <w:basedOn w:val="DefaultParagraphFont"/>
    <w:link w:val="TOC1"/>
    <w:uiPriority w:val="39"/>
    <w:rsid w:val="00752196"/>
    <w:rPr>
      <w:rFonts w:ascii="Times New Roman" w:eastAsia="PMingLiU" w:hAnsi="Times New Roman" w:cs="Simplified Arabic"/>
      <w:noProof/>
      <w:kern w:val="2"/>
      <w:sz w:val="20"/>
      <w:szCs w:val="20"/>
      <w:lang w:val="fr-CH" w:eastAsia="zh-TW" w:bidi="ar-EG"/>
      <w14:ligatures w14:val="standardContextual"/>
    </w:rPr>
  </w:style>
  <w:style w:type="character" w:customStyle="1" w:styleId="TOC2Char">
    <w:name w:val="TOC 2 Char"/>
    <w:basedOn w:val="DefaultParagraphFont"/>
    <w:link w:val="TOC2"/>
    <w:uiPriority w:val="39"/>
    <w:rsid w:val="00752196"/>
    <w:rPr>
      <w:rFonts w:ascii="Times New Roman" w:eastAsia="PMingLiU" w:hAnsi="Times New Roman" w:cs="Simplified Arabic"/>
      <w:noProof/>
      <w:kern w:val="2"/>
      <w:sz w:val="20"/>
      <w:szCs w:val="20"/>
      <w:lang w:val="fr-CH"/>
      <w14:ligatures w14:val="standardContextual"/>
    </w:rPr>
  </w:style>
  <w:style w:type="character" w:customStyle="1" w:styleId="TOC3Char">
    <w:name w:val="TOC 3 Char"/>
    <w:basedOn w:val="TOC2Char"/>
    <w:link w:val="TOC3"/>
    <w:uiPriority w:val="39"/>
    <w:rsid w:val="00752196"/>
    <w:rPr>
      <w:rFonts w:ascii="Times New Roman" w:eastAsia="PMingLiU" w:hAnsi="Times New Roman" w:cs="Simplified Arabic"/>
      <w:noProof/>
      <w:kern w:val="2"/>
      <w:sz w:val="20"/>
      <w:szCs w:val="20"/>
      <w:lang w:val="fr-CH" w:bidi="ar-EG"/>
      <w14:ligatures w14:val="standardContextual"/>
    </w:rPr>
  </w:style>
  <w:style w:type="character" w:customStyle="1" w:styleId="TOC4Char">
    <w:name w:val="TOC 4 Char"/>
    <w:basedOn w:val="DefaultParagraphFont"/>
    <w:link w:val="TOC4"/>
    <w:uiPriority w:val="39"/>
    <w:rsid w:val="00752196"/>
    <w:rPr>
      <w:rFonts w:ascii="Times New Roman" w:eastAsia="PMingLiU" w:hAnsi="Times New Roman" w:cs="Simplified Arabic"/>
      <w:noProof/>
      <w:kern w:val="2"/>
      <w:sz w:val="20"/>
      <w:szCs w:val="20"/>
      <w:lang w:val="en-GB"/>
      <w14:ligatures w14:val="standardContextual"/>
    </w:rPr>
  </w:style>
  <w:style w:type="character" w:customStyle="1" w:styleId="TOC5Char">
    <w:name w:val="TOC 5 Char"/>
    <w:basedOn w:val="DefaultParagraphFont"/>
    <w:link w:val="TOC5"/>
    <w:uiPriority w:val="39"/>
    <w:rsid w:val="00752196"/>
    <w:rPr>
      <w:rFonts w:ascii="Times New Roman" w:eastAsia="PMingLiU" w:hAnsi="Times New Roman" w:cs="Simplified Arabic"/>
      <w:noProof/>
      <w:kern w:val="2"/>
      <w:sz w:val="20"/>
      <w:szCs w:val="20"/>
      <w:lang w:val="en-GB"/>
      <w14:ligatures w14:val="standardContextual"/>
    </w:rPr>
  </w:style>
  <w:style w:type="character" w:customStyle="1" w:styleId="TOC6Char">
    <w:name w:val="TOC 6 Char"/>
    <w:basedOn w:val="DefaultParagraphFont"/>
    <w:link w:val="TOC6"/>
    <w:uiPriority w:val="39"/>
    <w:rsid w:val="00752196"/>
    <w:rPr>
      <w:rFonts w:ascii="Times New Roman" w:eastAsia="PMingLiU" w:hAnsi="Times New Roman" w:cs="Simplified Arabic"/>
      <w:kern w:val="2"/>
      <w:sz w:val="20"/>
      <w:szCs w:val="20"/>
      <w:lang w:val="en-GB"/>
      <w14:ligatures w14:val="standardContextual"/>
    </w:rPr>
  </w:style>
  <w:style w:type="paragraph" w:customStyle="1" w:styleId="NormalA">
    <w:name w:val="Normal_A"/>
    <w:basedOn w:val="Normal"/>
    <w:qFormat/>
    <w:rsid w:val="00752196"/>
  </w:style>
  <w:style w:type="paragraph" w:customStyle="1" w:styleId="FootnoteGA">
    <w:name w:val="_Footnote_GA"/>
    <w:basedOn w:val="Normal"/>
    <w:qFormat/>
    <w:rsid w:val="0075219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752196"/>
    <w:rPr>
      <w:sz w:val="44"/>
      <w:szCs w:val="44"/>
      <w:lang w:val="en-US" w:bidi="ar-DZ"/>
    </w:rPr>
  </w:style>
  <w:style w:type="paragraph" w:customStyle="1" w:styleId="FootnoteGA0">
    <w:name w:val="Footnote_GA"/>
    <w:basedOn w:val="Normal"/>
    <w:qFormat/>
    <w:rsid w:val="0075219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75219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752196"/>
    <w:pPr>
      <w:spacing w:line="240" w:lineRule="exact"/>
    </w:pPr>
    <w:rPr>
      <w:spacing w:val="6"/>
      <w:w w:val="106"/>
      <w:sz w:val="14"/>
      <w:szCs w:val="21"/>
    </w:rPr>
  </w:style>
  <w:style w:type="paragraph" w:customStyle="1" w:styleId="Original">
    <w:name w:val="Original"/>
    <w:basedOn w:val="Normal"/>
    <w:next w:val="Normal"/>
    <w:qFormat/>
    <w:rsid w:val="00752196"/>
    <w:pPr>
      <w:tabs>
        <w:tab w:val="left" w:pos="662"/>
        <w:tab w:val="left" w:pos="1267"/>
        <w:tab w:val="left" w:pos="1987"/>
        <w:tab w:val="left" w:pos="2650"/>
      </w:tabs>
      <w:spacing w:line="240" w:lineRule="exact"/>
    </w:pPr>
    <w:rPr>
      <w:kern w:val="14"/>
      <w:szCs w:val="28"/>
    </w:rPr>
  </w:style>
  <w:style w:type="paragraph" w:customStyle="1" w:styleId="Sponsors">
    <w:name w:val="Sponsors"/>
    <w:basedOn w:val="H23"/>
    <w:next w:val="Normal"/>
    <w:qFormat/>
    <w:rsid w:val="00752196"/>
    <w:pPr>
      <w:tabs>
        <w:tab w:val="right" w:pos="1022"/>
        <w:tab w:val="left" w:pos="1267"/>
        <w:tab w:val="left" w:pos="1930"/>
        <w:tab w:val="left" w:pos="2592"/>
        <w:tab w:val="left" w:pos="3254"/>
      </w:tabs>
      <w:ind w:left="1267" w:right="1267" w:hanging="1267"/>
    </w:pPr>
  </w:style>
  <w:style w:type="paragraph" w:styleId="Revision">
    <w:name w:val="Revision"/>
    <w:hidden/>
    <w:uiPriority w:val="99"/>
    <w:semiHidden/>
    <w:rsid w:val="00752196"/>
    <w:pPr>
      <w:spacing w:after="0" w:line="240" w:lineRule="auto"/>
    </w:pPr>
    <w:rPr>
      <w:rFonts w:eastAsiaTheme="minorEastAsia"/>
      <w:kern w:val="2"/>
      <w:sz w:val="24"/>
      <w:szCs w:val="24"/>
      <w:lang w:val="fr-FR" w:eastAsia="fr-FR"/>
      <w14:ligatures w14:val="standardContextual"/>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ChG">
    <w:name w:val="_ H _Ch_G"/>
    <w:basedOn w:val="Normal"/>
    <w:next w:val="Normal"/>
    <w:qFormat/>
    <w:rsid w:val="00752196"/>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752196"/>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752196"/>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SingleTxtG">
    <w:name w:val="_ Single Txt_G"/>
    <w:basedOn w:val="Normal"/>
    <w:link w:val="SingleTxtGChar"/>
    <w:qFormat/>
    <w:rsid w:val="00752196"/>
    <w:pPr>
      <w:suppressAutoHyphens/>
      <w:bidi w:val="0"/>
      <w:spacing w:after="120"/>
      <w:ind w:left="1134" w:right="1134"/>
      <w:jc w:val="both"/>
    </w:pPr>
    <w:rPr>
      <w:szCs w:val="20"/>
      <w:lang w:val="en-GB"/>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FootnoteTextChar"/>
    <w:uiPriority w:val="99"/>
    <w:unhideWhenUsed/>
    <w:qFormat/>
    <w:rsid w:val="00752196"/>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link w:val="FootnoteText"/>
    <w:uiPriority w:val="99"/>
    <w:rsid w:val="00752196"/>
    <w:rPr>
      <w:rFonts w:ascii="Times New Roman" w:eastAsia="PMingLiU" w:hAnsi="Times New Roman" w:cs="Simplified Arabic"/>
      <w:kern w:val="2"/>
      <w:sz w:val="18"/>
      <w:szCs w:val="20"/>
      <w14:ligatures w14:val="standardContextual"/>
    </w:rPr>
  </w:style>
  <w:style w:type="character" w:styleId="FootnoteReference">
    <w:name w:val="footnote reference"/>
    <w:aliases w:val="4_G,4_GA,ftref,footnote ref,16 Point,Superscript 6 Point,Fußnotenzeichen DISS,fr,BVI fnr,(NECG) Footnote Reference,Char Char Char Char Car Char,ب"/>
    <w:uiPriority w:val="99"/>
    <w:qFormat/>
    <w:rsid w:val="00752196"/>
    <w:rPr>
      <w:szCs w:val="18"/>
      <w:vertAlign w:val="superscript"/>
    </w:rPr>
  </w:style>
  <w:style w:type="character" w:customStyle="1" w:styleId="SingleTxtGChar">
    <w:name w:val="_ Single Txt_G Char"/>
    <w:link w:val="SingleTxtG"/>
    <w:rsid w:val="00752196"/>
    <w:rPr>
      <w:rFonts w:ascii="Times New Roman" w:eastAsia="PMingLiU" w:hAnsi="Times New Roman" w:cs="Simplified Arabic"/>
      <w:kern w:val="2"/>
      <w:sz w:val="20"/>
      <w:szCs w:val="20"/>
      <w:lang w:val="en-GB"/>
      <w14:ligatures w14:val="standardContextual"/>
    </w:rPr>
  </w:style>
  <w:style w:type="character" w:styleId="UnresolvedMention">
    <w:name w:val="Unresolved Mention"/>
    <w:basedOn w:val="DefaultParagraphFont"/>
    <w:uiPriority w:val="99"/>
    <w:semiHidden/>
    <w:unhideWhenUsed/>
    <w:rsid w:val="00752196"/>
    <w:rPr>
      <w:color w:val="605E5C"/>
      <w:shd w:val="clear" w:color="auto" w:fill="E1DFDD"/>
    </w:rPr>
  </w:style>
  <w:style w:type="character" w:styleId="BookTitle">
    <w:name w:val="Book Title"/>
    <w:uiPriority w:val="33"/>
    <w:rsid w:val="00752196"/>
    <w:rPr>
      <w:b/>
      <w:bCs/>
      <w:smallCaps/>
      <w:spacing w:val="5"/>
    </w:rPr>
  </w:style>
  <w:style w:type="character" w:styleId="SubtleEmphasis">
    <w:name w:val="Subtle Emphasis"/>
    <w:uiPriority w:val="19"/>
    <w:rsid w:val="00752196"/>
    <w:rPr>
      <w:i/>
      <w:iCs/>
      <w:color w:val="808080"/>
    </w:rPr>
  </w:style>
  <w:style w:type="table" w:styleId="ColorfulGrid-Accent6">
    <w:name w:val="Colorful Grid Accent 6"/>
    <w:basedOn w:val="TableNormal"/>
    <w:uiPriority w:val="73"/>
    <w:rsid w:val="00752196"/>
    <w:pPr>
      <w:spacing w:after="0" w:line="240" w:lineRule="auto"/>
    </w:pPr>
    <w:rPr>
      <w:rFonts w:ascii="Calibri" w:eastAsia="PMingLiU" w:hAnsi="Calibri" w:cs="Arial"/>
      <w:color w:val="000000"/>
      <w:kern w:val="2"/>
      <w:sz w:val="20"/>
      <w:szCs w:val="20"/>
      <w:lang w:eastAsia="zh-CN"/>
      <w14:ligatures w14:val="standardContextual"/>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752196"/>
    <w:rPr>
      <w:i/>
      <w:iCs/>
    </w:rPr>
  </w:style>
  <w:style w:type="character" w:styleId="IntenseEmphasis">
    <w:name w:val="Intense Emphasis"/>
    <w:uiPriority w:val="21"/>
    <w:rsid w:val="00752196"/>
    <w:rPr>
      <w:b/>
      <w:bCs/>
      <w:i/>
      <w:iCs/>
      <w:color w:val="4F81BD"/>
    </w:rPr>
  </w:style>
  <w:style w:type="paragraph" w:styleId="Quote">
    <w:name w:val="Quote"/>
    <w:basedOn w:val="Normal"/>
    <w:next w:val="Normal"/>
    <w:link w:val="QuoteChar"/>
    <w:uiPriority w:val="29"/>
    <w:rsid w:val="00752196"/>
    <w:rPr>
      <w:i/>
      <w:iCs/>
      <w:color w:val="000000"/>
    </w:rPr>
  </w:style>
  <w:style w:type="character" w:customStyle="1" w:styleId="QuoteChar">
    <w:name w:val="Quote Char"/>
    <w:link w:val="Quote"/>
    <w:uiPriority w:val="29"/>
    <w:rsid w:val="00752196"/>
    <w:rPr>
      <w:rFonts w:ascii="Times New Roman" w:eastAsia="PMingLiU" w:hAnsi="Times New Roman" w:cs="Simplified Arabic"/>
      <w:i/>
      <w:iCs/>
      <w:color w:val="000000"/>
      <w:kern w:val="2"/>
      <w:sz w:val="20"/>
      <w14:ligatures w14:val="standardContextual"/>
    </w:rPr>
  </w:style>
  <w:style w:type="paragraph" w:styleId="IntenseQuote">
    <w:name w:val="Intense Quote"/>
    <w:basedOn w:val="Normal"/>
    <w:next w:val="Normal"/>
    <w:link w:val="IntenseQuoteChar"/>
    <w:uiPriority w:val="30"/>
    <w:rsid w:val="00752196"/>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52196"/>
    <w:rPr>
      <w:rFonts w:ascii="Times New Roman" w:eastAsia="PMingLiU" w:hAnsi="Times New Roman" w:cs="Simplified Arabic"/>
      <w:b/>
      <w:bCs/>
      <w:i/>
      <w:iCs/>
      <w:color w:val="4F81BD"/>
      <w:kern w:val="2"/>
      <w:sz w:val="20"/>
      <w14:ligatures w14:val="standardContextual"/>
    </w:rPr>
  </w:style>
  <w:style w:type="character" w:styleId="SubtleReference">
    <w:name w:val="Subtle Reference"/>
    <w:uiPriority w:val="31"/>
    <w:rsid w:val="00752196"/>
    <w:rPr>
      <w:smallCaps/>
      <w:color w:val="C0504D"/>
      <w:u w:val="single"/>
    </w:rPr>
  </w:style>
  <w:style w:type="character" w:styleId="IntenseReference">
    <w:name w:val="Intense Reference"/>
    <w:uiPriority w:val="32"/>
    <w:rsid w:val="00752196"/>
    <w:rPr>
      <w:b/>
      <w:bCs/>
      <w:smallCaps/>
      <w:color w:val="C0504D"/>
      <w:spacing w:val="5"/>
      <w:u w:val="single"/>
    </w:rPr>
  </w:style>
  <w:style w:type="paragraph" w:styleId="ListParagraph">
    <w:name w:val="List Paragraph"/>
    <w:basedOn w:val="Normal"/>
    <w:uiPriority w:val="34"/>
    <w:rsid w:val="00752196"/>
    <w:pPr>
      <w:ind w:left="720"/>
      <w:contextualSpacing/>
    </w:pPr>
  </w:style>
  <w:style w:type="table" w:styleId="MediumShading1-Accent4">
    <w:name w:val="Medium Shading 1 Accent 4"/>
    <w:basedOn w:val="TableNormal"/>
    <w:uiPriority w:val="63"/>
    <w:rsid w:val="00752196"/>
    <w:pPr>
      <w:spacing w:after="0" w:line="240" w:lineRule="auto"/>
    </w:pPr>
    <w:rPr>
      <w:rFonts w:ascii="Calibri" w:eastAsia="PMingLiU" w:hAnsi="Calibri" w:cs="Arial"/>
      <w:kern w:val="2"/>
      <w:sz w:val="20"/>
      <w:szCs w:val="20"/>
      <w:lang w:eastAsia="zh-CN"/>
      <w14:ligatures w14:val="standardContextual"/>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752196"/>
    <w:rPr>
      <w:rFonts w:eastAsia="MS Mincho"/>
      <w:sz w:val="18"/>
      <w:vertAlign w:val="superscript"/>
    </w:rPr>
  </w:style>
  <w:style w:type="paragraph" w:customStyle="1" w:styleId="EndNote">
    <w:name w:val="EndNote"/>
    <w:basedOn w:val="Normal"/>
    <w:qFormat/>
    <w:rsid w:val="00752196"/>
    <w:pPr>
      <w:tabs>
        <w:tab w:val="right" w:pos="1218"/>
      </w:tabs>
      <w:bidi w:val="0"/>
      <w:spacing w:line="215" w:lineRule="exact"/>
      <w:ind w:left="1288" w:right="1247" w:hanging="1288"/>
      <w:jc w:val="left"/>
    </w:pPr>
    <w:rPr>
      <w:rFonts w:cs="Times New Roman"/>
      <w:sz w:val="18"/>
      <w:szCs w:val="20"/>
    </w:rPr>
  </w:style>
  <w:style w:type="paragraph" w:customStyle="1" w:styleId="HMG">
    <w:name w:val="_ H __M_G"/>
    <w:basedOn w:val="Normal"/>
    <w:next w:val="Normal"/>
    <w:qFormat/>
    <w:rsid w:val="00752196"/>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4G">
    <w:name w:val="_ H_4_G"/>
    <w:basedOn w:val="Normal"/>
    <w:next w:val="Normal"/>
    <w:qFormat/>
    <w:rsid w:val="00752196"/>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H56G">
    <w:name w:val="_ H_5/6_G"/>
    <w:basedOn w:val="Normal"/>
    <w:next w:val="Normal"/>
    <w:qFormat/>
    <w:rsid w:val="00752196"/>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752196"/>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752196"/>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752196"/>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752196"/>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1G">
    <w:name w:val="_Bullet 1_G"/>
    <w:basedOn w:val="Normal"/>
    <w:qFormat/>
    <w:rsid w:val="00752196"/>
    <w:pPr>
      <w:numPr>
        <w:numId w:val="16"/>
      </w:numPr>
      <w:bidi w:val="0"/>
      <w:spacing w:after="120"/>
      <w:ind w:right="1134"/>
      <w:jc w:val="both"/>
    </w:pPr>
    <w:rPr>
      <w:sz w:val="22"/>
    </w:rPr>
  </w:style>
  <w:style w:type="paragraph" w:customStyle="1" w:styleId="Bullet2G">
    <w:name w:val="_Bullet 2_G"/>
    <w:basedOn w:val="Normal"/>
    <w:qFormat/>
    <w:rsid w:val="00752196"/>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customStyle="1" w:styleId="ParNoG">
    <w:name w:val="_ParNo_G"/>
    <w:basedOn w:val="Normal"/>
    <w:qFormat/>
    <w:rsid w:val="00752196"/>
    <w:pPr>
      <w:numPr>
        <w:numId w:val="28"/>
      </w:numPr>
      <w:tabs>
        <w:tab w:val="left" w:pos="1701"/>
        <w:tab w:val="left" w:pos="2268"/>
        <w:tab w:val="left" w:pos="2835"/>
      </w:tabs>
      <w:spacing w:after="120"/>
      <w:ind w:right="1134"/>
      <w:jc w:val="both"/>
    </w:pPr>
  </w:style>
  <w:style w:type="paragraph" w:styleId="BalloonText">
    <w:name w:val="Balloon Text"/>
    <w:basedOn w:val="Normal"/>
    <w:link w:val="BalloonTextChar"/>
    <w:uiPriority w:val="99"/>
    <w:semiHidden/>
    <w:unhideWhenUsed/>
    <w:rsid w:val="00752196"/>
    <w:pPr>
      <w:spacing w:line="240" w:lineRule="auto"/>
    </w:pPr>
    <w:rPr>
      <w:sz w:val="16"/>
      <w:szCs w:val="16"/>
    </w:rPr>
  </w:style>
  <w:style w:type="character" w:customStyle="1" w:styleId="BalloonTextChar">
    <w:name w:val="Balloon Text Char"/>
    <w:link w:val="BalloonText"/>
    <w:uiPriority w:val="99"/>
    <w:semiHidden/>
    <w:rsid w:val="00752196"/>
    <w:rPr>
      <w:rFonts w:ascii="Times New Roman" w:eastAsia="PMingLiU" w:hAnsi="Times New Roman" w:cs="Simplified Arabic"/>
      <w:kern w:val="2"/>
      <w:sz w:val="16"/>
      <w:szCs w:val="16"/>
      <w14:ligatures w14:val="standardContextual"/>
    </w:rPr>
  </w:style>
  <w:style w:type="character" w:styleId="FollowedHyperlink">
    <w:name w:val="FollowedHyperlink"/>
    <w:uiPriority w:val="99"/>
    <w:rsid w:val="00752196"/>
    <w:rPr>
      <w:i w:val="0"/>
      <w:color w:val="0000FF"/>
      <w:u w:val="none"/>
    </w:rPr>
  </w:style>
  <w:style w:type="character" w:styleId="PlaceholderText">
    <w:name w:val="Placeholder Text"/>
    <w:basedOn w:val="DefaultParagraphFont"/>
    <w:uiPriority w:val="99"/>
    <w:semiHidden/>
    <w:rsid w:val="00752196"/>
    <w:rPr>
      <w:color w:val="808080"/>
    </w:rPr>
  </w:style>
  <w:style w:type="paragraph" w:customStyle="1" w:styleId="a">
    <w:name w:val="المحتويات_بلا_فقرات"/>
    <w:rsid w:val="00752196"/>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kern w:val="2"/>
      <w:sz w:val="20"/>
      <w:szCs w:val="28"/>
      <w14:ligatures w14:val="standardContextual"/>
    </w:rPr>
  </w:style>
  <w:style w:type="paragraph" w:customStyle="1" w:styleId="SessionDate">
    <w:name w:val="Session_Date"/>
    <w:basedOn w:val="Normal"/>
    <w:qFormat/>
    <w:rsid w:val="00752196"/>
    <w:pPr>
      <w:spacing w:before="240" w:after="240" w:line="460" w:lineRule="exact"/>
      <w:ind w:left="1247"/>
    </w:pPr>
    <w:rPr>
      <w:b/>
      <w:bCs/>
      <w:sz w:val="32"/>
      <w:szCs w:val="44"/>
    </w:rPr>
  </w:style>
  <w:style w:type="paragraph" w:customStyle="1" w:styleId="SessionNumber">
    <w:name w:val="Session_Number"/>
    <w:basedOn w:val="Normal"/>
    <w:qFormat/>
    <w:rsid w:val="00752196"/>
    <w:pPr>
      <w:spacing w:line="480" w:lineRule="exact"/>
      <w:ind w:left="1247"/>
    </w:pPr>
    <w:rPr>
      <w:b/>
      <w:bCs/>
      <w:sz w:val="28"/>
      <w:szCs w:val="38"/>
    </w:rPr>
  </w:style>
  <w:style w:type="paragraph" w:customStyle="1" w:styleId="CityandYear">
    <w:name w:val="City and Year"/>
    <w:basedOn w:val="SingleTxtGA"/>
    <w:qFormat/>
    <w:rsid w:val="00752196"/>
    <w:pPr>
      <w:spacing w:line="480" w:lineRule="exact"/>
    </w:pPr>
    <w:rPr>
      <w:b/>
      <w:bCs/>
      <w:sz w:val="30"/>
      <w:szCs w:val="38"/>
      <w:lang w:eastAsia="ar-SA"/>
    </w:rPr>
  </w:style>
  <w:style w:type="paragraph" w:customStyle="1" w:styleId="H1">
    <w:name w:val="_ H_1"/>
    <w:basedOn w:val="Normal"/>
    <w:next w:val="SingleTxt"/>
    <w:qFormat/>
    <w:rsid w:val="00752196"/>
    <w:pPr>
      <w:keepNext/>
      <w:keepLines/>
      <w:spacing w:after="120" w:line="400" w:lineRule="exact"/>
      <w:outlineLvl w:val="0"/>
    </w:pPr>
    <w:rPr>
      <w:b/>
      <w:bCs/>
      <w:kern w:val="14"/>
      <w:sz w:val="24"/>
      <w:szCs w:val="32"/>
    </w:rPr>
  </w:style>
  <w:style w:type="paragraph" w:customStyle="1" w:styleId="HCh">
    <w:name w:val="_ H _Ch"/>
    <w:basedOn w:val="H1"/>
    <w:next w:val="SingleTxt"/>
    <w:qFormat/>
    <w:rsid w:val="00752196"/>
    <w:pPr>
      <w:spacing w:line="440" w:lineRule="exact"/>
    </w:pPr>
    <w:rPr>
      <w:spacing w:val="-2"/>
      <w:sz w:val="28"/>
      <w:szCs w:val="36"/>
    </w:rPr>
  </w:style>
  <w:style w:type="character" w:styleId="CommentReference">
    <w:name w:val="annotation reference"/>
    <w:uiPriority w:val="99"/>
    <w:semiHidden/>
    <w:rsid w:val="00752196"/>
    <w:rPr>
      <w:sz w:val="6"/>
      <w:szCs w:val="9"/>
    </w:rPr>
  </w:style>
  <w:style w:type="paragraph" w:customStyle="1" w:styleId="HM">
    <w:name w:val="_ H __M"/>
    <w:basedOn w:val="HCh"/>
    <w:next w:val="Normal"/>
    <w:qFormat/>
    <w:rsid w:val="00752196"/>
    <w:pPr>
      <w:suppressAutoHyphens/>
      <w:spacing w:line="520" w:lineRule="exact"/>
    </w:pPr>
    <w:rPr>
      <w:spacing w:val="-3"/>
      <w:sz w:val="34"/>
      <w:szCs w:val="48"/>
    </w:rPr>
  </w:style>
  <w:style w:type="paragraph" w:customStyle="1" w:styleId="SingleTxt">
    <w:name w:val="__Single Txt"/>
    <w:basedOn w:val="Normal"/>
    <w:qFormat/>
    <w:rsid w:val="00752196"/>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752196"/>
    <w:pPr>
      <w:suppressAutoHyphens/>
      <w:spacing w:line="360" w:lineRule="exact"/>
      <w:outlineLvl w:val="1"/>
    </w:pPr>
    <w:rPr>
      <w:spacing w:val="2"/>
      <w:sz w:val="20"/>
      <w:szCs w:val="28"/>
    </w:rPr>
  </w:style>
  <w:style w:type="paragraph" w:customStyle="1" w:styleId="H4">
    <w:name w:val="_ H_4"/>
    <w:basedOn w:val="Normal"/>
    <w:next w:val="Normal"/>
    <w:qFormat/>
    <w:rsid w:val="00752196"/>
    <w:pPr>
      <w:keepNext/>
      <w:keepLines/>
      <w:spacing w:after="120" w:line="360" w:lineRule="exact"/>
      <w:outlineLvl w:val="3"/>
    </w:pPr>
    <w:rPr>
      <w:i/>
      <w:iCs/>
      <w:kern w:val="14"/>
      <w:szCs w:val="28"/>
    </w:rPr>
  </w:style>
  <w:style w:type="paragraph" w:customStyle="1" w:styleId="H56">
    <w:name w:val="_ H_5/6"/>
    <w:basedOn w:val="Normal"/>
    <w:next w:val="Normal"/>
    <w:qFormat/>
    <w:rsid w:val="00752196"/>
    <w:pPr>
      <w:keepNext/>
      <w:keepLines/>
      <w:spacing w:after="120" w:line="360" w:lineRule="exact"/>
      <w:outlineLvl w:val="4"/>
    </w:pPr>
    <w:rPr>
      <w:kern w:val="14"/>
      <w:szCs w:val="28"/>
    </w:rPr>
  </w:style>
  <w:style w:type="paragraph" w:customStyle="1" w:styleId="DualTxt">
    <w:name w:val="__Dual Txt"/>
    <w:basedOn w:val="Normal"/>
    <w:qFormat/>
    <w:rsid w:val="00752196"/>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752196"/>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752196"/>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752196"/>
    <w:pPr>
      <w:spacing w:after="120" w:line="440" w:lineRule="exact"/>
      <w:jc w:val="center"/>
    </w:pPr>
    <w:rPr>
      <w:b/>
      <w:bCs/>
      <w:sz w:val="25"/>
      <w:szCs w:val="38"/>
    </w:rPr>
  </w:style>
  <w:style w:type="paragraph" w:customStyle="1" w:styleId="JH1">
    <w:name w:val="J_H_1"/>
    <w:basedOn w:val="JCH"/>
    <w:qFormat/>
    <w:rsid w:val="00752196"/>
    <w:pPr>
      <w:spacing w:line="420" w:lineRule="exact"/>
    </w:pPr>
    <w:rPr>
      <w:sz w:val="23"/>
      <w:szCs w:val="34"/>
    </w:rPr>
  </w:style>
  <w:style w:type="paragraph" w:customStyle="1" w:styleId="JH2">
    <w:name w:val="J_H_2"/>
    <w:basedOn w:val="JH1"/>
    <w:qFormat/>
    <w:rsid w:val="00752196"/>
    <w:pPr>
      <w:spacing w:line="400" w:lineRule="exact"/>
    </w:pPr>
    <w:rPr>
      <w:sz w:val="20"/>
      <w:szCs w:val="30"/>
    </w:rPr>
  </w:style>
  <w:style w:type="paragraph" w:customStyle="1" w:styleId="JSmall">
    <w:name w:val="J_Small"/>
    <w:basedOn w:val="JSingleTxt"/>
    <w:next w:val="JSingleTxt"/>
    <w:qFormat/>
    <w:rsid w:val="00752196"/>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qFormat/>
    <w:rsid w:val="00752196"/>
    <w:rPr>
      <w:sz w:val="14"/>
      <w:szCs w:val="16"/>
    </w:rPr>
  </w:style>
  <w:style w:type="paragraph" w:customStyle="1" w:styleId="XLarge">
    <w:name w:val="XLarge"/>
    <w:basedOn w:val="HM"/>
    <w:qFormat/>
    <w:rsid w:val="00752196"/>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52196"/>
    <w:pPr>
      <w:spacing w:line="820" w:lineRule="exact"/>
    </w:pPr>
    <w:rPr>
      <w:spacing w:val="-8"/>
      <w:w w:val="96"/>
      <w:sz w:val="57"/>
      <w:szCs w:val="86"/>
    </w:rPr>
  </w:style>
  <w:style w:type="paragraph" w:customStyle="1" w:styleId="Distribution">
    <w:name w:val="Distribution"/>
    <w:basedOn w:val="Normal"/>
    <w:next w:val="Normal"/>
    <w:qFormat/>
    <w:rsid w:val="00752196"/>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752196"/>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752196"/>
    <w:pPr>
      <w:tabs>
        <w:tab w:val="center" w:pos="4320"/>
        <w:tab w:val="right" w:pos="8640"/>
      </w:tabs>
      <w:spacing w:after="0" w:line="210" w:lineRule="exact"/>
      <w:jc w:val="right"/>
    </w:pPr>
    <w:rPr>
      <w:rFonts w:ascii="Times New Roman" w:eastAsia="PMingLiU" w:hAnsi="Times New Roman" w:cs="Simplified Arabic"/>
      <w:w w:val="103"/>
      <w:kern w:val="14"/>
      <w:sz w:val="20"/>
      <w:szCs w:val="30"/>
      <w14:ligatures w14:val="standardContextual"/>
    </w:rPr>
  </w:style>
  <w:style w:type="paragraph" w:customStyle="1" w:styleId="Session">
    <w:name w:val="Session"/>
    <w:basedOn w:val="H23"/>
    <w:qFormat/>
    <w:rsid w:val="00752196"/>
    <w:pPr>
      <w:tabs>
        <w:tab w:val="left" w:pos="662"/>
        <w:tab w:val="left" w:pos="1267"/>
        <w:tab w:val="left" w:pos="1987"/>
        <w:tab w:val="left" w:pos="2650"/>
      </w:tabs>
      <w:spacing w:after="0"/>
      <w:ind w:left="662" w:hanging="662"/>
    </w:pPr>
  </w:style>
  <w:style w:type="paragraph" w:customStyle="1" w:styleId="Committee">
    <w:name w:val="Committee"/>
    <w:basedOn w:val="H1"/>
    <w:qFormat/>
    <w:rsid w:val="00752196"/>
    <w:pPr>
      <w:tabs>
        <w:tab w:val="left" w:pos="662"/>
        <w:tab w:val="left" w:pos="1267"/>
        <w:tab w:val="left" w:pos="1987"/>
        <w:tab w:val="left" w:pos="2650"/>
      </w:tabs>
      <w:ind w:right="1264"/>
    </w:pPr>
  </w:style>
  <w:style w:type="paragraph" w:customStyle="1" w:styleId="AgendaItemNormal">
    <w:name w:val="Agenda_Item_Normal"/>
    <w:next w:val="Normal"/>
    <w:qFormat/>
    <w:rsid w:val="00752196"/>
    <w:pPr>
      <w:spacing w:after="0" w:line="360" w:lineRule="exact"/>
      <w:jc w:val="both"/>
    </w:pPr>
    <w:rPr>
      <w:rFonts w:ascii="Times New Roman" w:eastAsia="PMingLiU" w:hAnsi="Times New Roman" w:cs="Simplified Arabic"/>
      <w:w w:val="103"/>
      <w:kern w:val="14"/>
      <w:sz w:val="20"/>
      <w:szCs w:val="28"/>
      <w14:ligatures w14:val="standardContextual"/>
    </w:rPr>
  </w:style>
  <w:style w:type="paragraph" w:customStyle="1" w:styleId="TitleHCH">
    <w:name w:val="Title_H_CH"/>
    <w:basedOn w:val="H1"/>
    <w:next w:val="SingleTxt"/>
    <w:qFormat/>
    <w:rsid w:val="00752196"/>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5219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752196"/>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752196"/>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752196"/>
    <w:pPr>
      <w:numPr>
        <w:numId w:val="14"/>
      </w:numPr>
      <w:spacing w:after="120" w:line="360" w:lineRule="exact"/>
      <w:ind w:right="1264"/>
    </w:pPr>
    <w:rPr>
      <w:kern w:val="14"/>
      <w:szCs w:val="28"/>
    </w:rPr>
  </w:style>
  <w:style w:type="paragraph" w:customStyle="1" w:styleId="Bullet3">
    <w:name w:val="Bullet 3"/>
    <w:basedOn w:val="SingleTxt"/>
    <w:qFormat/>
    <w:rsid w:val="00752196"/>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52196"/>
    <w:pPr>
      <w:ind w:right="5760"/>
      <w:outlineLvl w:val="1"/>
    </w:pPr>
    <w:rPr>
      <w:spacing w:val="2"/>
      <w:sz w:val="20"/>
      <w:szCs w:val="28"/>
    </w:rPr>
  </w:style>
  <w:style w:type="paragraph" w:customStyle="1" w:styleId="STitleM">
    <w:name w:val="S_Title_M"/>
    <w:basedOn w:val="Normal"/>
    <w:next w:val="Normal"/>
    <w:qFormat/>
    <w:rsid w:val="00752196"/>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752196"/>
    <w:pPr>
      <w:spacing w:line="600" w:lineRule="exact"/>
      <w:ind w:left="1267" w:right="1267"/>
    </w:pPr>
    <w:rPr>
      <w:w w:val="103"/>
      <w:sz w:val="60"/>
      <w:szCs w:val="60"/>
    </w:rPr>
  </w:style>
  <w:style w:type="paragraph" w:customStyle="1" w:styleId="STitleL">
    <w:name w:val="S_Title_L"/>
    <w:basedOn w:val="XLarge"/>
    <w:next w:val="Normal"/>
    <w:qFormat/>
    <w:rsid w:val="00752196"/>
    <w:rPr>
      <w:spacing w:val="-8"/>
      <w:w w:val="96"/>
      <w:sz w:val="57"/>
    </w:rPr>
  </w:style>
  <w:style w:type="paragraph" w:styleId="CommentText">
    <w:name w:val="annotation text"/>
    <w:basedOn w:val="Normal"/>
    <w:link w:val="CommentTextChar"/>
    <w:uiPriority w:val="99"/>
    <w:semiHidden/>
    <w:unhideWhenUsed/>
    <w:rsid w:val="00752196"/>
    <w:pPr>
      <w:spacing w:line="240" w:lineRule="auto"/>
    </w:pPr>
    <w:rPr>
      <w:kern w:val="14"/>
    </w:rPr>
  </w:style>
  <w:style w:type="character" w:customStyle="1" w:styleId="CommentTextChar">
    <w:name w:val="Comment Text Char"/>
    <w:basedOn w:val="DefaultParagraphFont"/>
    <w:link w:val="CommentText"/>
    <w:uiPriority w:val="99"/>
    <w:semiHidden/>
    <w:rsid w:val="00752196"/>
    <w:rPr>
      <w:rFonts w:ascii="Times New Roman" w:eastAsia="PMingLiU" w:hAnsi="Times New Roman" w:cs="Simplified Arabic"/>
      <w:kern w:val="14"/>
      <w:sz w:val="20"/>
      <w14:ligatures w14:val="standardContextual"/>
    </w:rPr>
  </w:style>
  <w:style w:type="paragraph" w:styleId="CommentSubject">
    <w:name w:val="annotation subject"/>
    <w:basedOn w:val="CommentText"/>
    <w:next w:val="CommentText"/>
    <w:link w:val="CommentSubjectChar"/>
    <w:uiPriority w:val="99"/>
    <w:semiHidden/>
    <w:unhideWhenUsed/>
    <w:rsid w:val="00752196"/>
    <w:rPr>
      <w:b/>
      <w:bCs/>
    </w:rPr>
  </w:style>
  <w:style w:type="character" w:customStyle="1" w:styleId="CommentSubjectChar">
    <w:name w:val="Comment Subject Char"/>
    <w:basedOn w:val="CommentTextChar"/>
    <w:link w:val="CommentSubject"/>
    <w:uiPriority w:val="99"/>
    <w:semiHidden/>
    <w:rsid w:val="00752196"/>
    <w:rPr>
      <w:rFonts w:ascii="Times New Roman" w:eastAsia="PMingLiU" w:hAnsi="Times New Roman" w:cs="Simplified Arabic"/>
      <w:b/>
      <w:bCs/>
      <w:kern w:val="14"/>
      <w:sz w:val="20"/>
      <w14:ligatures w14:val="standardContextual"/>
    </w:rPr>
  </w:style>
  <w:style w:type="paragraph" w:customStyle="1" w:styleId="Preparedby">
    <w:name w:val="Prepared by:"/>
    <w:basedOn w:val="H23GA"/>
    <w:qFormat/>
    <w:rsid w:val="00752196"/>
    <w:rPr>
      <w:sz w:val="32"/>
      <w:szCs w:val="32"/>
    </w:rPr>
  </w:style>
  <w:style w:type="paragraph" w:customStyle="1" w:styleId="ParaNoG">
    <w:name w:val="_ParaNo._G"/>
    <w:basedOn w:val="SingleTxtG"/>
    <w:rsid w:val="00752196"/>
    <w:pPr>
      <w:numPr>
        <w:numId w:val="29"/>
      </w:numPr>
      <w:tabs>
        <w:tab w:val="left" w:pos="1134"/>
        <w:tab w:val="left" w:pos="1701"/>
        <w:tab w:val="left" w:pos="2268"/>
        <w:tab w:val="left" w:pos="2835"/>
      </w:tabs>
      <w:suppressAutoHyphens w:val="0"/>
    </w:pPr>
    <w:rPr>
      <w:rFonts w:hint="cs"/>
      <w:szCs w:val="30"/>
      <w:lang w:val="fr-FR" w:eastAsia="fr-FR"/>
    </w:rPr>
  </w:style>
  <w:style w:type="paragraph" w:customStyle="1" w:styleId="Default">
    <w:name w:val="Default"/>
    <w:semiHidden/>
    <w:rsid w:val="00752196"/>
    <w:pPr>
      <w:autoSpaceDE w:val="0"/>
      <w:autoSpaceDN w:val="0"/>
      <w:adjustRightInd w:val="0"/>
      <w:spacing w:after="0" w:line="240" w:lineRule="auto"/>
    </w:pPr>
    <w:rPr>
      <w:rFonts w:ascii="Times New Roman" w:eastAsia="PMingLiU" w:hAnsi="Times New Roman" w:cs="Simplified Arabic"/>
      <w:color w:val="000000"/>
      <w:kern w:val="2"/>
      <w:sz w:val="24"/>
      <w:szCs w:val="24"/>
      <w:lang w:val="fr-FR" w:eastAsia="fr-FR"/>
      <w14:ligatures w14:val="standardContextual"/>
    </w:rPr>
  </w:style>
  <w:style w:type="character" w:customStyle="1" w:styleId="terminologypart">
    <w:name w:val="terminologypart"/>
    <w:basedOn w:val="DefaultParagraphFont"/>
    <w:rsid w:val="00752196"/>
  </w:style>
  <w:style w:type="character" w:customStyle="1" w:styleId="preferred">
    <w:name w:val="preferred"/>
    <w:basedOn w:val="DefaultParagraphFont"/>
    <w:rsid w:val="00752196"/>
  </w:style>
  <w:style w:type="character" w:customStyle="1" w:styleId="admitted">
    <w:name w:val="admitted"/>
    <w:basedOn w:val="DefaultParagraphFont"/>
    <w:rsid w:val="00752196"/>
  </w:style>
  <w:style w:type="table" w:customStyle="1" w:styleId="Sum">
    <w:name w:val="Sum"/>
    <w:basedOn w:val="TableNormal"/>
    <w:uiPriority w:val="99"/>
    <w:rsid w:val="00752196"/>
    <w:pPr>
      <w:spacing w:after="0" w:line="240" w:lineRule="auto"/>
    </w:pPr>
    <w:rPr>
      <w:rFonts w:ascii="Times New Roman" w:eastAsia="PMingLiU" w:hAnsi="Times New Roman" w:cs="Simplified Arabic"/>
      <w:kern w:val="2"/>
      <w:lang w:eastAsia="zh-CN"/>
      <w14:ligatures w14:val="standardContextual"/>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PD/C/KAZ/1" TargetMode="External"/><Relationship Id="rId13" Type="http://schemas.openxmlformats.org/officeDocument/2006/relationships/hyperlink" Target="https://undocs.org/ar/CRPD/C/CRI/2-3" TargetMode="External"/><Relationship Id="rId18" Type="http://schemas.openxmlformats.org/officeDocument/2006/relationships/hyperlink" Target="https://undocs.org/ar/CRPD/C/AZE/CO/2-3" TargetMode="External"/><Relationship Id="rId26" Type="http://schemas.openxmlformats.org/officeDocument/2006/relationships/hyperlink" Target="http://undocs.org/ar/CRPD/C/30/D/54/2018" TargetMode="External"/><Relationship Id="rId3" Type="http://schemas.openxmlformats.org/officeDocument/2006/relationships/hyperlink" Target="http://undocs.org/ar/CRPD/C/30/D/84/2020" TargetMode="External"/><Relationship Id="rId21" Type="http://schemas.openxmlformats.org/officeDocument/2006/relationships/hyperlink" Target="https://undocs.org/ar/CRPD/C/KAZ/CO/1" TargetMode="External"/><Relationship Id="rId7" Type="http://schemas.openxmlformats.org/officeDocument/2006/relationships/hyperlink" Target="https://documents.un.org." TargetMode="External"/><Relationship Id="rId12" Type="http://schemas.openxmlformats.org/officeDocument/2006/relationships/hyperlink" Target="https://undocs.org/ar/CRPD/C/AZE/2-3/Corr.1" TargetMode="External"/><Relationship Id="rId17" Type="http://schemas.openxmlformats.org/officeDocument/2006/relationships/hyperlink" Target="https://undocs.org/ar/CRPD/C/NIC/3" TargetMode="External"/><Relationship Id="rId25" Type="http://schemas.openxmlformats.org/officeDocument/2006/relationships/hyperlink" Target="http://undocs.org/ar/CRPD/C/30/D/80/2020" TargetMode="External"/><Relationship Id="rId2" Type="http://schemas.openxmlformats.org/officeDocument/2006/relationships/hyperlink" Target="http://undocs.org/ar/CRPD/C/1/Rev.2" TargetMode="External"/><Relationship Id="rId16" Type="http://schemas.openxmlformats.org/officeDocument/2006/relationships/hyperlink" Target="https://undocs.org/ar/CRPD/C/NIC/2" TargetMode="External"/><Relationship Id="rId20" Type="http://schemas.openxmlformats.org/officeDocument/2006/relationships/hyperlink" Target="https://undocs.org/ar/CRPD/C/CRI/CO/2-3" TargetMode="External"/><Relationship Id="rId1" Type="http://schemas.openxmlformats.org/officeDocument/2006/relationships/hyperlink" Target="http://undocs.org/ar/CRPD/C/29/1" TargetMode="External"/><Relationship Id="rId6" Type="http://schemas.openxmlformats.org/officeDocument/2006/relationships/hyperlink" Target="http://undocs.org/ar/CRPD/C/30/D/80/2020" TargetMode="External"/><Relationship Id="rId11" Type="http://schemas.openxmlformats.org/officeDocument/2006/relationships/hyperlink" Target="https://undocs.org/ar/CRPD/C/AZE/2-3" TargetMode="External"/><Relationship Id="rId24" Type="http://schemas.openxmlformats.org/officeDocument/2006/relationships/hyperlink" Target="https://undocs.org/ar/CRPD/C/ZMB/CO/1" TargetMode="External"/><Relationship Id="rId5" Type="http://schemas.openxmlformats.org/officeDocument/2006/relationships/hyperlink" Target="http://undocs.org/ar/CRPD/C/30/D/76/2020" TargetMode="External"/><Relationship Id="rId15" Type="http://schemas.openxmlformats.org/officeDocument/2006/relationships/hyperlink" Target="https://undocs.org/ar/CRPD/C/NIC/1" TargetMode="External"/><Relationship Id="rId23" Type="http://schemas.openxmlformats.org/officeDocument/2006/relationships/hyperlink" Target="https://undocs.org/ar/CRPD/C/SWE/CO/2-3" TargetMode="External"/><Relationship Id="rId28" Type="http://schemas.openxmlformats.org/officeDocument/2006/relationships/hyperlink" Target="http://undocs.org/ar/CRPD/C/30/D/80/2020" TargetMode="External"/><Relationship Id="rId10" Type="http://schemas.openxmlformats.org/officeDocument/2006/relationships/hyperlink" Target="https://undocs.org/ar/CRPD/C/BHR/1-2" TargetMode="External"/><Relationship Id="rId19" Type="http://schemas.openxmlformats.org/officeDocument/2006/relationships/hyperlink" Target="https://undocs.org/ar/CRPD/C/BHR/CO/1-2" TargetMode="External"/><Relationship Id="rId4" Type="http://schemas.openxmlformats.org/officeDocument/2006/relationships/hyperlink" Target="http://undocs.org/ar/CRPD/C/30/D/54/2018" TargetMode="External"/><Relationship Id="rId9" Type="http://schemas.openxmlformats.org/officeDocument/2006/relationships/hyperlink" Target="https://undocs.org/ar/CRPD/C/ZMB/1" TargetMode="External"/><Relationship Id="rId14" Type="http://schemas.openxmlformats.org/officeDocument/2006/relationships/hyperlink" Target="https://undocs.org/ar/CRPD/C/SWE/2-3" TargetMode="External"/><Relationship Id="rId22" Type="http://schemas.openxmlformats.org/officeDocument/2006/relationships/hyperlink" Target="https://undocs.org/ar/CRPD/C/NIC/CO/1-3" TargetMode="External"/><Relationship Id="rId27" Type="http://schemas.openxmlformats.org/officeDocument/2006/relationships/hyperlink" Target="http://undocs.org/ar/CRPD/C/30/D/76/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2920</Words>
  <Characters>16062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CRPD/C/30/2</vt:lpstr>
    </vt:vector>
  </TitlesOfParts>
  <Company>DCM</Company>
  <LinksUpToDate>false</LinksUpToDate>
  <CharactersWithSpaces>18945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CRPD/C/30/2</dc:title>
  <dc:subject>GE.2406738(A)</dc:subject>
  <dc:creator>Ihab RIZ - </dc:creator>
  <cp:keywords>GE.(A)</cp:keywords>
  <dc:description>General_x000d_
_x000d_
Arabic_x000d_
</dc:description>
  <cp:lastModifiedBy>Jamila Chedad</cp:lastModifiedBy>
  <cp:revision>3</cp:revision>
  <cp:lastPrinted>2024-05-09T13:51:00Z</cp:lastPrinted>
  <dcterms:created xsi:type="dcterms:W3CDTF">2024-05-09T13:51:00Z</dcterms:created>
  <dcterms:modified xsi:type="dcterms:W3CDTF">2024-05-09T13:51:00Z</dcterms:modified>
</cp:coreProperties>
</file>